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ED6F76">
      <w:pPr>
        <w:adjustRightInd w:val="0"/>
        <w:snapToGrid w:val="0"/>
        <w:jc w:val="center"/>
        <w:outlineLvl w:val="0"/>
        <w:rPr>
          <w:rFonts w:ascii="方正小标宋_GBK" w:eastAsia="方正小标宋_GBK"/>
          <w:bCs/>
          <w:color w:val="000000" w:themeColor="text1"/>
          <w:sz w:val="72"/>
          <w:szCs w:val="72"/>
          <w:highlight w:val="none"/>
        </w:rPr>
      </w:pPr>
    </w:p>
    <w:p w14:paraId="01345AD3">
      <w:pPr>
        <w:adjustRightInd w:val="0"/>
        <w:snapToGrid w:val="0"/>
        <w:jc w:val="center"/>
        <w:outlineLvl w:val="0"/>
        <w:rPr>
          <w:rFonts w:ascii="方正小标宋_GBK" w:eastAsia="方正小标宋_GBK"/>
          <w:bCs/>
          <w:color w:val="000000" w:themeColor="text1"/>
          <w:sz w:val="72"/>
          <w:szCs w:val="72"/>
          <w:highlight w:val="none"/>
        </w:rPr>
      </w:pPr>
      <w:r>
        <w:rPr>
          <w:rFonts w:hint="eastAsia" w:ascii="方正小标宋_GBK" w:eastAsia="方正小标宋_GBK"/>
          <w:bCs/>
          <w:color w:val="000000" w:themeColor="text1"/>
          <w:sz w:val="72"/>
          <w:szCs w:val="72"/>
          <w:highlight w:val="none"/>
        </w:rPr>
        <w:t>建设项目环境影响报告表</w:t>
      </w:r>
    </w:p>
    <w:p w14:paraId="440AD65A">
      <w:pPr>
        <w:adjustRightInd w:val="0"/>
        <w:snapToGrid w:val="0"/>
        <w:spacing w:beforeLines="80"/>
        <w:jc w:val="center"/>
        <w:rPr>
          <w:rFonts w:ascii="楷体_GB2312" w:eastAsia="楷体_GB2312"/>
          <w:bCs/>
          <w:color w:val="000000" w:themeColor="text1"/>
          <w:sz w:val="48"/>
          <w:szCs w:val="48"/>
          <w:highlight w:val="none"/>
        </w:rPr>
      </w:pPr>
      <w:r>
        <w:rPr>
          <w:rFonts w:hint="eastAsia" w:ascii="楷体_GB2312" w:eastAsia="楷体_GB2312"/>
          <w:bCs/>
          <w:color w:val="000000" w:themeColor="text1"/>
          <w:sz w:val="48"/>
          <w:szCs w:val="48"/>
          <w:highlight w:val="none"/>
        </w:rPr>
        <w:t>（生态影响类）</w:t>
      </w:r>
    </w:p>
    <w:p w14:paraId="7E1CD4AB">
      <w:pPr>
        <w:adjustRightInd w:val="0"/>
        <w:snapToGrid w:val="0"/>
        <w:spacing w:line="288" w:lineRule="auto"/>
        <w:jc w:val="center"/>
        <w:rPr>
          <w:rFonts w:ascii="华文仿宋" w:hAnsi="华文仿宋" w:eastAsia="华文仿宋" w:cs="华文仿宋"/>
          <w:color w:val="000000" w:themeColor="text1"/>
          <w:kern w:val="44"/>
          <w:sz w:val="44"/>
          <w:szCs w:val="44"/>
          <w:highlight w:val="none"/>
        </w:rPr>
      </w:pPr>
      <w:bookmarkStart w:id="0" w:name="_Hlk57883728"/>
    </w:p>
    <w:p w14:paraId="6027F917">
      <w:pPr>
        <w:jc w:val="center"/>
        <w:rPr>
          <w:rFonts w:eastAsia="仿宋"/>
          <w:color w:val="000000" w:themeColor="text1"/>
          <w:sz w:val="52"/>
          <w:szCs w:val="52"/>
          <w:highlight w:val="none"/>
        </w:rPr>
      </w:pPr>
    </w:p>
    <w:p w14:paraId="33742968">
      <w:pPr>
        <w:ind w:firstLine="1040"/>
        <w:rPr>
          <w:rFonts w:eastAsia="仿宋"/>
          <w:color w:val="000000" w:themeColor="text1"/>
          <w:sz w:val="44"/>
          <w:szCs w:val="44"/>
          <w:highlight w:val="none"/>
        </w:rPr>
      </w:pPr>
    </w:p>
    <w:p w14:paraId="3067D3A5">
      <w:pPr>
        <w:ind w:firstLine="1040"/>
        <w:rPr>
          <w:rFonts w:eastAsia="仿宋"/>
          <w:color w:val="000000" w:themeColor="text1"/>
          <w:sz w:val="44"/>
          <w:szCs w:val="44"/>
          <w:highlight w:val="none"/>
        </w:rPr>
      </w:pPr>
    </w:p>
    <w:p w14:paraId="0DAD6097">
      <w:pPr>
        <w:ind w:firstLine="1040"/>
        <w:rPr>
          <w:rFonts w:eastAsia="仿宋"/>
          <w:color w:val="000000" w:themeColor="text1"/>
          <w:sz w:val="44"/>
          <w:szCs w:val="44"/>
          <w:highlight w:val="none"/>
        </w:rPr>
      </w:pPr>
    </w:p>
    <w:p w14:paraId="7D6CB859">
      <w:pPr>
        <w:ind w:firstLine="1040"/>
        <w:rPr>
          <w:rFonts w:eastAsia="仿宋"/>
          <w:color w:val="000000" w:themeColor="text1"/>
          <w:sz w:val="44"/>
          <w:szCs w:val="44"/>
          <w:highlight w:val="none"/>
        </w:rPr>
      </w:pPr>
    </w:p>
    <w:bookmarkEnd w:id="0"/>
    <w:p w14:paraId="1AE928A4">
      <w:pPr>
        <w:adjustRightInd w:val="0"/>
        <w:snapToGrid w:val="0"/>
        <w:spacing w:line="288" w:lineRule="auto"/>
        <w:ind w:firstLine="1040"/>
        <w:jc w:val="center"/>
        <w:rPr>
          <w:rFonts w:ascii="仿宋_GB2312" w:eastAsia="仿宋_GB2312"/>
          <w:color w:val="000000" w:themeColor="text1"/>
          <w:sz w:val="36"/>
          <w:szCs w:val="36"/>
          <w:highlight w:val="none"/>
          <w:u w:val="single"/>
        </w:rPr>
      </w:pPr>
      <w:r>
        <w:rPr>
          <w:rFonts w:hint="eastAsia" w:ascii="仿宋_GB2312" w:eastAsia="仿宋_GB2312"/>
          <w:color w:val="000000" w:themeColor="text1"/>
          <w:sz w:val="36"/>
          <w:szCs w:val="36"/>
          <w:highlight w:val="none"/>
        </w:rPr>
        <w:t>项目名称：</w:t>
      </w:r>
      <w:r>
        <w:rPr>
          <w:rFonts w:hint="eastAsia" w:ascii="仿宋_GB2312" w:eastAsia="仿宋_GB2312"/>
          <w:color w:val="000000" w:themeColor="text1"/>
          <w:sz w:val="36"/>
          <w:szCs w:val="36"/>
          <w:highlight w:val="none"/>
          <w:u w:val="single"/>
        </w:rPr>
        <w:t>内蒙古汇能煤电集团富民煤矿有限责任    公司煤矿改建项目（新增井筒及三水平延升）</w:t>
      </w:r>
    </w:p>
    <w:p w14:paraId="191ACB13">
      <w:pPr>
        <w:adjustRightInd w:val="0"/>
        <w:snapToGrid w:val="0"/>
        <w:spacing w:line="288" w:lineRule="auto"/>
        <w:ind w:firstLine="1058" w:firstLineChars="294"/>
        <w:jc w:val="center"/>
        <w:rPr>
          <w:rFonts w:ascii="仿宋_GB2312" w:eastAsia="仿宋_GB2312"/>
          <w:color w:val="000000" w:themeColor="text1"/>
          <w:sz w:val="36"/>
          <w:szCs w:val="36"/>
          <w:highlight w:val="none"/>
          <w:u w:val="single"/>
        </w:rPr>
      </w:pPr>
      <w:r>
        <w:rPr>
          <w:rFonts w:hint="eastAsia" w:ascii="仿宋_GB2312" w:eastAsia="仿宋_GB2312"/>
          <w:color w:val="000000" w:themeColor="text1"/>
          <w:sz w:val="36"/>
          <w:szCs w:val="36"/>
          <w:highlight w:val="none"/>
        </w:rPr>
        <w:t>建设单位（盖章）：</w:t>
      </w:r>
      <w:r>
        <w:rPr>
          <w:rFonts w:hint="eastAsia" w:ascii="仿宋_GB2312" w:eastAsia="仿宋_GB2312"/>
          <w:color w:val="000000" w:themeColor="text1"/>
          <w:sz w:val="36"/>
          <w:szCs w:val="36"/>
          <w:highlight w:val="none"/>
          <w:u w:val="single"/>
        </w:rPr>
        <w:t>内蒙古汇能煤电集团富民煤矿有限责任公司</w:t>
      </w:r>
    </w:p>
    <w:p w14:paraId="6D36D0DA">
      <w:pPr>
        <w:adjustRightInd w:val="0"/>
        <w:snapToGrid w:val="0"/>
        <w:spacing w:line="288" w:lineRule="auto"/>
        <w:ind w:firstLine="1040"/>
        <w:rPr>
          <w:rFonts w:ascii="仿宋_GB2312" w:eastAsia="仿宋_GB2312"/>
          <w:color w:val="000000" w:themeColor="text1"/>
          <w:sz w:val="36"/>
          <w:szCs w:val="36"/>
          <w:highlight w:val="none"/>
          <w:u w:val="single"/>
        </w:rPr>
      </w:pPr>
      <w:r>
        <w:rPr>
          <w:rFonts w:hint="eastAsia" w:ascii="仿宋_GB2312" w:eastAsia="仿宋_GB2312"/>
          <w:color w:val="000000" w:themeColor="text1"/>
          <w:sz w:val="36"/>
          <w:szCs w:val="36"/>
          <w:highlight w:val="none"/>
        </w:rPr>
        <w:t>编制日期：</w:t>
      </w:r>
      <w:r>
        <w:rPr>
          <w:rFonts w:hint="eastAsia" w:ascii="仿宋_GB2312" w:eastAsia="仿宋_GB2312"/>
          <w:color w:val="000000" w:themeColor="text1"/>
          <w:sz w:val="36"/>
          <w:szCs w:val="36"/>
          <w:highlight w:val="none"/>
          <w:u w:val="single"/>
        </w:rPr>
        <w:t>202</w:t>
      </w:r>
      <w:r>
        <w:rPr>
          <w:rFonts w:hint="eastAsia" w:ascii="仿宋_GB2312" w:eastAsia="仿宋_GB2312"/>
          <w:color w:val="000000" w:themeColor="text1"/>
          <w:sz w:val="36"/>
          <w:szCs w:val="36"/>
          <w:highlight w:val="none"/>
          <w:u w:val="single"/>
          <w:lang w:val="en-US" w:eastAsia="zh-CN"/>
        </w:rPr>
        <w:t>5</w:t>
      </w:r>
      <w:r>
        <w:rPr>
          <w:rFonts w:hint="eastAsia" w:ascii="仿宋_GB2312" w:eastAsia="仿宋_GB2312"/>
          <w:color w:val="000000" w:themeColor="text1"/>
          <w:sz w:val="36"/>
          <w:szCs w:val="36"/>
          <w:highlight w:val="none"/>
          <w:u w:val="single"/>
        </w:rPr>
        <w:t>年1</w:t>
      </w:r>
      <w:r>
        <w:rPr>
          <w:rFonts w:hint="eastAsia" w:ascii="仿宋_GB2312" w:eastAsia="仿宋_GB2312"/>
          <w:color w:val="000000" w:themeColor="text1"/>
          <w:sz w:val="36"/>
          <w:szCs w:val="36"/>
          <w:highlight w:val="none"/>
          <w:u w:val="single"/>
          <w:lang w:val="en-US" w:eastAsia="zh-CN"/>
        </w:rPr>
        <w:t>0</w:t>
      </w:r>
      <w:r>
        <w:rPr>
          <w:rFonts w:hint="eastAsia" w:ascii="仿宋_GB2312" w:eastAsia="仿宋_GB2312"/>
          <w:color w:val="000000" w:themeColor="text1"/>
          <w:sz w:val="36"/>
          <w:szCs w:val="36"/>
          <w:highlight w:val="none"/>
          <w:u w:val="single"/>
        </w:rPr>
        <w:t>月</w:t>
      </w:r>
    </w:p>
    <w:p w14:paraId="4C79B533">
      <w:pPr>
        <w:adjustRightInd w:val="0"/>
        <w:snapToGrid w:val="0"/>
        <w:spacing w:line="288" w:lineRule="auto"/>
        <w:ind w:firstLine="1040"/>
        <w:rPr>
          <w:rFonts w:ascii="仿宋_GB2312" w:eastAsia="仿宋_GB2312"/>
          <w:color w:val="000000" w:themeColor="text1"/>
          <w:sz w:val="36"/>
          <w:szCs w:val="36"/>
          <w:highlight w:val="none"/>
          <w:u w:val="single"/>
        </w:rPr>
      </w:pPr>
    </w:p>
    <w:p w14:paraId="12190F6E">
      <w:pPr>
        <w:adjustRightInd w:val="0"/>
        <w:snapToGrid w:val="0"/>
        <w:spacing w:line="288" w:lineRule="auto"/>
        <w:ind w:firstLine="1040"/>
        <w:rPr>
          <w:rFonts w:ascii="仿宋_GB2312" w:eastAsia="仿宋_GB2312"/>
          <w:color w:val="000000" w:themeColor="text1"/>
          <w:sz w:val="36"/>
          <w:szCs w:val="36"/>
          <w:highlight w:val="none"/>
        </w:rPr>
      </w:pPr>
    </w:p>
    <w:p w14:paraId="0974AF6A">
      <w:pPr>
        <w:adjustRightInd w:val="0"/>
        <w:snapToGrid w:val="0"/>
        <w:spacing w:line="288" w:lineRule="auto"/>
        <w:ind w:firstLine="1040"/>
        <w:rPr>
          <w:rFonts w:ascii="仿宋_GB2312" w:eastAsia="仿宋_GB2312"/>
          <w:color w:val="000000" w:themeColor="text1"/>
          <w:sz w:val="36"/>
          <w:szCs w:val="36"/>
          <w:highlight w:val="none"/>
        </w:rPr>
      </w:pPr>
    </w:p>
    <w:p w14:paraId="4891CFD3">
      <w:pPr>
        <w:adjustRightInd w:val="0"/>
        <w:snapToGrid w:val="0"/>
        <w:spacing w:line="288" w:lineRule="auto"/>
        <w:ind w:firstLine="1040"/>
        <w:rPr>
          <w:rFonts w:ascii="仿宋_GB2312" w:eastAsia="仿宋_GB2312"/>
          <w:color w:val="000000" w:themeColor="text1"/>
          <w:sz w:val="36"/>
          <w:szCs w:val="36"/>
          <w:highlight w:val="none"/>
        </w:rPr>
      </w:pPr>
    </w:p>
    <w:p w14:paraId="0C93382A">
      <w:pPr>
        <w:adjustRightInd w:val="0"/>
        <w:snapToGrid w:val="0"/>
        <w:spacing w:line="288" w:lineRule="auto"/>
        <w:ind w:firstLine="1040"/>
        <w:rPr>
          <w:rFonts w:ascii="仿宋_GB2312" w:eastAsia="仿宋_GB2312"/>
          <w:color w:val="000000" w:themeColor="text1"/>
          <w:sz w:val="36"/>
          <w:szCs w:val="36"/>
          <w:highlight w:val="none"/>
        </w:rPr>
      </w:pPr>
    </w:p>
    <w:p w14:paraId="5E532E87">
      <w:pPr>
        <w:adjustRightInd w:val="0"/>
        <w:snapToGrid w:val="0"/>
        <w:spacing w:line="288" w:lineRule="auto"/>
        <w:jc w:val="center"/>
        <w:rPr>
          <w:rFonts w:ascii="仿宋_GB2312" w:eastAsia="仿宋_GB2312"/>
          <w:color w:val="000000" w:themeColor="text1"/>
          <w:sz w:val="36"/>
          <w:szCs w:val="36"/>
          <w:highlight w:val="none"/>
        </w:rPr>
        <w:sectPr>
          <w:footerReference r:id="rId3" w:type="default"/>
          <w:footerReference r:id="rId4" w:type="even"/>
          <w:pgSz w:w="11906" w:h="16838"/>
          <w:pgMar w:top="1701" w:right="1531" w:bottom="1701" w:left="1531" w:header="851" w:footer="1077" w:gutter="0"/>
          <w:pgNumType w:start="1"/>
          <w:cols w:space="720" w:num="1"/>
          <w:docGrid w:linePitch="312" w:charSpace="0"/>
        </w:sectPr>
      </w:pPr>
      <w:r>
        <w:rPr>
          <w:rFonts w:hint="eastAsia" w:ascii="楷体_GB2312" w:eastAsia="楷体_GB2312"/>
          <w:color w:val="000000" w:themeColor="text1"/>
          <w:sz w:val="36"/>
          <w:szCs w:val="36"/>
          <w:highlight w:val="none"/>
        </w:rPr>
        <w:t>中华人民共和国生态环境部</w:t>
      </w:r>
    </w:p>
    <w:p w14:paraId="7DB28CAB">
      <w:pPr>
        <w:pStyle w:val="23"/>
        <w:jc w:val="center"/>
        <w:outlineLvl w:val="0"/>
        <w:rPr>
          <w:rFonts w:ascii="黑体" w:hAnsi="黑体" w:eastAsia="黑体"/>
          <w:snapToGrid w:val="0"/>
          <w:color w:val="000000" w:themeColor="text1"/>
          <w:sz w:val="30"/>
          <w:szCs w:val="30"/>
          <w:highlight w:val="none"/>
        </w:rPr>
      </w:pPr>
      <w:r>
        <w:rPr>
          <w:rFonts w:hint="eastAsia" w:ascii="黑体" w:hAnsi="黑体" w:eastAsia="黑体"/>
          <w:snapToGrid w:val="0"/>
          <w:color w:val="000000" w:themeColor="text1"/>
          <w:sz w:val="30"/>
          <w:szCs w:val="30"/>
          <w:highlight w:val="none"/>
        </w:rPr>
        <w:t>一、建设项目基本情况</w:t>
      </w:r>
    </w:p>
    <w:tbl>
      <w:tblPr>
        <w:tblStyle w:val="26"/>
        <w:tblW w:w="903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2226"/>
        <w:gridCol w:w="2043"/>
        <w:gridCol w:w="2074"/>
        <w:gridCol w:w="2696"/>
      </w:tblGrid>
      <w:tr w14:paraId="553F6E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2226" w:type="dxa"/>
            <w:tcMar>
              <w:top w:w="16" w:type="dxa"/>
              <w:left w:w="16" w:type="dxa"/>
              <w:right w:w="16" w:type="dxa"/>
            </w:tcMar>
            <w:vAlign w:val="center"/>
          </w:tcPr>
          <w:p w14:paraId="5CDBD571">
            <w:pPr>
              <w:adjustRightInd w:val="0"/>
              <w:snapToGrid w:val="0"/>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建设项目名称</w:t>
            </w:r>
          </w:p>
        </w:tc>
        <w:tc>
          <w:tcPr>
            <w:tcW w:w="6813" w:type="dxa"/>
            <w:gridSpan w:val="3"/>
            <w:vAlign w:val="center"/>
          </w:tcPr>
          <w:p w14:paraId="204A0652">
            <w:pPr>
              <w:adjustRightInd w:val="0"/>
              <w:snapToGrid w:val="0"/>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内蒙古汇能煤电集团富民煤矿有限责任公司煤矿改建项目（新增井筒及三水平延升）</w:t>
            </w:r>
          </w:p>
        </w:tc>
      </w:tr>
      <w:tr w14:paraId="64B4FB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2226" w:type="dxa"/>
            <w:tcMar>
              <w:top w:w="16" w:type="dxa"/>
              <w:left w:w="16" w:type="dxa"/>
              <w:right w:w="16" w:type="dxa"/>
            </w:tcMar>
            <w:vAlign w:val="center"/>
          </w:tcPr>
          <w:p w14:paraId="63A253E9">
            <w:pPr>
              <w:adjustRightInd w:val="0"/>
              <w:snapToGrid w:val="0"/>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项目代码</w:t>
            </w:r>
          </w:p>
        </w:tc>
        <w:tc>
          <w:tcPr>
            <w:tcW w:w="6813" w:type="dxa"/>
            <w:gridSpan w:val="3"/>
            <w:vAlign w:val="center"/>
          </w:tcPr>
          <w:p w14:paraId="20A15F53">
            <w:pPr>
              <w:adjustRightInd w:val="0"/>
              <w:snapToGrid w:val="0"/>
              <w:jc w:val="center"/>
              <w:rPr>
                <w:color w:val="000000" w:themeColor="text1"/>
                <w:sz w:val="24"/>
                <w:highlight w:val="none"/>
              </w:rPr>
            </w:pPr>
            <w:r>
              <w:rPr>
                <w:color w:val="000000" w:themeColor="text1"/>
                <w:sz w:val="24"/>
                <w:highlight w:val="none"/>
              </w:rPr>
              <w:t>2410-150622-60-02-521133</w:t>
            </w:r>
          </w:p>
        </w:tc>
      </w:tr>
      <w:tr w14:paraId="08E783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2226" w:type="dxa"/>
            <w:tcMar>
              <w:top w:w="16" w:type="dxa"/>
              <w:left w:w="16" w:type="dxa"/>
              <w:right w:w="16" w:type="dxa"/>
            </w:tcMar>
            <w:vAlign w:val="center"/>
          </w:tcPr>
          <w:p w14:paraId="74161806">
            <w:pPr>
              <w:adjustRightInd w:val="0"/>
              <w:snapToGrid w:val="0"/>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建设单位联系人</w:t>
            </w:r>
          </w:p>
        </w:tc>
        <w:tc>
          <w:tcPr>
            <w:tcW w:w="2043" w:type="dxa"/>
            <w:vAlign w:val="center"/>
          </w:tcPr>
          <w:p w14:paraId="2E0774F5">
            <w:pPr>
              <w:adjustRightInd w:val="0"/>
              <w:snapToGrid w:val="0"/>
              <w:jc w:val="center"/>
              <w:rPr>
                <w:color w:val="000000" w:themeColor="text1"/>
                <w:sz w:val="24"/>
                <w:highlight w:val="none"/>
              </w:rPr>
            </w:pPr>
            <w:r>
              <w:rPr>
                <w:color w:val="000000" w:themeColor="text1"/>
                <w:sz w:val="24"/>
                <w:highlight w:val="none"/>
              </w:rPr>
              <w:t>王超</w:t>
            </w:r>
          </w:p>
        </w:tc>
        <w:tc>
          <w:tcPr>
            <w:tcW w:w="2074" w:type="dxa"/>
            <w:vAlign w:val="center"/>
          </w:tcPr>
          <w:p w14:paraId="774FE3F7">
            <w:pPr>
              <w:adjustRightInd w:val="0"/>
              <w:snapToGrid w:val="0"/>
              <w:jc w:val="center"/>
              <w:rPr>
                <w:color w:val="000000" w:themeColor="text1"/>
                <w:sz w:val="24"/>
                <w:highlight w:val="none"/>
              </w:rPr>
            </w:pPr>
            <w:r>
              <w:rPr>
                <w:color w:val="000000" w:themeColor="text1"/>
                <w:sz w:val="24"/>
                <w:highlight w:val="none"/>
              </w:rPr>
              <w:t>联系方式</w:t>
            </w:r>
          </w:p>
        </w:tc>
        <w:tc>
          <w:tcPr>
            <w:tcW w:w="2696" w:type="dxa"/>
            <w:vAlign w:val="center"/>
          </w:tcPr>
          <w:p w14:paraId="1E809D26">
            <w:pPr>
              <w:adjustRightInd w:val="0"/>
              <w:snapToGrid w:val="0"/>
              <w:jc w:val="center"/>
              <w:rPr>
                <w:color w:val="000000" w:themeColor="text1"/>
                <w:sz w:val="24"/>
                <w:highlight w:val="none"/>
              </w:rPr>
            </w:pPr>
            <w:r>
              <w:rPr>
                <w:color w:val="000000" w:themeColor="text1"/>
                <w:sz w:val="24"/>
                <w:highlight w:val="none"/>
              </w:rPr>
              <w:t>15044755839</w:t>
            </w:r>
          </w:p>
        </w:tc>
      </w:tr>
      <w:tr w14:paraId="1C5710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2226" w:type="dxa"/>
            <w:tcMar>
              <w:top w:w="16" w:type="dxa"/>
              <w:left w:w="16" w:type="dxa"/>
              <w:right w:w="16" w:type="dxa"/>
            </w:tcMar>
            <w:vAlign w:val="center"/>
          </w:tcPr>
          <w:p w14:paraId="3386408E">
            <w:pPr>
              <w:adjustRightInd w:val="0"/>
              <w:snapToGrid w:val="0"/>
              <w:spacing w:beforeLines="50"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建设地点</w:t>
            </w:r>
          </w:p>
        </w:tc>
        <w:tc>
          <w:tcPr>
            <w:tcW w:w="6813" w:type="dxa"/>
            <w:gridSpan w:val="3"/>
            <w:vAlign w:val="center"/>
          </w:tcPr>
          <w:p w14:paraId="032DEFBC">
            <w:pPr>
              <w:adjustRightInd w:val="0"/>
              <w:snapToGrid w:val="0"/>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伊金霍洛旗纳林陶亥镇朱日根沟村三社</w:t>
            </w:r>
            <w:r>
              <w:rPr>
                <w:rFonts w:hint="eastAsia"/>
                <w:color w:val="000000" w:themeColor="text1"/>
                <w:sz w:val="24"/>
                <w:highlight w:val="none"/>
              </w:rPr>
              <w:t>富民煤矿矿界范围内</w:t>
            </w:r>
          </w:p>
        </w:tc>
      </w:tr>
      <w:tr w14:paraId="47B073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04" w:hRule="atLeast"/>
          <w:jc w:val="center"/>
        </w:trPr>
        <w:tc>
          <w:tcPr>
            <w:tcW w:w="2226" w:type="dxa"/>
            <w:tcMar>
              <w:top w:w="16" w:type="dxa"/>
              <w:left w:w="16" w:type="dxa"/>
              <w:right w:w="16" w:type="dxa"/>
            </w:tcMar>
            <w:vAlign w:val="center"/>
          </w:tcPr>
          <w:p w14:paraId="0EF85393">
            <w:pPr>
              <w:adjustRightInd w:val="0"/>
              <w:snapToGrid w:val="0"/>
              <w:spacing w:beforeLines="50"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地理坐标</w:t>
            </w:r>
          </w:p>
        </w:tc>
        <w:tc>
          <w:tcPr>
            <w:tcW w:w="6813" w:type="dxa"/>
            <w:gridSpan w:val="3"/>
            <w:vAlign w:val="center"/>
          </w:tcPr>
          <w:p w14:paraId="5AB99B16">
            <w:pPr>
              <w:adjustRightInd w:val="0"/>
              <w:snapToGrid w:val="0"/>
              <w:jc w:val="center"/>
              <w:rPr>
                <w:rFonts w:ascii="宋体" w:hAnsi="宋体" w:cs="宋体"/>
                <w:color w:val="000000" w:themeColor="text1"/>
                <w:sz w:val="24"/>
                <w:highlight w:val="none"/>
              </w:rPr>
            </w:pPr>
            <w:r>
              <w:rPr>
                <w:rFonts w:hint="eastAsia"/>
                <w:color w:val="000000" w:themeColor="text1"/>
                <w:kern w:val="0"/>
                <w:sz w:val="24"/>
                <w:highlight w:val="none"/>
              </w:rPr>
              <w:t>E</w:t>
            </w:r>
            <w:r>
              <w:rPr>
                <w:color w:val="000000" w:themeColor="text1"/>
                <w:kern w:val="0"/>
                <w:sz w:val="24"/>
                <w:highlight w:val="none"/>
              </w:rPr>
              <w:t>110°18′35.277″，</w:t>
            </w:r>
            <w:r>
              <w:rPr>
                <w:rFonts w:hint="eastAsia"/>
                <w:color w:val="000000" w:themeColor="text1"/>
                <w:kern w:val="0"/>
                <w:sz w:val="24"/>
                <w:highlight w:val="none"/>
              </w:rPr>
              <w:t>N</w:t>
            </w:r>
            <w:r>
              <w:rPr>
                <w:color w:val="000000" w:themeColor="text1"/>
                <w:kern w:val="0"/>
                <w:sz w:val="24"/>
                <w:highlight w:val="none"/>
              </w:rPr>
              <w:t>39°36′57.361″</w:t>
            </w:r>
          </w:p>
        </w:tc>
      </w:tr>
      <w:tr w14:paraId="629F13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jc w:val="center"/>
        </w:trPr>
        <w:tc>
          <w:tcPr>
            <w:tcW w:w="2226" w:type="dxa"/>
            <w:tcMar>
              <w:top w:w="16" w:type="dxa"/>
              <w:left w:w="16" w:type="dxa"/>
              <w:right w:w="16" w:type="dxa"/>
            </w:tcMar>
            <w:vAlign w:val="center"/>
          </w:tcPr>
          <w:p w14:paraId="7819BDC3">
            <w:pPr>
              <w:adjustRightInd w:val="0"/>
              <w:snapToGrid w:val="0"/>
              <w:spacing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建设项目</w:t>
            </w:r>
          </w:p>
          <w:p w14:paraId="3C0A5B5F">
            <w:pPr>
              <w:adjustRightInd w:val="0"/>
              <w:snapToGrid w:val="0"/>
              <w:spacing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行业类别</w:t>
            </w:r>
          </w:p>
        </w:tc>
        <w:tc>
          <w:tcPr>
            <w:tcW w:w="2043" w:type="dxa"/>
            <w:vAlign w:val="center"/>
          </w:tcPr>
          <w:p w14:paraId="6D76E697">
            <w:pPr>
              <w:adjustRightInd w:val="0"/>
              <w:snapToGrid w:val="0"/>
              <w:spacing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w:t>
            </w:r>
            <w:r>
              <w:rPr>
                <w:color w:val="000000" w:themeColor="text1"/>
                <w:sz w:val="24"/>
                <w:highlight w:val="none"/>
              </w:rPr>
              <w:t>四、煤炭开采和洗选业06”中的“煤炭洗选、配煤；煤炭储存、集运；风井场地、瓦斯抽放站；矿区修复治理工程”</w:t>
            </w:r>
          </w:p>
        </w:tc>
        <w:tc>
          <w:tcPr>
            <w:tcW w:w="2074" w:type="dxa"/>
            <w:vAlign w:val="center"/>
          </w:tcPr>
          <w:p w14:paraId="75498E11">
            <w:pPr>
              <w:adjustRightInd w:val="0"/>
              <w:snapToGrid w:val="0"/>
              <w:spacing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用</w:t>
            </w:r>
            <w:r>
              <w:rPr>
                <w:color w:val="000000" w:themeColor="text1"/>
                <w:sz w:val="24"/>
                <w:highlight w:val="none"/>
              </w:rPr>
              <w:t>地面积（m</w:t>
            </w:r>
            <w:r>
              <w:rPr>
                <w:color w:val="000000" w:themeColor="text1"/>
                <w:sz w:val="24"/>
                <w:highlight w:val="none"/>
                <w:vertAlign w:val="superscript"/>
              </w:rPr>
              <w:t>2</w:t>
            </w:r>
            <w:r>
              <w:rPr>
                <w:color w:val="000000" w:themeColor="text1"/>
                <w:sz w:val="24"/>
                <w:highlight w:val="none"/>
              </w:rPr>
              <w:t>）</w:t>
            </w:r>
          </w:p>
        </w:tc>
        <w:tc>
          <w:tcPr>
            <w:tcW w:w="2696" w:type="dxa"/>
            <w:vAlign w:val="center"/>
          </w:tcPr>
          <w:p w14:paraId="18EECE52">
            <w:pPr>
              <w:adjustRightInd w:val="0"/>
              <w:snapToGrid w:val="0"/>
              <w:spacing w:line="360" w:lineRule="auto"/>
              <w:jc w:val="center"/>
              <w:rPr>
                <w:color w:val="000000" w:themeColor="text1"/>
                <w:sz w:val="24"/>
                <w:highlight w:val="none"/>
                <w:vertAlign w:val="superscript"/>
              </w:rPr>
            </w:pPr>
            <w:r>
              <w:rPr>
                <w:rFonts w:hint="eastAsia"/>
                <w:color w:val="000000" w:themeColor="text1"/>
                <w:sz w:val="24"/>
                <w:highlight w:val="none"/>
              </w:rPr>
              <w:t>总用地6000</w:t>
            </w:r>
            <w:r>
              <w:rPr>
                <w:color w:val="000000" w:themeColor="text1"/>
                <w:sz w:val="24"/>
                <w:highlight w:val="none"/>
              </w:rPr>
              <w:t>m</w:t>
            </w:r>
            <w:r>
              <w:rPr>
                <w:color w:val="000000" w:themeColor="text1"/>
                <w:sz w:val="24"/>
                <w:highlight w:val="none"/>
                <w:vertAlign w:val="superscript"/>
              </w:rPr>
              <w:t>2</w:t>
            </w:r>
            <w:r>
              <w:rPr>
                <w:rFonts w:hint="eastAsia"/>
                <w:color w:val="000000" w:themeColor="text1"/>
                <w:sz w:val="24"/>
                <w:highlight w:val="none"/>
              </w:rPr>
              <w:t>，全部为永久用地</w:t>
            </w:r>
          </w:p>
        </w:tc>
      </w:tr>
      <w:tr w14:paraId="384FEA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363" w:hRule="atLeast"/>
          <w:jc w:val="center"/>
        </w:trPr>
        <w:tc>
          <w:tcPr>
            <w:tcW w:w="2226" w:type="dxa"/>
            <w:tcMar>
              <w:top w:w="16" w:type="dxa"/>
              <w:left w:w="16" w:type="dxa"/>
              <w:right w:w="16" w:type="dxa"/>
            </w:tcMar>
            <w:vAlign w:val="center"/>
          </w:tcPr>
          <w:p w14:paraId="45969272">
            <w:pPr>
              <w:adjustRightInd w:val="0"/>
              <w:snapToGrid w:val="0"/>
              <w:spacing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建设性质</w:t>
            </w:r>
          </w:p>
        </w:tc>
        <w:tc>
          <w:tcPr>
            <w:tcW w:w="2043" w:type="dxa"/>
            <w:vAlign w:val="center"/>
          </w:tcPr>
          <w:p w14:paraId="3E2F2AD5">
            <w:pPr>
              <w:adjustRightInd w:val="0"/>
              <w:snapToGrid w:val="0"/>
              <w:spacing w:line="360" w:lineRule="auto"/>
              <w:jc w:val="left"/>
              <w:rPr>
                <w:rFonts w:ascii="宋体" w:hAnsi="宋体" w:cs="宋体"/>
                <w:color w:val="000000" w:themeColor="text1"/>
                <w:sz w:val="24"/>
                <w:highlight w:val="none"/>
              </w:rPr>
            </w:pPr>
            <w:r>
              <w:rPr>
                <w:rFonts w:hint="eastAsia" w:ascii="宋体" w:hAnsi="宋体" w:cs="宋体"/>
                <w:color w:val="000000" w:themeColor="text1"/>
                <w:sz w:val="24"/>
                <w:highlight w:val="none"/>
              </w:rPr>
              <w:t>☑新建（迁建）</w:t>
            </w:r>
          </w:p>
          <w:p w14:paraId="68E09A01">
            <w:pPr>
              <w:adjustRightInd w:val="0"/>
              <w:snapToGrid w:val="0"/>
              <w:spacing w:line="360" w:lineRule="auto"/>
              <w:jc w:val="left"/>
              <w:rPr>
                <w:rFonts w:ascii="宋体" w:hAnsi="宋体" w:cs="宋体"/>
                <w:color w:val="000000" w:themeColor="text1"/>
                <w:sz w:val="24"/>
                <w:highlight w:val="none"/>
              </w:rPr>
            </w:pPr>
            <w:r>
              <w:rPr>
                <w:rFonts w:hint="eastAsia" w:ascii="宋体" w:hAnsi="宋体" w:cs="宋体"/>
                <w:color w:val="000000" w:themeColor="text1"/>
                <w:sz w:val="24"/>
                <w:highlight w:val="none"/>
              </w:rPr>
              <w:t>□改建</w:t>
            </w:r>
          </w:p>
          <w:p w14:paraId="370B6C14">
            <w:pPr>
              <w:adjustRightInd w:val="0"/>
              <w:snapToGrid w:val="0"/>
              <w:spacing w:line="360" w:lineRule="auto"/>
              <w:jc w:val="left"/>
              <w:rPr>
                <w:rFonts w:ascii="宋体" w:hAnsi="宋体" w:cs="宋体"/>
                <w:color w:val="000000" w:themeColor="text1"/>
                <w:sz w:val="24"/>
                <w:highlight w:val="none"/>
              </w:rPr>
            </w:pPr>
            <w:r>
              <w:rPr>
                <w:rFonts w:hint="eastAsia" w:ascii="宋体" w:hAnsi="宋体" w:cs="宋体"/>
                <w:color w:val="000000" w:themeColor="text1"/>
                <w:sz w:val="24"/>
                <w:highlight w:val="none"/>
              </w:rPr>
              <w:t>□扩建</w:t>
            </w:r>
          </w:p>
          <w:p w14:paraId="195A2BED">
            <w:pPr>
              <w:adjustRightInd w:val="0"/>
              <w:snapToGrid w:val="0"/>
              <w:spacing w:line="360" w:lineRule="auto"/>
              <w:jc w:val="left"/>
              <w:rPr>
                <w:rFonts w:ascii="宋体" w:hAnsi="宋体" w:cs="宋体"/>
                <w:color w:val="000000" w:themeColor="text1"/>
                <w:sz w:val="24"/>
                <w:highlight w:val="none"/>
              </w:rPr>
            </w:pPr>
            <w:r>
              <w:rPr>
                <w:rFonts w:hint="eastAsia" w:ascii="宋体" w:hAnsi="宋体" w:cs="宋体"/>
                <w:color w:val="000000" w:themeColor="text1"/>
                <w:sz w:val="24"/>
                <w:highlight w:val="none"/>
              </w:rPr>
              <w:t>□技术改造</w:t>
            </w:r>
          </w:p>
        </w:tc>
        <w:tc>
          <w:tcPr>
            <w:tcW w:w="2074" w:type="dxa"/>
            <w:vAlign w:val="center"/>
          </w:tcPr>
          <w:p w14:paraId="2837A5B9">
            <w:pPr>
              <w:adjustRightInd w:val="0"/>
              <w:snapToGrid w:val="0"/>
              <w:spacing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建设项目</w:t>
            </w:r>
          </w:p>
          <w:p w14:paraId="56544112">
            <w:pPr>
              <w:adjustRightInd w:val="0"/>
              <w:snapToGrid w:val="0"/>
              <w:spacing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申报情形</w:t>
            </w:r>
          </w:p>
        </w:tc>
        <w:tc>
          <w:tcPr>
            <w:tcW w:w="2696" w:type="dxa"/>
            <w:vAlign w:val="center"/>
          </w:tcPr>
          <w:p w14:paraId="235DD71B">
            <w:pPr>
              <w:adjustRightInd w:val="0"/>
              <w:snapToGrid w:val="0"/>
              <w:spacing w:line="360" w:lineRule="auto"/>
              <w:jc w:val="left"/>
              <w:rPr>
                <w:rFonts w:ascii="宋体" w:hAnsi="宋体" w:cs="宋体"/>
                <w:color w:val="000000" w:themeColor="text1"/>
                <w:sz w:val="24"/>
                <w:highlight w:val="none"/>
              </w:rPr>
            </w:pPr>
            <w:r>
              <w:rPr>
                <w:rFonts w:hint="eastAsia" w:ascii="宋体" w:hAnsi="宋体" w:cs="宋体"/>
                <w:color w:val="000000" w:themeColor="text1"/>
                <w:sz w:val="24"/>
                <w:highlight w:val="none"/>
              </w:rPr>
              <w:t>☑首次申报项目</w:t>
            </w:r>
          </w:p>
          <w:p w14:paraId="59C79981">
            <w:pPr>
              <w:adjustRightInd w:val="0"/>
              <w:snapToGrid w:val="0"/>
              <w:spacing w:line="360" w:lineRule="auto"/>
              <w:jc w:val="left"/>
              <w:rPr>
                <w:rFonts w:ascii="宋体" w:hAnsi="宋体" w:cs="宋体"/>
                <w:color w:val="000000" w:themeColor="text1"/>
                <w:sz w:val="24"/>
                <w:highlight w:val="none"/>
              </w:rPr>
            </w:pPr>
            <w:r>
              <w:rPr>
                <w:rFonts w:hint="eastAsia" w:ascii="宋体" w:hAnsi="宋体" w:cs="宋体"/>
                <w:color w:val="000000" w:themeColor="text1"/>
                <w:sz w:val="24"/>
                <w:highlight w:val="none"/>
              </w:rPr>
              <w:t>□不予批准后再次申报项目</w:t>
            </w:r>
          </w:p>
          <w:p w14:paraId="7793E893">
            <w:pPr>
              <w:adjustRightInd w:val="0"/>
              <w:snapToGrid w:val="0"/>
              <w:spacing w:line="360" w:lineRule="auto"/>
              <w:jc w:val="left"/>
              <w:rPr>
                <w:rFonts w:ascii="宋体" w:hAnsi="宋体" w:cs="宋体"/>
                <w:color w:val="000000" w:themeColor="text1"/>
                <w:sz w:val="24"/>
                <w:highlight w:val="none"/>
              </w:rPr>
            </w:pPr>
            <w:r>
              <w:rPr>
                <w:rFonts w:hint="eastAsia" w:ascii="宋体" w:hAnsi="宋体" w:cs="宋体"/>
                <w:color w:val="000000" w:themeColor="text1"/>
                <w:sz w:val="24"/>
                <w:highlight w:val="none"/>
              </w:rPr>
              <w:t>□超五年重新审核项目</w:t>
            </w:r>
          </w:p>
          <w:p w14:paraId="48058E74">
            <w:pPr>
              <w:adjustRightInd w:val="0"/>
              <w:snapToGrid w:val="0"/>
              <w:spacing w:line="360" w:lineRule="auto"/>
              <w:rPr>
                <w:rFonts w:ascii="宋体" w:hAnsi="宋体" w:cs="宋体"/>
                <w:color w:val="000000" w:themeColor="text1"/>
                <w:sz w:val="24"/>
                <w:highlight w:val="none"/>
              </w:rPr>
            </w:pPr>
            <w:r>
              <w:rPr>
                <w:rFonts w:hint="eastAsia" w:ascii="宋体" w:hAnsi="宋体" w:cs="宋体"/>
                <w:color w:val="000000" w:themeColor="text1"/>
                <w:sz w:val="24"/>
                <w:highlight w:val="none"/>
              </w:rPr>
              <w:t>□重大变动重新报批项目</w:t>
            </w:r>
          </w:p>
        </w:tc>
      </w:tr>
      <w:tr w14:paraId="0218E6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jc w:val="center"/>
        </w:trPr>
        <w:tc>
          <w:tcPr>
            <w:tcW w:w="2226" w:type="dxa"/>
            <w:tcMar>
              <w:top w:w="16" w:type="dxa"/>
              <w:left w:w="16" w:type="dxa"/>
              <w:right w:w="16" w:type="dxa"/>
            </w:tcMar>
            <w:vAlign w:val="center"/>
          </w:tcPr>
          <w:p w14:paraId="6451EFB4">
            <w:pPr>
              <w:adjustRightInd w:val="0"/>
              <w:snapToGrid w:val="0"/>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项目审批（核准</w:t>
            </w:r>
            <w:r>
              <w:rPr>
                <w:rFonts w:ascii="宋体" w:hAnsi="宋体" w:cs="宋体"/>
                <w:color w:val="000000" w:themeColor="text1"/>
                <w:sz w:val="24"/>
                <w:highlight w:val="none"/>
              </w:rPr>
              <w:t>/</w:t>
            </w:r>
          </w:p>
          <w:p w14:paraId="1EBA32CE">
            <w:pPr>
              <w:adjustRightInd w:val="0"/>
              <w:snapToGrid w:val="0"/>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备案）部门（选填）</w:t>
            </w:r>
          </w:p>
        </w:tc>
        <w:tc>
          <w:tcPr>
            <w:tcW w:w="2043" w:type="dxa"/>
            <w:vAlign w:val="center"/>
          </w:tcPr>
          <w:p w14:paraId="6D87755D">
            <w:pPr>
              <w:adjustRightInd w:val="0"/>
              <w:snapToGrid w:val="0"/>
              <w:jc w:val="center"/>
              <w:rPr>
                <w:rFonts w:ascii="宋体" w:hAnsi="宋体" w:cs="宋体"/>
                <w:color w:val="000000" w:themeColor="text1"/>
                <w:sz w:val="24"/>
                <w:highlight w:val="none"/>
              </w:rPr>
            </w:pPr>
            <w:r>
              <w:rPr>
                <w:rFonts w:hint="eastAsia" w:ascii="宋体" w:hAnsi="宋体" w:cs="宋体"/>
                <w:color w:val="000000" w:themeColor="text1"/>
                <w:sz w:val="24"/>
                <w:highlight w:val="yellow"/>
              </w:rPr>
              <w:t>杭锦旗发展和改革委员会</w:t>
            </w:r>
          </w:p>
        </w:tc>
        <w:tc>
          <w:tcPr>
            <w:tcW w:w="2074" w:type="dxa"/>
            <w:vAlign w:val="center"/>
          </w:tcPr>
          <w:p w14:paraId="53D0F890">
            <w:pPr>
              <w:adjustRightInd w:val="0"/>
              <w:snapToGrid w:val="0"/>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项目审批（核准</w:t>
            </w:r>
            <w:r>
              <w:rPr>
                <w:rFonts w:ascii="宋体" w:hAnsi="宋体" w:cs="宋体"/>
                <w:color w:val="000000" w:themeColor="text1"/>
                <w:sz w:val="24"/>
                <w:highlight w:val="none"/>
              </w:rPr>
              <w:t>/</w:t>
            </w:r>
          </w:p>
          <w:p w14:paraId="7483E8D2">
            <w:pPr>
              <w:adjustRightInd w:val="0"/>
              <w:snapToGrid w:val="0"/>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备案）文号（选填）</w:t>
            </w:r>
          </w:p>
        </w:tc>
        <w:tc>
          <w:tcPr>
            <w:tcW w:w="2696" w:type="dxa"/>
            <w:vAlign w:val="center"/>
          </w:tcPr>
          <w:p w14:paraId="01CC3BCB">
            <w:pPr>
              <w:adjustRightInd w:val="0"/>
              <w:snapToGrid w:val="0"/>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w:t>
            </w:r>
          </w:p>
        </w:tc>
      </w:tr>
      <w:tr w14:paraId="56DD67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55" w:hRule="atLeast"/>
          <w:jc w:val="center"/>
        </w:trPr>
        <w:tc>
          <w:tcPr>
            <w:tcW w:w="2226" w:type="dxa"/>
            <w:tcMar>
              <w:top w:w="16" w:type="dxa"/>
              <w:left w:w="16" w:type="dxa"/>
              <w:right w:w="16" w:type="dxa"/>
            </w:tcMar>
            <w:vAlign w:val="center"/>
          </w:tcPr>
          <w:p w14:paraId="410C69F4">
            <w:pPr>
              <w:adjustRightInd w:val="0"/>
              <w:snapToGrid w:val="0"/>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总投资（万元）</w:t>
            </w:r>
          </w:p>
        </w:tc>
        <w:tc>
          <w:tcPr>
            <w:tcW w:w="2043" w:type="dxa"/>
            <w:vAlign w:val="center"/>
          </w:tcPr>
          <w:p w14:paraId="6B2A998E">
            <w:pPr>
              <w:adjustRightInd w:val="0"/>
              <w:snapToGrid w:val="0"/>
              <w:jc w:val="center"/>
              <w:rPr>
                <w:color w:val="000000" w:themeColor="text1"/>
                <w:sz w:val="24"/>
                <w:highlight w:val="none"/>
              </w:rPr>
            </w:pPr>
            <w:r>
              <w:rPr>
                <w:rFonts w:hint="eastAsia"/>
                <w:color w:val="000000" w:themeColor="text1"/>
                <w:sz w:val="24"/>
                <w:highlight w:val="none"/>
              </w:rPr>
              <w:t>4</w:t>
            </w:r>
            <w:r>
              <w:rPr>
                <w:color w:val="000000" w:themeColor="text1"/>
                <w:sz w:val="24"/>
                <w:highlight w:val="none"/>
              </w:rPr>
              <w:t>2000</w:t>
            </w:r>
          </w:p>
        </w:tc>
        <w:tc>
          <w:tcPr>
            <w:tcW w:w="2074" w:type="dxa"/>
            <w:tcMar>
              <w:top w:w="16" w:type="dxa"/>
              <w:left w:w="16" w:type="dxa"/>
              <w:right w:w="16" w:type="dxa"/>
            </w:tcMar>
            <w:vAlign w:val="center"/>
          </w:tcPr>
          <w:p w14:paraId="67AA9C67">
            <w:pPr>
              <w:adjustRightInd w:val="0"/>
              <w:snapToGrid w:val="0"/>
              <w:jc w:val="center"/>
              <w:rPr>
                <w:color w:val="000000" w:themeColor="text1"/>
                <w:sz w:val="24"/>
                <w:highlight w:val="none"/>
              </w:rPr>
            </w:pPr>
            <w:r>
              <w:rPr>
                <w:color w:val="000000" w:themeColor="text1"/>
                <w:sz w:val="24"/>
                <w:highlight w:val="none"/>
              </w:rPr>
              <w:t>环保投资</w:t>
            </w:r>
            <w:r>
              <w:rPr>
                <w:rFonts w:hint="eastAsia"/>
                <w:color w:val="000000" w:themeColor="text1"/>
                <w:sz w:val="24"/>
                <w:highlight w:val="none"/>
              </w:rPr>
              <w:t>（</w:t>
            </w:r>
            <w:r>
              <w:rPr>
                <w:color w:val="000000" w:themeColor="text1"/>
                <w:sz w:val="24"/>
                <w:highlight w:val="none"/>
              </w:rPr>
              <w:t>万元）</w:t>
            </w:r>
          </w:p>
        </w:tc>
        <w:tc>
          <w:tcPr>
            <w:tcW w:w="2696" w:type="dxa"/>
            <w:vAlign w:val="center"/>
          </w:tcPr>
          <w:p w14:paraId="3431B3A6">
            <w:pPr>
              <w:adjustRightInd w:val="0"/>
              <w:snapToGrid w:val="0"/>
              <w:jc w:val="center"/>
              <w:rPr>
                <w:color w:val="000000" w:themeColor="text1"/>
                <w:sz w:val="24"/>
                <w:highlight w:val="none"/>
              </w:rPr>
            </w:pPr>
            <w:r>
              <w:rPr>
                <w:rFonts w:hint="eastAsia"/>
                <w:bCs/>
                <w:color w:val="000000" w:themeColor="text1"/>
                <w:sz w:val="24"/>
                <w:highlight w:val="none"/>
              </w:rPr>
              <w:t>117</w:t>
            </w:r>
          </w:p>
        </w:tc>
      </w:tr>
      <w:tr w14:paraId="7C2A3E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2226" w:type="dxa"/>
            <w:tcMar>
              <w:top w:w="16" w:type="dxa"/>
              <w:left w:w="16" w:type="dxa"/>
              <w:right w:w="16" w:type="dxa"/>
            </w:tcMar>
            <w:vAlign w:val="center"/>
          </w:tcPr>
          <w:p w14:paraId="25EC93B2">
            <w:pPr>
              <w:adjustRightInd w:val="0"/>
              <w:snapToGrid w:val="0"/>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环保投资占比（</w:t>
            </w:r>
            <w:r>
              <w:rPr>
                <w:rFonts w:ascii="宋体" w:hAnsi="宋体" w:cs="宋体"/>
                <w:color w:val="000000" w:themeColor="text1"/>
                <w:sz w:val="24"/>
                <w:highlight w:val="none"/>
              </w:rPr>
              <w:t>%</w:t>
            </w:r>
            <w:r>
              <w:rPr>
                <w:rFonts w:hint="eastAsia" w:ascii="宋体" w:hAnsi="宋体" w:cs="宋体"/>
                <w:color w:val="000000" w:themeColor="text1"/>
                <w:sz w:val="24"/>
                <w:highlight w:val="none"/>
              </w:rPr>
              <w:t>）</w:t>
            </w:r>
          </w:p>
        </w:tc>
        <w:tc>
          <w:tcPr>
            <w:tcW w:w="2043" w:type="dxa"/>
            <w:vAlign w:val="center"/>
          </w:tcPr>
          <w:p w14:paraId="6BBAF381">
            <w:pPr>
              <w:adjustRightInd w:val="0"/>
              <w:snapToGrid w:val="0"/>
              <w:jc w:val="center"/>
              <w:rPr>
                <w:color w:val="000000" w:themeColor="text1"/>
                <w:sz w:val="24"/>
                <w:highlight w:val="none"/>
              </w:rPr>
            </w:pPr>
            <w:r>
              <w:rPr>
                <w:rFonts w:hint="eastAsia"/>
                <w:color w:val="000000" w:themeColor="text1"/>
                <w:sz w:val="24"/>
                <w:highlight w:val="none"/>
              </w:rPr>
              <w:t>0.28</w:t>
            </w:r>
          </w:p>
        </w:tc>
        <w:tc>
          <w:tcPr>
            <w:tcW w:w="2074" w:type="dxa"/>
            <w:tcMar>
              <w:top w:w="16" w:type="dxa"/>
              <w:left w:w="16" w:type="dxa"/>
              <w:right w:w="16" w:type="dxa"/>
            </w:tcMar>
            <w:vAlign w:val="center"/>
          </w:tcPr>
          <w:p w14:paraId="7E9D6BF4">
            <w:pPr>
              <w:adjustRightInd w:val="0"/>
              <w:snapToGrid w:val="0"/>
              <w:jc w:val="center"/>
              <w:rPr>
                <w:color w:val="000000" w:themeColor="text1"/>
                <w:sz w:val="24"/>
                <w:highlight w:val="none"/>
              </w:rPr>
            </w:pPr>
            <w:r>
              <w:rPr>
                <w:color w:val="000000" w:themeColor="text1"/>
                <w:sz w:val="24"/>
                <w:highlight w:val="none"/>
              </w:rPr>
              <w:t>施工工期</w:t>
            </w:r>
          </w:p>
        </w:tc>
        <w:tc>
          <w:tcPr>
            <w:tcW w:w="2696" w:type="dxa"/>
            <w:vAlign w:val="center"/>
          </w:tcPr>
          <w:p w14:paraId="022D9343">
            <w:pPr>
              <w:adjustRightInd w:val="0"/>
              <w:snapToGrid w:val="0"/>
              <w:jc w:val="center"/>
              <w:rPr>
                <w:color w:val="000000" w:themeColor="text1"/>
                <w:sz w:val="24"/>
                <w:highlight w:val="none"/>
              </w:rPr>
            </w:pPr>
            <w:r>
              <w:rPr>
                <w:rFonts w:hint="eastAsia"/>
                <w:color w:val="000000" w:themeColor="text1"/>
                <w:sz w:val="24"/>
                <w:highlight w:val="none"/>
              </w:rPr>
              <w:t>3个月</w:t>
            </w:r>
          </w:p>
        </w:tc>
      </w:tr>
      <w:tr w14:paraId="60AD04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11" w:hRule="atLeast"/>
          <w:jc w:val="center"/>
        </w:trPr>
        <w:tc>
          <w:tcPr>
            <w:tcW w:w="2226" w:type="dxa"/>
            <w:tcMar>
              <w:top w:w="16" w:type="dxa"/>
              <w:left w:w="16" w:type="dxa"/>
              <w:right w:w="16" w:type="dxa"/>
            </w:tcMar>
            <w:vAlign w:val="center"/>
          </w:tcPr>
          <w:p w14:paraId="0E755CA8">
            <w:pPr>
              <w:adjustRightInd w:val="0"/>
              <w:snapToGrid w:val="0"/>
              <w:spacing w:beforeLines="50"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是否开工建设</w:t>
            </w:r>
          </w:p>
        </w:tc>
        <w:tc>
          <w:tcPr>
            <w:tcW w:w="6813" w:type="dxa"/>
            <w:gridSpan w:val="3"/>
            <w:vAlign w:val="center"/>
          </w:tcPr>
          <w:p w14:paraId="39767DCE">
            <w:pPr>
              <w:adjustRightInd w:val="0"/>
              <w:snapToGrid w:val="0"/>
              <w:spacing w:line="360" w:lineRule="auto"/>
              <w:ind w:firstLine="105"/>
              <w:jc w:val="left"/>
              <w:rPr>
                <w:rFonts w:ascii="宋体" w:hAnsi="宋体" w:cs="宋体"/>
                <w:color w:val="000000" w:themeColor="text1"/>
                <w:sz w:val="24"/>
                <w:highlight w:val="none"/>
              </w:rPr>
            </w:pPr>
            <w:r>
              <w:rPr>
                <w:rFonts w:hint="eastAsia" w:ascii="宋体" w:hAnsi="宋体" w:cs="宋体"/>
                <w:color w:val="000000" w:themeColor="text1"/>
                <w:sz w:val="24"/>
                <w:highlight w:val="none"/>
              </w:rPr>
              <w:t>☑否</w:t>
            </w:r>
          </w:p>
          <w:p w14:paraId="35A5A5D6">
            <w:pPr>
              <w:adjustRightInd w:val="0"/>
              <w:snapToGrid w:val="0"/>
              <w:spacing w:line="360" w:lineRule="auto"/>
              <w:ind w:firstLine="92"/>
              <w:jc w:val="left"/>
              <w:rPr>
                <w:rFonts w:ascii="宋体" w:hAnsi="宋体" w:cs="宋体"/>
                <w:color w:val="000000" w:themeColor="text1"/>
                <w:sz w:val="24"/>
                <w:highlight w:val="none"/>
              </w:rPr>
            </w:pPr>
            <w:r>
              <w:rPr>
                <w:rFonts w:hint="eastAsia" w:ascii="宋体" w:hAnsi="宋体" w:cs="宋体"/>
                <w:color w:val="000000" w:themeColor="text1"/>
                <w:sz w:val="24"/>
                <w:highlight w:val="none"/>
              </w:rPr>
              <w:t>□是：</w:t>
            </w:r>
            <w:r>
              <w:rPr>
                <w:rFonts w:ascii="宋体" w:hAnsi="宋体" w:cs="宋体"/>
                <w:color w:val="000000" w:themeColor="text1"/>
                <w:sz w:val="24"/>
                <w:highlight w:val="none"/>
                <w:u w:val="single"/>
              </w:rPr>
              <w:t xml:space="preserve"> </w:t>
            </w:r>
            <w:r>
              <w:rPr>
                <w:rFonts w:hint="eastAsia" w:ascii="宋体" w:hAnsi="宋体" w:cs="宋体"/>
                <w:color w:val="000000" w:themeColor="text1"/>
                <w:sz w:val="24"/>
                <w:highlight w:val="none"/>
                <w:u w:val="single"/>
              </w:rPr>
              <w:t xml:space="preserve">                     </w:t>
            </w:r>
            <w:r>
              <w:rPr>
                <w:rFonts w:ascii="宋体" w:hAnsi="宋体" w:cs="宋体"/>
                <w:color w:val="000000" w:themeColor="text1"/>
                <w:sz w:val="24"/>
                <w:highlight w:val="none"/>
                <w:u w:val="single"/>
              </w:rPr>
              <w:t xml:space="preserve">       </w:t>
            </w:r>
          </w:p>
        </w:tc>
      </w:tr>
      <w:tr w14:paraId="291AB0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37" w:hRule="atLeast"/>
          <w:jc w:val="center"/>
        </w:trPr>
        <w:tc>
          <w:tcPr>
            <w:tcW w:w="2226" w:type="dxa"/>
            <w:tcMar>
              <w:top w:w="16" w:type="dxa"/>
              <w:left w:w="16" w:type="dxa"/>
              <w:right w:w="16" w:type="dxa"/>
            </w:tcMar>
            <w:vAlign w:val="center"/>
          </w:tcPr>
          <w:p w14:paraId="20520DAF">
            <w:pPr>
              <w:autoSpaceDE w:val="0"/>
              <w:autoSpaceDN w:val="0"/>
              <w:adjustRightInd w:val="0"/>
              <w:snapToGrid w:val="0"/>
              <w:spacing w:beforeLines="50" w:line="360" w:lineRule="auto"/>
              <w:jc w:val="center"/>
              <w:rPr>
                <w:rFonts w:ascii="宋体" w:hAnsi="宋体" w:cs="宋体"/>
                <w:color w:val="000000" w:themeColor="text1"/>
                <w:kern w:val="0"/>
                <w:sz w:val="24"/>
                <w:highlight w:val="none"/>
              </w:rPr>
            </w:pPr>
            <w:r>
              <w:rPr>
                <w:rFonts w:hint="eastAsia" w:ascii="宋体" w:hAnsi="宋体" w:cs="宋体"/>
                <w:color w:val="000000" w:themeColor="text1"/>
                <w:kern w:val="0"/>
                <w:sz w:val="24"/>
                <w:highlight w:val="none"/>
              </w:rPr>
              <w:t>专项评价设置情况</w:t>
            </w:r>
          </w:p>
        </w:tc>
        <w:tc>
          <w:tcPr>
            <w:tcW w:w="6813" w:type="dxa"/>
            <w:gridSpan w:val="3"/>
            <w:tcMar>
              <w:top w:w="16" w:type="dxa"/>
              <w:left w:w="16" w:type="dxa"/>
              <w:right w:w="16" w:type="dxa"/>
            </w:tcMar>
            <w:vAlign w:val="center"/>
          </w:tcPr>
          <w:p w14:paraId="172742BF">
            <w:pPr>
              <w:autoSpaceDE w:val="0"/>
              <w:autoSpaceDN w:val="0"/>
              <w:adjustRightInd w:val="0"/>
              <w:snapToGrid w:val="0"/>
              <w:spacing w:beforeLines="50" w:line="360" w:lineRule="auto"/>
              <w:rPr>
                <w:color w:val="000000" w:themeColor="text1"/>
                <w:sz w:val="24"/>
                <w:highlight w:val="none"/>
              </w:rPr>
            </w:pPr>
            <w:r>
              <w:rPr>
                <w:rFonts w:hint="eastAsia"/>
                <w:color w:val="000000" w:themeColor="text1"/>
                <w:sz w:val="24"/>
                <w:highlight w:val="none"/>
              </w:rPr>
              <w:t>根据《建设项目环境影响报告表编制技术指南（生态影响类）》，建设项目产生的环境影响需要深入论证的，应按照环境影响评价相关技术导则开展专项评价工作。根据建设项目特点和涉及的环境敏感区类别，确定专项评价的类别，确有必要的可根据建设项目环境影响程度等实际情况适当调整，设置原则参照下表。</w:t>
            </w:r>
          </w:p>
          <w:p w14:paraId="42AE56F5">
            <w:pPr>
              <w:pStyle w:val="8"/>
              <w:ind w:firstLine="0" w:firstLineChars="0"/>
              <w:jc w:val="center"/>
              <w:rPr>
                <w:color w:val="000000" w:themeColor="text1"/>
                <w:szCs w:val="21"/>
                <w:highlight w:val="none"/>
              </w:rPr>
            </w:pPr>
            <w:r>
              <w:rPr>
                <w:rStyle w:val="31"/>
                <w:color w:val="000000" w:themeColor="text1"/>
                <w:kern w:val="0"/>
                <w:szCs w:val="21"/>
                <w:highlight w:val="none"/>
              </w:rPr>
              <w:t>表1-1 专项评价设置原则表</w:t>
            </w:r>
          </w:p>
          <w:tbl>
            <w:tblPr>
              <w:tblStyle w:val="26"/>
              <w:tblW w:w="49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3225"/>
              <w:gridCol w:w="1569"/>
              <w:gridCol w:w="1063"/>
            </w:tblGrid>
            <w:tr w14:paraId="37482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5" w:type="pct"/>
                  <w:vAlign w:val="center"/>
                </w:tcPr>
                <w:p w14:paraId="28C30DF6">
                  <w:pPr>
                    <w:pStyle w:val="8"/>
                    <w:ind w:firstLine="0" w:firstLineChars="0"/>
                    <w:jc w:val="center"/>
                    <w:rPr>
                      <w:b/>
                      <w:bCs/>
                      <w:color w:val="000000" w:themeColor="text1"/>
                      <w:szCs w:val="21"/>
                      <w:highlight w:val="none"/>
                    </w:rPr>
                  </w:pPr>
                  <w:r>
                    <w:rPr>
                      <w:rFonts w:hint="eastAsia"/>
                      <w:b/>
                      <w:bCs/>
                      <w:color w:val="000000" w:themeColor="text1"/>
                      <w:szCs w:val="21"/>
                      <w:highlight w:val="none"/>
                    </w:rPr>
                    <w:t>专项评价类别</w:t>
                  </w:r>
                </w:p>
              </w:tc>
              <w:tc>
                <w:tcPr>
                  <w:tcW w:w="2402" w:type="pct"/>
                  <w:vAlign w:val="center"/>
                </w:tcPr>
                <w:p w14:paraId="6BA9203F">
                  <w:pPr>
                    <w:pStyle w:val="8"/>
                    <w:ind w:firstLine="0" w:firstLineChars="0"/>
                    <w:jc w:val="center"/>
                    <w:rPr>
                      <w:b/>
                      <w:bCs/>
                      <w:color w:val="000000" w:themeColor="text1"/>
                      <w:szCs w:val="21"/>
                      <w:highlight w:val="none"/>
                    </w:rPr>
                  </w:pPr>
                  <w:r>
                    <w:rPr>
                      <w:rFonts w:hint="eastAsia"/>
                      <w:b/>
                      <w:bCs/>
                      <w:color w:val="000000" w:themeColor="text1"/>
                      <w:szCs w:val="21"/>
                      <w:highlight w:val="none"/>
                    </w:rPr>
                    <w:t>设置原则</w:t>
                  </w:r>
                </w:p>
              </w:tc>
              <w:tc>
                <w:tcPr>
                  <w:tcW w:w="1169" w:type="pct"/>
                  <w:vAlign w:val="center"/>
                </w:tcPr>
                <w:p w14:paraId="3D20FFD5">
                  <w:pPr>
                    <w:pStyle w:val="8"/>
                    <w:ind w:firstLine="0" w:firstLineChars="0"/>
                    <w:jc w:val="center"/>
                    <w:rPr>
                      <w:b/>
                      <w:bCs/>
                      <w:color w:val="000000" w:themeColor="text1"/>
                      <w:szCs w:val="21"/>
                      <w:highlight w:val="none"/>
                    </w:rPr>
                  </w:pPr>
                  <w:r>
                    <w:rPr>
                      <w:rFonts w:hint="eastAsia"/>
                      <w:b/>
                      <w:bCs/>
                      <w:color w:val="000000" w:themeColor="text1"/>
                      <w:szCs w:val="21"/>
                      <w:highlight w:val="none"/>
                    </w:rPr>
                    <w:t>本项目情况</w:t>
                  </w:r>
                </w:p>
              </w:tc>
              <w:tc>
                <w:tcPr>
                  <w:tcW w:w="792" w:type="pct"/>
                  <w:vAlign w:val="center"/>
                </w:tcPr>
                <w:p w14:paraId="47381F8E">
                  <w:pPr>
                    <w:pStyle w:val="8"/>
                    <w:ind w:firstLine="0" w:firstLineChars="0"/>
                    <w:jc w:val="center"/>
                    <w:rPr>
                      <w:b/>
                      <w:bCs/>
                      <w:color w:val="000000" w:themeColor="text1"/>
                      <w:szCs w:val="21"/>
                      <w:highlight w:val="none"/>
                    </w:rPr>
                  </w:pPr>
                  <w:r>
                    <w:rPr>
                      <w:rFonts w:hint="eastAsia"/>
                      <w:b/>
                      <w:bCs/>
                      <w:color w:val="000000" w:themeColor="text1"/>
                      <w:szCs w:val="21"/>
                      <w:highlight w:val="none"/>
                    </w:rPr>
                    <w:t>是否设置专项评价</w:t>
                  </w:r>
                </w:p>
              </w:tc>
            </w:tr>
            <w:tr w14:paraId="1678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pct"/>
                  <w:vAlign w:val="center"/>
                </w:tcPr>
                <w:p w14:paraId="27843039">
                  <w:pPr>
                    <w:pStyle w:val="8"/>
                    <w:ind w:firstLine="0" w:firstLineChars="0"/>
                    <w:jc w:val="center"/>
                    <w:rPr>
                      <w:color w:val="000000" w:themeColor="text1"/>
                      <w:szCs w:val="21"/>
                      <w:highlight w:val="none"/>
                    </w:rPr>
                  </w:pPr>
                  <w:r>
                    <w:rPr>
                      <w:rFonts w:hint="eastAsia"/>
                      <w:color w:val="000000" w:themeColor="text1"/>
                      <w:szCs w:val="21"/>
                      <w:highlight w:val="none"/>
                    </w:rPr>
                    <w:t>地表水</w:t>
                  </w:r>
                </w:p>
              </w:tc>
              <w:tc>
                <w:tcPr>
                  <w:tcW w:w="2402" w:type="pct"/>
                  <w:vAlign w:val="center"/>
                </w:tcPr>
                <w:p w14:paraId="7673BFA5">
                  <w:pPr>
                    <w:pStyle w:val="8"/>
                    <w:ind w:firstLine="0" w:firstLineChars="0"/>
                    <w:rPr>
                      <w:color w:val="000000" w:themeColor="text1"/>
                      <w:szCs w:val="21"/>
                      <w:highlight w:val="none"/>
                    </w:rPr>
                  </w:pPr>
                  <w:r>
                    <w:rPr>
                      <w:rFonts w:hint="eastAsia"/>
                      <w:color w:val="000000" w:themeColor="text1"/>
                      <w:szCs w:val="21"/>
                      <w:highlight w:val="none"/>
                    </w:rPr>
                    <w:t xml:space="preserve">水力发电：引水式发电、涉及调峰发电的项目； </w:t>
                  </w:r>
                </w:p>
                <w:p w14:paraId="04F9C549">
                  <w:pPr>
                    <w:pStyle w:val="8"/>
                    <w:ind w:firstLine="0" w:firstLineChars="0"/>
                    <w:rPr>
                      <w:color w:val="000000" w:themeColor="text1"/>
                      <w:szCs w:val="21"/>
                      <w:highlight w:val="none"/>
                    </w:rPr>
                  </w:pPr>
                  <w:r>
                    <w:rPr>
                      <w:rFonts w:hint="eastAsia"/>
                      <w:color w:val="000000" w:themeColor="text1"/>
                      <w:szCs w:val="21"/>
                      <w:highlight w:val="none"/>
                    </w:rPr>
                    <w:t xml:space="preserve">人工湖、人工湿地：全部； </w:t>
                  </w:r>
                </w:p>
                <w:p w14:paraId="2ABDB1D2">
                  <w:pPr>
                    <w:pStyle w:val="8"/>
                    <w:ind w:firstLine="0" w:firstLineChars="0"/>
                    <w:rPr>
                      <w:color w:val="000000" w:themeColor="text1"/>
                      <w:szCs w:val="21"/>
                      <w:highlight w:val="none"/>
                    </w:rPr>
                  </w:pPr>
                  <w:r>
                    <w:rPr>
                      <w:rFonts w:hint="eastAsia"/>
                      <w:color w:val="000000" w:themeColor="text1"/>
                      <w:szCs w:val="21"/>
                      <w:highlight w:val="none"/>
                    </w:rPr>
                    <w:t xml:space="preserve">水库：全部； </w:t>
                  </w:r>
                </w:p>
                <w:p w14:paraId="102B822D">
                  <w:pPr>
                    <w:pStyle w:val="8"/>
                    <w:ind w:firstLine="0" w:firstLineChars="0"/>
                    <w:rPr>
                      <w:color w:val="000000" w:themeColor="text1"/>
                      <w:szCs w:val="21"/>
                      <w:highlight w:val="none"/>
                    </w:rPr>
                  </w:pPr>
                  <w:r>
                    <w:rPr>
                      <w:rFonts w:hint="eastAsia"/>
                      <w:color w:val="000000" w:themeColor="text1"/>
                      <w:szCs w:val="21"/>
                      <w:highlight w:val="none"/>
                    </w:rPr>
                    <w:t xml:space="preserve">引水工程：全部（配套的管线工程等除外）； </w:t>
                  </w:r>
                </w:p>
                <w:p w14:paraId="2CCEA16B">
                  <w:pPr>
                    <w:pStyle w:val="8"/>
                    <w:ind w:firstLine="0" w:firstLineChars="0"/>
                    <w:rPr>
                      <w:color w:val="000000" w:themeColor="text1"/>
                      <w:szCs w:val="21"/>
                      <w:highlight w:val="none"/>
                    </w:rPr>
                  </w:pPr>
                  <w:r>
                    <w:rPr>
                      <w:rFonts w:hint="eastAsia"/>
                      <w:color w:val="000000" w:themeColor="text1"/>
                      <w:szCs w:val="21"/>
                      <w:highlight w:val="none"/>
                    </w:rPr>
                    <w:t xml:space="preserve">防洪除涝工程：包含水库的项目； </w:t>
                  </w:r>
                </w:p>
                <w:p w14:paraId="5C89E9CB">
                  <w:pPr>
                    <w:pStyle w:val="8"/>
                    <w:ind w:firstLine="0" w:firstLineChars="0"/>
                    <w:rPr>
                      <w:color w:val="000000" w:themeColor="text1"/>
                      <w:szCs w:val="21"/>
                      <w:highlight w:val="none"/>
                    </w:rPr>
                  </w:pPr>
                  <w:r>
                    <w:rPr>
                      <w:rFonts w:hint="eastAsia"/>
                      <w:color w:val="000000" w:themeColor="text1"/>
                      <w:szCs w:val="21"/>
                      <w:highlight w:val="none"/>
                    </w:rPr>
                    <w:t>河湖整治：涉及清淤且底泥存在重金属污染的项目</w:t>
                  </w:r>
                </w:p>
              </w:tc>
              <w:tc>
                <w:tcPr>
                  <w:tcW w:w="1169" w:type="pct"/>
                  <w:vAlign w:val="center"/>
                </w:tcPr>
                <w:p w14:paraId="08C0D59E">
                  <w:pPr>
                    <w:pStyle w:val="8"/>
                    <w:ind w:firstLine="0" w:firstLineChars="0"/>
                    <w:jc w:val="center"/>
                    <w:rPr>
                      <w:color w:val="000000" w:themeColor="text1"/>
                      <w:szCs w:val="21"/>
                      <w:highlight w:val="none"/>
                    </w:rPr>
                  </w:pPr>
                  <w:r>
                    <w:rPr>
                      <w:rFonts w:hint="eastAsia"/>
                      <w:color w:val="000000" w:themeColor="text1"/>
                      <w:szCs w:val="21"/>
                      <w:highlight w:val="none"/>
                    </w:rPr>
                    <w:t>本项目不涉及</w:t>
                  </w:r>
                </w:p>
              </w:tc>
              <w:tc>
                <w:tcPr>
                  <w:tcW w:w="792" w:type="pct"/>
                  <w:vAlign w:val="center"/>
                </w:tcPr>
                <w:p w14:paraId="63E462D4">
                  <w:pPr>
                    <w:pStyle w:val="8"/>
                    <w:ind w:firstLine="0" w:firstLineChars="0"/>
                    <w:jc w:val="center"/>
                    <w:rPr>
                      <w:color w:val="000000" w:themeColor="text1"/>
                      <w:szCs w:val="21"/>
                      <w:highlight w:val="none"/>
                    </w:rPr>
                  </w:pPr>
                  <w:r>
                    <w:rPr>
                      <w:rFonts w:hint="eastAsia"/>
                      <w:color w:val="000000" w:themeColor="text1"/>
                      <w:szCs w:val="21"/>
                      <w:highlight w:val="none"/>
                    </w:rPr>
                    <w:t>否</w:t>
                  </w:r>
                </w:p>
              </w:tc>
            </w:tr>
            <w:tr w14:paraId="7B59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pct"/>
                  <w:vAlign w:val="center"/>
                </w:tcPr>
                <w:p w14:paraId="6807AA64">
                  <w:pPr>
                    <w:pStyle w:val="8"/>
                    <w:ind w:firstLine="0" w:firstLineChars="0"/>
                    <w:jc w:val="center"/>
                    <w:rPr>
                      <w:color w:val="000000" w:themeColor="text1"/>
                      <w:szCs w:val="21"/>
                      <w:highlight w:val="none"/>
                    </w:rPr>
                  </w:pPr>
                  <w:r>
                    <w:rPr>
                      <w:rFonts w:hint="eastAsia"/>
                      <w:color w:val="000000" w:themeColor="text1"/>
                      <w:szCs w:val="21"/>
                      <w:highlight w:val="none"/>
                    </w:rPr>
                    <w:t>地下水</w:t>
                  </w:r>
                </w:p>
              </w:tc>
              <w:tc>
                <w:tcPr>
                  <w:tcW w:w="2402" w:type="pct"/>
                  <w:vAlign w:val="center"/>
                </w:tcPr>
                <w:p w14:paraId="092D1DA3">
                  <w:pPr>
                    <w:pStyle w:val="8"/>
                    <w:ind w:firstLine="0" w:firstLineChars="0"/>
                    <w:rPr>
                      <w:color w:val="000000" w:themeColor="text1"/>
                      <w:szCs w:val="21"/>
                      <w:highlight w:val="none"/>
                    </w:rPr>
                  </w:pPr>
                  <w:r>
                    <w:rPr>
                      <w:rFonts w:hint="eastAsia"/>
                      <w:color w:val="000000" w:themeColor="text1"/>
                      <w:szCs w:val="21"/>
                      <w:highlight w:val="none"/>
                    </w:rPr>
                    <w:t xml:space="preserve">陆地石油和天然气开采：全部； </w:t>
                  </w:r>
                </w:p>
                <w:p w14:paraId="2D868B75">
                  <w:pPr>
                    <w:pStyle w:val="8"/>
                    <w:ind w:firstLine="0" w:firstLineChars="0"/>
                    <w:rPr>
                      <w:color w:val="000000" w:themeColor="text1"/>
                      <w:szCs w:val="21"/>
                      <w:highlight w:val="none"/>
                    </w:rPr>
                  </w:pPr>
                  <w:r>
                    <w:rPr>
                      <w:rFonts w:hint="eastAsia"/>
                      <w:color w:val="000000" w:themeColor="text1"/>
                      <w:szCs w:val="21"/>
                      <w:highlight w:val="none"/>
                    </w:rPr>
                    <w:t xml:space="preserve">地下水（含矿泉水）开采：全部； </w:t>
                  </w:r>
                </w:p>
                <w:p w14:paraId="6BC7C6F5">
                  <w:pPr>
                    <w:pStyle w:val="8"/>
                    <w:ind w:firstLine="0" w:firstLineChars="0"/>
                    <w:rPr>
                      <w:color w:val="000000" w:themeColor="text1"/>
                      <w:szCs w:val="21"/>
                      <w:highlight w:val="none"/>
                    </w:rPr>
                  </w:pPr>
                  <w:r>
                    <w:rPr>
                      <w:rFonts w:hint="eastAsia"/>
                      <w:color w:val="000000" w:themeColor="text1"/>
                      <w:szCs w:val="21"/>
                      <w:highlight w:val="none"/>
                    </w:rPr>
                    <w:t>水利、水电、交通等：含穿越可溶岩地层隧道的项目</w:t>
                  </w:r>
                </w:p>
              </w:tc>
              <w:tc>
                <w:tcPr>
                  <w:tcW w:w="1169" w:type="pct"/>
                  <w:vAlign w:val="center"/>
                </w:tcPr>
                <w:p w14:paraId="5A594665">
                  <w:pPr>
                    <w:pStyle w:val="8"/>
                    <w:ind w:firstLine="0" w:firstLineChars="0"/>
                    <w:jc w:val="center"/>
                    <w:rPr>
                      <w:color w:val="000000" w:themeColor="text1"/>
                      <w:szCs w:val="21"/>
                      <w:highlight w:val="none"/>
                    </w:rPr>
                  </w:pPr>
                  <w:r>
                    <w:rPr>
                      <w:rFonts w:hint="eastAsia"/>
                      <w:color w:val="000000" w:themeColor="text1"/>
                      <w:szCs w:val="21"/>
                      <w:highlight w:val="none"/>
                    </w:rPr>
                    <w:t>本项目不涉及</w:t>
                  </w:r>
                </w:p>
              </w:tc>
              <w:tc>
                <w:tcPr>
                  <w:tcW w:w="792" w:type="pct"/>
                  <w:vAlign w:val="center"/>
                </w:tcPr>
                <w:p w14:paraId="31A7E5D3">
                  <w:pPr>
                    <w:pStyle w:val="8"/>
                    <w:ind w:firstLine="0" w:firstLineChars="0"/>
                    <w:jc w:val="center"/>
                    <w:rPr>
                      <w:color w:val="000000" w:themeColor="text1"/>
                      <w:szCs w:val="21"/>
                      <w:highlight w:val="none"/>
                    </w:rPr>
                  </w:pPr>
                  <w:r>
                    <w:rPr>
                      <w:rFonts w:hint="eastAsia"/>
                      <w:color w:val="000000" w:themeColor="text1"/>
                      <w:szCs w:val="21"/>
                      <w:highlight w:val="none"/>
                    </w:rPr>
                    <w:t>否</w:t>
                  </w:r>
                </w:p>
              </w:tc>
            </w:tr>
            <w:tr w14:paraId="3AACD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pct"/>
                  <w:vAlign w:val="center"/>
                </w:tcPr>
                <w:p w14:paraId="5031ABE9">
                  <w:pPr>
                    <w:pStyle w:val="8"/>
                    <w:ind w:firstLine="0" w:firstLineChars="0"/>
                    <w:jc w:val="center"/>
                    <w:rPr>
                      <w:color w:val="000000" w:themeColor="text1"/>
                      <w:szCs w:val="21"/>
                      <w:highlight w:val="none"/>
                    </w:rPr>
                  </w:pPr>
                  <w:r>
                    <w:rPr>
                      <w:rFonts w:hint="eastAsia"/>
                      <w:color w:val="000000" w:themeColor="text1"/>
                      <w:szCs w:val="21"/>
                      <w:highlight w:val="none"/>
                    </w:rPr>
                    <w:t>生态</w:t>
                  </w:r>
                </w:p>
              </w:tc>
              <w:tc>
                <w:tcPr>
                  <w:tcW w:w="2402" w:type="pct"/>
                  <w:vAlign w:val="center"/>
                </w:tcPr>
                <w:p w14:paraId="32168E14">
                  <w:pPr>
                    <w:pStyle w:val="8"/>
                    <w:ind w:firstLine="0" w:firstLineChars="0"/>
                    <w:rPr>
                      <w:color w:val="000000" w:themeColor="text1"/>
                      <w:szCs w:val="21"/>
                      <w:highlight w:val="none"/>
                    </w:rPr>
                  </w:pPr>
                  <w:r>
                    <w:rPr>
                      <w:rFonts w:hint="eastAsia"/>
                      <w:color w:val="000000" w:themeColor="text1"/>
                      <w:szCs w:val="21"/>
                      <w:highlight w:val="none"/>
                    </w:rPr>
                    <w:t>涉及环境敏感区（不包括饮用水水源保护区，以居住、医疗卫生、文化教育、科研、行政办公为主要功能的区域，以及文物保护单位）的项目</w:t>
                  </w:r>
                </w:p>
              </w:tc>
              <w:tc>
                <w:tcPr>
                  <w:tcW w:w="1169" w:type="pct"/>
                  <w:vAlign w:val="center"/>
                </w:tcPr>
                <w:p w14:paraId="0686104E">
                  <w:pPr>
                    <w:pStyle w:val="8"/>
                    <w:ind w:firstLine="0" w:firstLineChars="0"/>
                    <w:jc w:val="center"/>
                    <w:rPr>
                      <w:color w:val="000000" w:themeColor="text1"/>
                      <w:szCs w:val="21"/>
                      <w:highlight w:val="none"/>
                    </w:rPr>
                  </w:pPr>
                  <w:r>
                    <w:rPr>
                      <w:rFonts w:hint="eastAsia"/>
                      <w:color w:val="000000" w:themeColor="text1"/>
                      <w:szCs w:val="21"/>
                      <w:highlight w:val="none"/>
                    </w:rPr>
                    <w:t>本项目不涉及</w:t>
                  </w:r>
                </w:p>
              </w:tc>
              <w:tc>
                <w:tcPr>
                  <w:tcW w:w="792" w:type="pct"/>
                  <w:vAlign w:val="center"/>
                </w:tcPr>
                <w:p w14:paraId="1E317CB1">
                  <w:pPr>
                    <w:jc w:val="center"/>
                    <w:rPr>
                      <w:color w:val="000000" w:themeColor="text1"/>
                      <w:szCs w:val="21"/>
                      <w:highlight w:val="none"/>
                    </w:rPr>
                  </w:pPr>
                  <w:r>
                    <w:rPr>
                      <w:rFonts w:hint="eastAsia"/>
                      <w:color w:val="000000" w:themeColor="text1"/>
                      <w:szCs w:val="21"/>
                      <w:highlight w:val="none"/>
                    </w:rPr>
                    <w:t>否</w:t>
                  </w:r>
                </w:p>
              </w:tc>
            </w:tr>
            <w:tr w14:paraId="6713F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pct"/>
                  <w:vAlign w:val="center"/>
                </w:tcPr>
                <w:p w14:paraId="64512AB5">
                  <w:pPr>
                    <w:pStyle w:val="8"/>
                    <w:ind w:firstLine="0" w:firstLineChars="0"/>
                    <w:jc w:val="center"/>
                    <w:rPr>
                      <w:color w:val="000000" w:themeColor="text1"/>
                      <w:szCs w:val="21"/>
                      <w:highlight w:val="none"/>
                    </w:rPr>
                  </w:pPr>
                  <w:r>
                    <w:rPr>
                      <w:rFonts w:hint="eastAsia"/>
                      <w:color w:val="000000" w:themeColor="text1"/>
                      <w:szCs w:val="21"/>
                      <w:highlight w:val="none"/>
                    </w:rPr>
                    <w:t>大气</w:t>
                  </w:r>
                </w:p>
              </w:tc>
              <w:tc>
                <w:tcPr>
                  <w:tcW w:w="2402" w:type="pct"/>
                  <w:vAlign w:val="center"/>
                </w:tcPr>
                <w:p w14:paraId="525AB0FA">
                  <w:pPr>
                    <w:pStyle w:val="8"/>
                    <w:ind w:firstLine="0" w:firstLineChars="0"/>
                    <w:rPr>
                      <w:color w:val="000000" w:themeColor="text1"/>
                      <w:szCs w:val="21"/>
                      <w:highlight w:val="none"/>
                    </w:rPr>
                  </w:pPr>
                  <w:r>
                    <w:rPr>
                      <w:rFonts w:hint="eastAsia"/>
                      <w:color w:val="000000" w:themeColor="text1"/>
                      <w:szCs w:val="21"/>
                      <w:highlight w:val="none"/>
                    </w:rPr>
                    <w:t xml:space="preserve">油气、液体化工码头：全部； </w:t>
                  </w:r>
                </w:p>
                <w:p w14:paraId="39549F2B">
                  <w:pPr>
                    <w:pStyle w:val="8"/>
                    <w:ind w:firstLine="0" w:firstLineChars="0"/>
                    <w:rPr>
                      <w:color w:val="000000" w:themeColor="text1"/>
                      <w:szCs w:val="21"/>
                      <w:highlight w:val="none"/>
                    </w:rPr>
                  </w:pPr>
                  <w:r>
                    <w:rPr>
                      <w:rFonts w:hint="eastAsia"/>
                      <w:color w:val="000000" w:themeColor="text1"/>
                      <w:szCs w:val="21"/>
                      <w:highlight w:val="none"/>
                    </w:rPr>
                    <w:t>干散货（含煤炭、矿石）、件杂、多用途、通用码头：涉及粉尘、挥发性有机物排放的项目</w:t>
                  </w:r>
                </w:p>
              </w:tc>
              <w:tc>
                <w:tcPr>
                  <w:tcW w:w="1169" w:type="pct"/>
                  <w:vAlign w:val="center"/>
                </w:tcPr>
                <w:p w14:paraId="38EAD862">
                  <w:pPr>
                    <w:pStyle w:val="8"/>
                    <w:ind w:firstLine="0" w:firstLineChars="0"/>
                    <w:jc w:val="center"/>
                    <w:rPr>
                      <w:color w:val="000000" w:themeColor="text1"/>
                      <w:szCs w:val="21"/>
                      <w:highlight w:val="none"/>
                    </w:rPr>
                  </w:pPr>
                  <w:r>
                    <w:rPr>
                      <w:color w:val="000000" w:themeColor="text1"/>
                      <w:szCs w:val="21"/>
                      <w:highlight w:val="none"/>
                    </w:rPr>
                    <w:t>本项目不涉及</w:t>
                  </w:r>
                </w:p>
              </w:tc>
              <w:tc>
                <w:tcPr>
                  <w:tcW w:w="792" w:type="pct"/>
                  <w:vAlign w:val="center"/>
                </w:tcPr>
                <w:p w14:paraId="4DD77DBD">
                  <w:pPr>
                    <w:jc w:val="center"/>
                    <w:rPr>
                      <w:color w:val="000000" w:themeColor="text1"/>
                      <w:szCs w:val="21"/>
                      <w:highlight w:val="none"/>
                    </w:rPr>
                  </w:pPr>
                  <w:r>
                    <w:rPr>
                      <w:color w:val="000000" w:themeColor="text1"/>
                      <w:szCs w:val="21"/>
                      <w:highlight w:val="none"/>
                    </w:rPr>
                    <w:t>否</w:t>
                  </w:r>
                </w:p>
              </w:tc>
            </w:tr>
            <w:tr w14:paraId="4E10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pct"/>
                  <w:vAlign w:val="center"/>
                </w:tcPr>
                <w:p w14:paraId="072857AE">
                  <w:pPr>
                    <w:pStyle w:val="8"/>
                    <w:ind w:firstLine="0" w:firstLineChars="0"/>
                    <w:jc w:val="center"/>
                    <w:rPr>
                      <w:color w:val="000000" w:themeColor="text1"/>
                      <w:szCs w:val="21"/>
                      <w:highlight w:val="none"/>
                    </w:rPr>
                  </w:pPr>
                  <w:r>
                    <w:rPr>
                      <w:rFonts w:hint="eastAsia"/>
                      <w:color w:val="000000" w:themeColor="text1"/>
                      <w:szCs w:val="21"/>
                      <w:highlight w:val="none"/>
                    </w:rPr>
                    <w:t>噪声</w:t>
                  </w:r>
                </w:p>
              </w:tc>
              <w:tc>
                <w:tcPr>
                  <w:tcW w:w="2402" w:type="pct"/>
                  <w:vAlign w:val="center"/>
                </w:tcPr>
                <w:p w14:paraId="073BBE68">
                  <w:pPr>
                    <w:pStyle w:val="8"/>
                    <w:ind w:firstLine="0" w:firstLineChars="0"/>
                    <w:rPr>
                      <w:color w:val="000000" w:themeColor="text1"/>
                      <w:szCs w:val="21"/>
                      <w:highlight w:val="none"/>
                    </w:rPr>
                  </w:pPr>
                  <w:r>
                    <w:rPr>
                      <w:rFonts w:hint="eastAsia"/>
                      <w:color w:val="000000" w:themeColor="text1"/>
                      <w:szCs w:val="21"/>
                      <w:highlight w:val="none"/>
                    </w:rPr>
                    <w:t xml:space="preserve">公路、铁路、机场等交通运输业涉及环境敏感区（以居住、医疗卫生、文化教育、科研、行政办公为主要功能的区域）的项目； </w:t>
                  </w:r>
                </w:p>
                <w:p w14:paraId="29086958">
                  <w:pPr>
                    <w:pStyle w:val="8"/>
                    <w:ind w:firstLine="0" w:firstLineChars="0"/>
                    <w:rPr>
                      <w:color w:val="000000" w:themeColor="text1"/>
                      <w:szCs w:val="21"/>
                      <w:highlight w:val="none"/>
                    </w:rPr>
                  </w:pPr>
                  <w:r>
                    <w:rPr>
                      <w:rFonts w:hint="eastAsia"/>
                      <w:color w:val="000000" w:themeColor="text1"/>
                      <w:szCs w:val="21"/>
                      <w:highlight w:val="none"/>
                    </w:rPr>
                    <w:t>城市道路（不含维护，不含支路、人行天桥、人行地道）：全部</w:t>
                  </w:r>
                </w:p>
              </w:tc>
              <w:tc>
                <w:tcPr>
                  <w:tcW w:w="1169" w:type="pct"/>
                  <w:vAlign w:val="center"/>
                </w:tcPr>
                <w:p w14:paraId="52DBF7A2">
                  <w:pPr>
                    <w:pStyle w:val="8"/>
                    <w:ind w:firstLine="0" w:firstLineChars="0"/>
                    <w:jc w:val="center"/>
                    <w:rPr>
                      <w:color w:val="000000" w:themeColor="text1"/>
                      <w:szCs w:val="21"/>
                      <w:highlight w:val="none"/>
                    </w:rPr>
                  </w:pPr>
                  <w:r>
                    <w:rPr>
                      <w:color w:val="000000" w:themeColor="text1"/>
                      <w:szCs w:val="21"/>
                      <w:highlight w:val="none"/>
                    </w:rPr>
                    <w:t>本项目不涉及</w:t>
                  </w:r>
                </w:p>
              </w:tc>
              <w:tc>
                <w:tcPr>
                  <w:tcW w:w="792" w:type="pct"/>
                  <w:vAlign w:val="center"/>
                </w:tcPr>
                <w:p w14:paraId="0D649D45">
                  <w:pPr>
                    <w:jc w:val="center"/>
                    <w:rPr>
                      <w:color w:val="000000" w:themeColor="text1"/>
                      <w:szCs w:val="21"/>
                      <w:highlight w:val="none"/>
                    </w:rPr>
                  </w:pPr>
                  <w:r>
                    <w:rPr>
                      <w:color w:val="000000" w:themeColor="text1"/>
                      <w:szCs w:val="21"/>
                      <w:highlight w:val="none"/>
                    </w:rPr>
                    <w:t>否</w:t>
                  </w:r>
                </w:p>
              </w:tc>
            </w:tr>
            <w:tr w14:paraId="61B3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5" w:type="pct"/>
                  <w:vAlign w:val="center"/>
                </w:tcPr>
                <w:p w14:paraId="2F86A055">
                  <w:pPr>
                    <w:pStyle w:val="8"/>
                    <w:ind w:firstLine="0" w:firstLineChars="0"/>
                    <w:jc w:val="center"/>
                    <w:rPr>
                      <w:color w:val="000000" w:themeColor="text1"/>
                      <w:szCs w:val="21"/>
                      <w:highlight w:val="none"/>
                    </w:rPr>
                  </w:pPr>
                  <w:r>
                    <w:rPr>
                      <w:rFonts w:hint="eastAsia"/>
                      <w:color w:val="000000" w:themeColor="text1"/>
                      <w:szCs w:val="21"/>
                      <w:highlight w:val="none"/>
                    </w:rPr>
                    <w:t>环境</w:t>
                  </w:r>
                </w:p>
                <w:p w14:paraId="4BCEEE57">
                  <w:pPr>
                    <w:pStyle w:val="8"/>
                    <w:ind w:firstLine="0" w:firstLineChars="0"/>
                    <w:jc w:val="center"/>
                    <w:rPr>
                      <w:color w:val="000000" w:themeColor="text1"/>
                      <w:szCs w:val="21"/>
                      <w:highlight w:val="none"/>
                    </w:rPr>
                  </w:pPr>
                  <w:r>
                    <w:rPr>
                      <w:rFonts w:hint="eastAsia"/>
                      <w:color w:val="000000" w:themeColor="text1"/>
                      <w:szCs w:val="21"/>
                      <w:highlight w:val="none"/>
                    </w:rPr>
                    <w:t>风险</w:t>
                  </w:r>
                </w:p>
              </w:tc>
              <w:tc>
                <w:tcPr>
                  <w:tcW w:w="2402" w:type="pct"/>
                  <w:vAlign w:val="center"/>
                </w:tcPr>
                <w:p w14:paraId="250DBF2A">
                  <w:pPr>
                    <w:pStyle w:val="8"/>
                    <w:ind w:firstLine="0" w:firstLineChars="0"/>
                    <w:rPr>
                      <w:color w:val="000000" w:themeColor="text1"/>
                      <w:szCs w:val="21"/>
                      <w:highlight w:val="none"/>
                    </w:rPr>
                  </w:pPr>
                  <w:r>
                    <w:rPr>
                      <w:rFonts w:hint="eastAsia"/>
                      <w:color w:val="000000" w:themeColor="text1"/>
                      <w:szCs w:val="21"/>
                      <w:highlight w:val="none"/>
                    </w:rPr>
                    <w:t xml:space="preserve">石油和天然气开采：全部； </w:t>
                  </w:r>
                </w:p>
                <w:p w14:paraId="57B0897C">
                  <w:pPr>
                    <w:pStyle w:val="8"/>
                    <w:ind w:firstLine="0" w:firstLineChars="0"/>
                    <w:rPr>
                      <w:color w:val="000000" w:themeColor="text1"/>
                      <w:szCs w:val="21"/>
                      <w:highlight w:val="none"/>
                    </w:rPr>
                  </w:pPr>
                  <w:r>
                    <w:rPr>
                      <w:rFonts w:hint="eastAsia"/>
                      <w:color w:val="000000" w:themeColor="text1"/>
                      <w:szCs w:val="21"/>
                      <w:highlight w:val="none"/>
                    </w:rPr>
                    <w:t xml:space="preserve">油气、液体化工码头：全部； </w:t>
                  </w:r>
                </w:p>
                <w:p w14:paraId="46F29B93">
                  <w:pPr>
                    <w:pStyle w:val="8"/>
                    <w:ind w:firstLine="0" w:firstLineChars="0"/>
                    <w:rPr>
                      <w:color w:val="000000" w:themeColor="text1"/>
                      <w:szCs w:val="21"/>
                      <w:highlight w:val="none"/>
                    </w:rPr>
                  </w:pPr>
                  <w:r>
                    <w:rPr>
                      <w:rFonts w:hint="eastAsia"/>
                      <w:color w:val="000000" w:themeColor="text1"/>
                      <w:szCs w:val="21"/>
                      <w:highlight w:val="none"/>
                    </w:rPr>
                    <w:t>原油、成品油、天然气管线（不含城镇天然气管线、企业厂区内管线），危险化学品输送管线（不含企业厂区内管线）：全部</w:t>
                  </w:r>
                </w:p>
                <w:p w14:paraId="3143B930">
                  <w:pPr>
                    <w:pStyle w:val="8"/>
                    <w:ind w:firstLine="0" w:firstLineChars="0"/>
                    <w:rPr>
                      <w:color w:val="000000" w:themeColor="text1"/>
                      <w:szCs w:val="21"/>
                      <w:highlight w:val="none"/>
                    </w:rPr>
                  </w:pPr>
                </w:p>
              </w:tc>
              <w:tc>
                <w:tcPr>
                  <w:tcW w:w="1169" w:type="pct"/>
                  <w:vAlign w:val="center"/>
                </w:tcPr>
                <w:p w14:paraId="350203B1">
                  <w:pPr>
                    <w:pStyle w:val="8"/>
                    <w:ind w:firstLine="0" w:firstLineChars="0"/>
                    <w:jc w:val="center"/>
                    <w:rPr>
                      <w:color w:val="000000" w:themeColor="text1"/>
                      <w:szCs w:val="21"/>
                      <w:highlight w:val="none"/>
                    </w:rPr>
                  </w:pPr>
                  <w:r>
                    <w:rPr>
                      <w:color w:val="000000" w:themeColor="text1"/>
                      <w:szCs w:val="21"/>
                      <w:highlight w:val="none"/>
                    </w:rPr>
                    <w:t>本项目不涉及</w:t>
                  </w:r>
                </w:p>
              </w:tc>
              <w:tc>
                <w:tcPr>
                  <w:tcW w:w="792" w:type="pct"/>
                  <w:vAlign w:val="center"/>
                </w:tcPr>
                <w:p w14:paraId="6867FFB8">
                  <w:pPr>
                    <w:jc w:val="center"/>
                    <w:rPr>
                      <w:color w:val="000000" w:themeColor="text1"/>
                      <w:szCs w:val="21"/>
                      <w:highlight w:val="none"/>
                    </w:rPr>
                  </w:pPr>
                  <w:r>
                    <w:rPr>
                      <w:color w:val="000000" w:themeColor="text1"/>
                      <w:szCs w:val="21"/>
                      <w:highlight w:val="none"/>
                    </w:rPr>
                    <w:t>否</w:t>
                  </w:r>
                </w:p>
              </w:tc>
            </w:tr>
          </w:tbl>
          <w:p w14:paraId="4B06CA6E">
            <w:pPr>
              <w:autoSpaceDE w:val="0"/>
              <w:autoSpaceDN w:val="0"/>
              <w:adjustRightInd w:val="0"/>
              <w:snapToGrid w:val="0"/>
              <w:spacing w:line="360" w:lineRule="auto"/>
              <w:rPr>
                <w:color w:val="000000" w:themeColor="text1"/>
                <w:sz w:val="24"/>
                <w:highlight w:val="none"/>
              </w:rPr>
            </w:pPr>
          </w:p>
          <w:p w14:paraId="6688E9BF">
            <w:pPr>
              <w:autoSpaceDE w:val="0"/>
              <w:autoSpaceDN w:val="0"/>
              <w:adjustRightInd w:val="0"/>
              <w:snapToGrid w:val="0"/>
              <w:spacing w:beforeLines="50" w:line="360" w:lineRule="auto"/>
              <w:rPr>
                <w:rFonts w:ascii="宋体" w:hAnsi="宋体" w:cs="宋体"/>
                <w:color w:val="000000" w:themeColor="text1"/>
                <w:kern w:val="0"/>
                <w:sz w:val="24"/>
                <w:highlight w:val="none"/>
              </w:rPr>
            </w:pPr>
          </w:p>
        </w:tc>
      </w:tr>
      <w:tr w14:paraId="40AD9F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9" w:hRule="atLeast"/>
          <w:jc w:val="center"/>
        </w:trPr>
        <w:tc>
          <w:tcPr>
            <w:tcW w:w="2226" w:type="dxa"/>
            <w:tcMar>
              <w:top w:w="16" w:type="dxa"/>
              <w:left w:w="16" w:type="dxa"/>
              <w:right w:w="16" w:type="dxa"/>
            </w:tcMar>
            <w:vAlign w:val="center"/>
          </w:tcPr>
          <w:p w14:paraId="1657F133">
            <w:pPr>
              <w:autoSpaceDE w:val="0"/>
              <w:autoSpaceDN w:val="0"/>
              <w:adjustRightInd w:val="0"/>
              <w:snapToGrid w:val="0"/>
              <w:spacing w:beforeLines="50" w:line="360" w:lineRule="auto"/>
              <w:jc w:val="center"/>
              <w:rPr>
                <w:rFonts w:ascii="宋体" w:hAnsi="宋体" w:cs="宋体"/>
                <w:color w:val="000000" w:themeColor="text1"/>
                <w:kern w:val="0"/>
                <w:sz w:val="24"/>
                <w:highlight w:val="none"/>
              </w:rPr>
            </w:pPr>
            <w:r>
              <w:rPr>
                <w:rFonts w:hint="eastAsia" w:ascii="宋体" w:hAnsi="宋体" w:cs="宋体"/>
                <w:color w:val="000000" w:themeColor="text1"/>
                <w:sz w:val="24"/>
                <w:highlight w:val="none"/>
              </w:rPr>
              <w:t>规划情况</w:t>
            </w:r>
          </w:p>
        </w:tc>
        <w:tc>
          <w:tcPr>
            <w:tcW w:w="6813" w:type="dxa"/>
            <w:gridSpan w:val="3"/>
            <w:tcMar>
              <w:top w:w="16" w:type="dxa"/>
              <w:left w:w="16" w:type="dxa"/>
              <w:right w:w="16" w:type="dxa"/>
            </w:tcMar>
            <w:vAlign w:val="center"/>
          </w:tcPr>
          <w:p w14:paraId="2C8DDFEE">
            <w:pPr>
              <w:autoSpaceDE w:val="0"/>
              <w:autoSpaceDN w:val="0"/>
              <w:adjustRightInd w:val="0"/>
              <w:snapToGrid w:val="0"/>
              <w:spacing w:line="360" w:lineRule="auto"/>
              <w:jc w:val="center"/>
              <w:rPr>
                <w:rFonts w:ascii="宋体" w:hAnsi="宋体" w:cs="宋体"/>
                <w:color w:val="000000" w:themeColor="text1"/>
                <w:kern w:val="0"/>
                <w:sz w:val="24"/>
                <w:highlight w:val="none"/>
              </w:rPr>
            </w:pPr>
            <w:r>
              <w:rPr>
                <w:rFonts w:hint="eastAsia" w:ascii="宋体" w:hAnsi="宋体" w:cs="宋体"/>
                <w:color w:val="000000" w:themeColor="text1"/>
                <w:kern w:val="0"/>
                <w:sz w:val="24"/>
                <w:highlight w:val="none"/>
              </w:rPr>
              <w:t>《内蒙古自治区鄂尔多斯神东矿区东胜区总体规划（修编）》正在编制中</w:t>
            </w:r>
          </w:p>
        </w:tc>
      </w:tr>
      <w:tr w14:paraId="4FACA3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226" w:type="dxa"/>
            <w:tcMar>
              <w:top w:w="16" w:type="dxa"/>
              <w:left w:w="16" w:type="dxa"/>
              <w:right w:w="16" w:type="dxa"/>
            </w:tcMar>
            <w:vAlign w:val="center"/>
          </w:tcPr>
          <w:p w14:paraId="2FF9CF49">
            <w:pPr>
              <w:autoSpaceDE w:val="0"/>
              <w:autoSpaceDN w:val="0"/>
              <w:adjustRightInd w:val="0"/>
              <w:snapToGrid w:val="0"/>
              <w:spacing w:line="360" w:lineRule="auto"/>
              <w:jc w:val="center"/>
              <w:rPr>
                <w:rFonts w:ascii="宋体" w:hAnsi="宋体" w:cs="宋体"/>
                <w:color w:val="000000" w:themeColor="text1"/>
                <w:sz w:val="24"/>
                <w:highlight w:val="none"/>
              </w:rPr>
            </w:pPr>
            <w:r>
              <w:rPr>
                <w:rFonts w:hint="eastAsia" w:ascii="宋体" w:hAnsi="宋体" w:cs="宋体"/>
                <w:color w:val="000000" w:themeColor="text1"/>
                <w:sz w:val="24"/>
                <w:highlight w:val="none"/>
              </w:rPr>
              <w:t>规划环境影响</w:t>
            </w:r>
          </w:p>
          <w:p w14:paraId="4729BB8F">
            <w:pPr>
              <w:autoSpaceDE w:val="0"/>
              <w:autoSpaceDN w:val="0"/>
              <w:adjustRightInd w:val="0"/>
              <w:snapToGrid w:val="0"/>
              <w:spacing w:line="360" w:lineRule="auto"/>
              <w:jc w:val="center"/>
              <w:rPr>
                <w:rFonts w:ascii="宋体" w:hAnsi="宋体" w:cs="宋体"/>
                <w:color w:val="000000" w:themeColor="text1"/>
                <w:kern w:val="0"/>
                <w:sz w:val="24"/>
                <w:highlight w:val="none"/>
              </w:rPr>
            </w:pPr>
            <w:r>
              <w:rPr>
                <w:rFonts w:hint="eastAsia" w:ascii="宋体" w:hAnsi="宋体" w:cs="宋体"/>
                <w:color w:val="000000" w:themeColor="text1"/>
                <w:sz w:val="24"/>
                <w:highlight w:val="none"/>
              </w:rPr>
              <w:t>评价情况</w:t>
            </w:r>
          </w:p>
        </w:tc>
        <w:tc>
          <w:tcPr>
            <w:tcW w:w="6813" w:type="dxa"/>
            <w:gridSpan w:val="3"/>
            <w:tcMar>
              <w:top w:w="16" w:type="dxa"/>
              <w:left w:w="16" w:type="dxa"/>
              <w:right w:w="16" w:type="dxa"/>
            </w:tcMar>
            <w:vAlign w:val="center"/>
          </w:tcPr>
          <w:p w14:paraId="5FD11C01">
            <w:pPr>
              <w:adjustRightInd w:val="0"/>
              <w:snapToGrid w:val="0"/>
              <w:spacing w:line="360" w:lineRule="auto"/>
              <w:ind w:firstLine="480" w:firstLineChars="200"/>
              <w:rPr>
                <w:rFonts w:ascii="宋体" w:hAnsi="宋体" w:cs="宋体"/>
                <w:color w:val="000000" w:themeColor="text1"/>
                <w:kern w:val="0"/>
                <w:sz w:val="24"/>
                <w:highlight w:val="none"/>
              </w:rPr>
            </w:pPr>
            <w:r>
              <w:rPr>
                <w:color w:val="000000" w:themeColor="text1"/>
                <w:kern w:val="0"/>
                <w:sz w:val="24"/>
                <w:highlight w:val="none"/>
              </w:rPr>
              <w:t>20</w:t>
            </w:r>
            <w:r>
              <w:rPr>
                <w:rFonts w:hint="eastAsia"/>
                <w:color w:val="000000" w:themeColor="text1"/>
                <w:kern w:val="0"/>
                <w:sz w:val="24"/>
                <w:highlight w:val="none"/>
              </w:rPr>
              <w:t>23</w:t>
            </w:r>
            <w:r>
              <w:rPr>
                <w:rFonts w:hint="eastAsia" w:ascii="宋体" w:hAnsi="宋体" w:cs="宋体"/>
                <w:color w:val="000000" w:themeColor="text1"/>
                <w:kern w:val="0"/>
                <w:sz w:val="24"/>
                <w:highlight w:val="none"/>
              </w:rPr>
              <w:t>年</w:t>
            </w:r>
            <w:r>
              <w:rPr>
                <w:rFonts w:hint="eastAsia"/>
                <w:color w:val="000000" w:themeColor="text1"/>
                <w:kern w:val="0"/>
                <w:sz w:val="24"/>
                <w:highlight w:val="none"/>
              </w:rPr>
              <w:t>7</w:t>
            </w:r>
            <w:r>
              <w:rPr>
                <w:rFonts w:hint="eastAsia" w:ascii="宋体" w:hAnsi="宋体" w:cs="宋体"/>
                <w:color w:val="000000" w:themeColor="text1"/>
                <w:kern w:val="0"/>
                <w:sz w:val="24"/>
                <w:highlight w:val="none"/>
              </w:rPr>
              <w:t>月，生态环境部以</w:t>
            </w:r>
            <w:r>
              <w:rPr>
                <w:color w:val="000000" w:themeColor="text1"/>
                <w:kern w:val="0"/>
                <w:sz w:val="24"/>
                <w:highlight w:val="none"/>
              </w:rPr>
              <w:t>“</w:t>
            </w:r>
            <w:r>
              <w:rPr>
                <w:rFonts w:hint="eastAsia" w:ascii="宋体" w:hAnsi="宋体" w:cs="宋体"/>
                <w:color w:val="000000" w:themeColor="text1"/>
                <w:kern w:val="0"/>
                <w:sz w:val="24"/>
                <w:highlight w:val="none"/>
              </w:rPr>
              <w:t>环审〔</w:t>
            </w:r>
            <w:r>
              <w:rPr>
                <w:color w:val="000000" w:themeColor="text1"/>
                <w:kern w:val="0"/>
                <w:sz w:val="24"/>
                <w:highlight w:val="none"/>
              </w:rPr>
              <w:t>20</w:t>
            </w:r>
            <w:r>
              <w:rPr>
                <w:rFonts w:hint="eastAsia"/>
                <w:color w:val="000000" w:themeColor="text1"/>
                <w:kern w:val="0"/>
                <w:sz w:val="24"/>
                <w:highlight w:val="none"/>
              </w:rPr>
              <w:t>23</w:t>
            </w:r>
            <w:r>
              <w:rPr>
                <w:rFonts w:hint="eastAsia" w:ascii="宋体" w:hAnsi="宋体" w:cs="宋体"/>
                <w:color w:val="000000" w:themeColor="text1"/>
                <w:kern w:val="0"/>
                <w:sz w:val="24"/>
                <w:highlight w:val="none"/>
              </w:rPr>
              <w:t>〕</w:t>
            </w:r>
            <w:r>
              <w:rPr>
                <w:rFonts w:hint="eastAsia"/>
                <w:color w:val="000000" w:themeColor="text1"/>
                <w:kern w:val="0"/>
                <w:sz w:val="24"/>
                <w:highlight w:val="none"/>
              </w:rPr>
              <w:t>7</w:t>
            </w:r>
            <w:r>
              <w:rPr>
                <w:color w:val="000000" w:themeColor="text1"/>
                <w:kern w:val="0"/>
                <w:sz w:val="24"/>
                <w:highlight w:val="none"/>
              </w:rPr>
              <w:t>3</w:t>
            </w:r>
            <w:r>
              <w:rPr>
                <w:rFonts w:hint="eastAsia" w:ascii="宋体" w:hAnsi="宋体" w:cs="宋体"/>
                <w:color w:val="000000" w:themeColor="text1"/>
                <w:kern w:val="0"/>
                <w:sz w:val="24"/>
                <w:highlight w:val="none"/>
              </w:rPr>
              <w:t>号</w:t>
            </w:r>
            <w:r>
              <w:rPr>
                <w:color w:val="000000" w:themeColor="text1"/>
                <w:kern w:val="0"/>
                <w:sz w:val="24"/>
                <w:highlight w:val="none"/>
              </w:rPr>
              <w:t>”</w:t>
            </w:r>
            <w:r>
              <w:rPr>
                <w:rFonts w:hint="eastAsia" w:ascii="宋体" w:hAnsi="宋体" w:cs="宋体"/>
                <w:color w:val="000000" w:themeColor="text1"/>
                <w:kern w:val="0"/>
                <w:sz w:val="24"/>
                <w:highlight w:val="none"/>
              </w:rPr>
              <w:t>文出具了对《内蒙古自治区鄂尔多斯神东矿区东胜区总体规划（修编）环境影响报告书》的审查意见。</w:t>
            </w:r>
          </w:p>
        </w:tc>
      </w:tr>
      <w:tr w14:paraId="135E7E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82" w:hRule="atLeast"/>
          <w:jc w:val="center"/>
        </w:trPr>
        <w:tc>
          <w:tcPr>
            <w:tcW w:w="2226" w:type="dxa"/>
            <w:tcMar>
              <w:top w:w="16" w:type="dxa"/>
              <w:left w:w="16" w:type="dxa"/>
              <w:right w:w="16" w:type="dxa"/>
            </w:tcMar>
            <w:vAlign w:val="center"/>
          </w:tcPr>
          <w:p w14:paraId="378B146C">
            <w:pPr>
              <w:autoSpaceDE w:val="0"/>
              <w:autoSpaceDN w:val="0"/>
              <w:adjustRightInd w:val="0"/>
              <w:snapToGrid w:val="0"/>
              <w:spacing w:line="360" w:lineRule="auto"/>
              <w:jc w:val="center"/>
              <w:rPr>
                <w:rFonts w:ascii="宋体" w:hAnsi="宋体" w:cs="宋体"/>
                <w:color w:val="000000" w:themeColor="text1"/>
                <w:kern w:val="0"/>
                <w:sz w:val="24"/>
                <w:highlight w:val="none"/>
              </w:rPr>
            </w:pPr>
            <w:r>
              <w:rPr>
                <w:rFonts w:hint="eastAsia" w:ascii="宋体" w:hAnsi="宋体" w:cs="宋体"/>
                <w:color w:val="000000" w:themeColor="text1"/>
                <w:kern w:val="0"/>
                <w:sz w:val="24"/>
                <w:highlight w:val="none"/>
              </w:rPr>
              <w:t>规划及</w:t>
            </w:r>
            <w:r>
              <w:rPr>
                <w:rFonts w:hint="eastAsia" w:ascii="宋体" w:hAnsi="宋体" w:cs="宋体"/>
                <w:color w:val="000000" w:themeColor="text1"/>
                <w:sz w:val="24"/>
                <w:highlight w:val="none"/>
              </w:rPr>
              <w:t>规划环境影响评价</w:t>
            </w:r>
            <w:r>
              <w:rPr>
                <w:rFonts w:hint="eastAsia" w:ascii="宋体" w:hAnsi="宋体" w:cs="宋体"/>
                <w:color w:val="000000" w:themeColor="text1"/>
                <w:kern w:val="0"/>
                <w:sz w:val="24"/>
                <w:highlight w:val="none"/>
              </w:rPr>
              <w:t>符合性分析</w:t>
            </w:r>
          </w:p>
        </w:tc>
        <w:tc>
          <w:tcPr>
            <w:tcW w:w="6813" w:type="dxa"/>
            <w:gridSpan w:val="3"/>
            <w:tcMar>
              <w:top w:w="16" w:type="dxa"/>
              <w:left w:w="16" w:type="dxa"/>
              <w:right w:w="16" w:type="dxa"/>
            </w:tcMar>
            <w:vAlign w:val="center"/>
          </w:tcPr>
          <w:p w14:paraId="6E9EAC6A">
            <w:pPr>
              <w:widowControl/>
              <w:spacing w:line="360" w:lineRule="auto"/>
              <w:ind w:firstLine="480" w:firstLineChars="200"/>
              <w:jc w:val="left"/>
              <w:rPr>
                <w:color w:val="000000" w:themeColor="text1"/>
                <w:sz w:val="24"/>
                <w:highlight w:val="none"/>
              </w:rPr>
            </w:pPr>
            <w:r>
              <w:rPr>
                <w:color w:val="000000" w:themeColor="text1"/>
                <w:sz w:val="24"/>
                <w:highlight w:val="none"/>
              </w:rPr>
              <w:t>1.</w:t>
            </w:r>
            <w:r>
              <w:rPr>
                <w:color w:val="000000" w:themeColor="text1"/>
                <w:kern w:val="0"/>
                <w:sz w:val="24"/>
                <w:highlight w:val="none"/>
              </w:rPr>
              <w:t>与《</w:t>
            </w:r>
            <w:r>
              <w:rPr>
                <w:rFonts w:hint="eastAsia" w:ascii="宋体" w:hAnsi="宋体" w:cs="宋体"/>
                <w:color w:val="000000" w:themeColor="text1"/>
                <w:kern w:val="0"/>
                <w:sz w:val="24"/>
                <w:highlight w:val="none"/>
              </w:rPr>
              <w:t>内蒙古自治区鄂尔多斯神东矿区东胜区总体规划（修编）</w:t>
            </w:r>
            <w:r>
              <w:rPr>
                <w:color w:val="000000" w:themeColor="text1"/>
                <w:kern w:val="0"/>
                <w:sz w:val="24"/>
                <w:highlight w:val="none"/>
              </w:rPr>
              <w:t>》的符合性分析</w:t>
            </w:r>
          </w:p>
          <w:p w14:paraId="591FE08C">
            <w:pPr>
              <w:widowControl/>
              <w:spacing w:line="360" w:lineRule="auto"/>
              <w:ind w:firstLine="480" w:firstLineChars="200"/>
              <w:jc w:val="left"/>
              <w:rPr>
                <w:color w:val="000000" w:themeColor="text1"/>
                <w:kern w:val="0"/>
                <w:sz w:val="24"/>
                <w:highlight w:val="none"/>
              </w:rPr>
            </w:pPr>
            <w:r>
              <w:rPr>
                <w:color w:val="000000" w:themeColor="text1"/>
                <w:kern w:val="0"/>
                <w:sz w:val="24"/>
                <w:highlight w:val="none"/>
              </w:rPr>
              <w:t>《</w:t>
            </w:r>
            <w:r>
              <w:rPr>
                <w:rFonts w:hint="eastAsia" w:ascii="宋体" w:hAnsi="宋体" w:cs="宋体"/>
                <w:color w:val="000000" w:themeColor="text1"/>
                <w:kern w:val="0"/>
                <w:sz w:val="24"/>
                <w:highlight w:val="none"/>
              </w:rPr>
              <w:t>内蒙古自治区鄂尔多斯神东矿区东胜区总体规划（修编）</w:t>
            </w:r>
            <w:r>
              <w:rPr>
                <w:color w:val="000000" w:themeColor="text1"/>
                <w:kern w:val="0"/>
                <w:sz w:val="24"/>
                <w:highlight w:val="none"/>
              </w:rPr>
              <w:t>》</w:t>
            </w:r>
            <w:r>
              <w:rPr>
                <w:rFonts w:hint="eastAsia"/>
                <w:color w:val="000000" w:themeColor="text1"/>
                <w:kern w:val="0"/>
                <w:sz w:val="24"/>
                <w:highlight w:val="none"/>
              </w:rPr>
              <w:t>正在编制中，</w:t>
            </w:r>
            <w:r>
              <w:rPr>
                <w:color w:val="000000" w:themeColor="text1"/>
                <w:kern w:val="0"/>
                <w:sz w:val="24"/>
                <w:highlight w:val="none"/>
              </w:rPr>
              <w:t>根据《</w:t>
            </w:r>
            <w:r>
              <w:rPr>
                <w:rFonts w:hint="eastAsia"/>
                <w:color w:val="0000FF"/>
                <w:kern w:val="0"/>
                <w:sz w:val="24"/>
                <w:highlight w:val="none"/>
              </w:rPr>
              <w:t>内蒙古汇能煤电集团富民煤碳有限责任公司煤矿180万t/a改扩建项目环境影响报告书</w:t>
            </w:r>
            <w:r>
              <w:rPr>
                <w:color w:val="000000" w:themeColor="text1"/>
                <w:kern w:val="0"/>
                <w:sz w:val="24"/>
                <w:highlight w:val="none"/>
              </w:rPr>
              <w:t>》，</w:t>
            </w:r>
            <w:r>
              <w:rPr>
                <w:color w:val="000000" w:themeColor="text1"/>
                <w:sz w:val="24"/>
                <w:highlight w:val="none"/>
              </w:rPr>
              <w:t>神东矿区东胜区总体规划本次修编拟将富民煤矿纳入</w:t>
            </w:r>
            <w:r>
              <w:rPr>
                <w:rFonts w:hint="eastAsia"/>
                <w:color w:val="000000" w:themeColor="text1"/>
                <w:sz w:val="24"/>
                <w:highlight w:val="none"/>
              </w:rPr>
              <w:t>，且</w:t>
            </w:r>
            <w:r>
              <w:rPr>
                <w:color w:val="000000" w:themeColor="text1"/>
                <w:kern w:val="0"/>
                <w:sz w:val="24"/>
                <w:highlight w:val="none"/>
              </w:rPr>
              <w:t>《</w:t>
            </w:r>
            <w:r>
              <w:rPr>
                <w:rFonts w:hint="eastAsia"/>
                <w:color w:val="000000" w:themeColor="text1"/>
                <w:kern w:val="0"/>
                <w:sz w:val="24"/>
                <w:highlight w:val="none"/>
              </w:rPr>
              <w:t>内蒙古汇能煤电集团富民煤碳有限责任公司煤矿180万t/a改扩建项目环境影响报告书</w:t>
            </w:r>
            <w:r>
              <w:rPr>
                <w:color w:val="000000" w:themeColor="text1"/>
                <w:kern w:val="0"/>
                <w:sz w:val="24"/>
                <w:highlight w:val="none"/>
              </w:rPr>
              <w:t>》</w:t>
            </w:r>
            <w:r>
              <w:rPr>
                <w:rFonts w:hint="eastAsia"/>
                <w:color w:val="000000" w:themeColor="text1"/>
                <w:kern w:val="0"/>
                <w:sz w:val="24"/>
                <w:highlight w:val="none"/>
              </w:rPr>
              <w:t>已取得批复，本次风井建设项目属于</w:t>
            </w:r>
            <w:r>
              <w:rPr>
                <w:color w:val="000000" w:themeColor="text1"/>
                <w:sz w:val="24"/>
                <w:highlight w:val="none"/>
              </w:rPr>
              <w:t>富民煤矿</w:t>
            </w:r>
            <w:r>
              <w:rPr>
                <w:rFonts w:hint="eastAsia"/>
                <w:color w:val="000000" w:themeColor="text1"/>
                <w:sz w:val="24"/>
                <w:highlight w:val="none"/>
              </w:rPr>
              <w:t>附属设施，位于煤矿矿界范围内，</w:t>
            </w:r>
            <w:r>
              <w:rPr>
                <w:rFonts w:hint="eastAsia"/>
                <w:color w:val="000000" w:themeColor="text1"/>
                <w:sz w:val="24"/>
                <w:highlight w:val="yellow"/>
              </w:rPr>
              <w:t>不涉及改变</w:t>
            </w:r>
            <w:r>
              <w:rPr>
                <w:color w:val="000000" w:themeColor="text1"/>
                <w:kern w:val="0"/>
                <w:sz w:val="24"/>
                <w:highlight w:val="yellow"/>
              </w:rPr>
              <w:t>煤矿规模</w:t>
            </w:r>
            <w:r>
              <w:rPr>
                <w:rFonts w:hint="eastAsia"/>
                <w:color w:val="000000" w:themeColor="text1"/>
                <w:sz w:val="24"/>
                <w:highlight w:val="yellow"/>
              </w:rPr>
              <w:t>、不涉及改变煤矿生产工艺等</w:t>
            </w:r>
            <w:r>
              <w:rPr>
                <w:color w:val="000000" w:themeColor="text1"/>
                <w:kern w:val="0"/>
                <w:sz w:val="24"/>
                <w:highlight w:val="none"/>
              </w:rPr>
              <w:t>。</w:t>
            </w:r>
          </w:p>
          <w:p w14:paraId="1282FCCD">
            <w:pPr>
              <w:widowControl/>
              <w:spacing w:line="360" w:lineRule="auto"/>
              <w:ind w:firstLine="480" w:firstLineChars="200"/>
              <w:jc w:val="left"/>
              <w:rPr>
                <w:color w:val="000000" w:themeColor="text1"/>
                <w:sz w:val="24"/>
                <w:highlight w:val="none"/>
              </w:rPr>
            </w:pPr>
            <w:r>
              <w:rPr>
                <w:rFonts w:hint="eastAsia"/>
                <w:color w:val="000000" w:themeColor="text1"/>
                <w:kern w:val="0"/>
                <w:sz w:val="24"/>
                <w:highlight w:val="none"/>
              </w:rPr>
              <w:t>综上，</w:t>
            </w:r>
            <w:r>
              <w:rPr>
                <w:color w:val="000000" w:themeColor="text1"/>
                <w:kern w:val="0"/>
                <w:sz w:val="24"/>
                <w:highlight w:val="none"/>
              </w:rPr>
              <w:t>项目建设符合《</w:t>
            </w:r>
            <w:r>
              <w:rPr>
                <w:rFonts w:hint="eastAsia" w:ascii="宋体" w:hAnsi="宋体" w:cs="宋体"/>
                <w:color w:val="000000" w:themeColor="text1"/>
                <w:kern w:val="0"/>
                <w:sz w:val="24"/>
                <w:highlight w:val="none"/>
              </w:rPr>
              <w:t>内蒙古自治区鄂尔多斯神东矿区东胜区总体规划（修编）</w:t>
            </w:r>
            <w:r>
              <w:rPr>
                <w:color w:val="000000" w:themeColor="text1"/>
                <w:kern w:val="0"/>
                <w:sz w:val="24"/>
                <w:highlight w:val="none"/>
              </w:rPr>
              <w:t>》</w:t>
            </w:r>
            <w:r>
              <w:rPr>
                <w:rFonts w:hint="eastAsia"/>
                <w:color w:val="000000" w:themeColor="text1"/>
                <w:kern w:val="0"/>
                <w:sz w:val="24"/>
                <w:highlight w:val="none"/>
              </w:rPr>
              <w:t>的</w:t>
            </w:r>
            <w:r>
              <w:rPr>
                <w:color w:val="000000" w:themeColor="text1"/>
                <w:kern w:val="0"/>
                <w:sz w:val="24"/>
                <w:highlight w:val="none"/>
              </w:rPr>
              <w:t>要求。</w:t>
            </w:r>
          </w:p>
          <w:p w14:paraId="08954BE1">
            <w:pPr>
              <w:widowControl/>
              <w:spacing w:line="360" w:lineRule="auto"/>
              <w:ind w:firstLine="480" w:firstLineChars="200"/>
              <w:jc w:val="left"/>
              <w:rPr>
                <w:color w:val="000000" w:themeColor="text1"/>
                <w:kern w:val="0"/>
                <w:sz w:val="24"/>
                <w:highlight w:val="none"/>
              </w:rPr>
            </w:pPr>
            <w:r>
              <w:rPr>
                <w:color w:val="000000" w:themeColor="text1"/>
                <w:kern w:val="0"/>
                <w:sz w:val="24"/>
                <w:highlight w:val="none"/>
              </w:rPr>
              <w:t>2.与《内蒙古自治区鄂尔多斯神东矿区东胜区总体规划（修编）环境影响报告书》的符合性分析</w:t>
            </w:r>
          </w:p>
          <w:p w14:paraId="39A24987">
            <w:pPr>
              <w:widowControl/>
              <w:spacing w:line="360" w:lineRule="auto"/>
              <w:ind w:firstLine="480" w:firstLineChars="200"/>
              <w:rPr>
                <w:color w:val="000000" w:themeColor="text1"/>
                <w:kern w:val="0"/>
                <w:sz w:val="24"/>
                <w:highlight w:val="none"/>
              </w:rPr>
            </w:pPr>
            <w:r>
              <w:rPr>
                <w:color w:val="000000" w:themeColor="text1"/>
                <w:kern w:val="0"/>
                <w:sz w:val="24"/>
                <w:highlight w:val="none"/>
              </w:rPr>
              <w:t>2022年4月，煤炭工业太原设计研究院集团有限公司编制完成《内蒙古自治区鄂尔多斯神东矿区东胜区总体规划（修编）环境影响报告书》。20</w:t>
            </w:r>
            <w:r>
              <w:rPr>
                <w:rFonts w:hint="eastAsia"/>
                <w:color w:val="000000" w:themeColor="text1"/>
                <w:kern w:val="0"/>
                <w:sz w:val="24"/>
                <w:highlight w:val="none"/>
              </w:rPr>
              <w:t>23</w:t>
            </w:r>
            <w:r>
              <w:rPr>
                <w:color w:val="000000" w:themeColor="text1"/>
                <w:kern w:val="0"/>
                <w:sz w:val="24"/>
                <w:highlight w:val="none"/>
              </w:rPr>
              <w:t>年</w:t>
            </w:r>
            <w:r>
              <w:rPr>
                <w:rFonts w:hint="eastAsia"/>
                <w:color w:val="000000" w:themeColor="text1"/>
                <w:kern w:val="0"/>
                <w:sz w:val="24"/>
                <w:highlight w:val="none"/>
              </w:rPr>
              <w:t>7</w:t>
            </w:r>
            <w:r>
              <w:rPr>
                <w:color w:val="000000" w:themeColor="text1"/>
                <w:kern w:val="0"/>
                <w:sz w:val="24"/>
                <w:highlight w:val="none"/>
              </w:rPr>
              <w:t>月，</w:t>
            </w:r>
            <w:r>
              <w:rPr>
                <w:rFonts w:hint="eastAsia"/>
                <w:color w:val="000000" w:themeColor="text1"/>
                <w:kern w:val="0"/>
                <w:sz w:val="24"/>
                <w:highlight w:val="none"/>
              </w:rPr>
              <w:t>生态环境部</w:t>
            </w:r>
            <w:r>
              <w:rPr>
                <w:color w:val="000000" w:themeColor="text1"/>
                <w:kern w:val="0"/>
                <w:sz w:val="24"/>
                <w:highlight w:val="none"/>
              </w:rPr>
              <w:t>以“环审〔20</w:t>
            </w:r>
            <w:r>
              <w:rPr>
                <w:rFonts w:hint="eastAsia"/>
                <w:color w:val="000000" w:themeColor="text1"/>
                <w:kern w:val="0"/>
                <w:sz w:val="24"/>
                <w:highlight w:val="none"/>
              </w:rPr>
              <w:t>23</w:t>
            </w:r>
            <w:r>
              <w:rPr>
                <w:color w:val="000000" w:themeColor="text1"/>
                <w:kern w:val="0"/>
                <w:sz w:val="24"/>
                <w:highlight w:val="none"/>
              </w:rPr>
              <w:t>〕</w:t>
            </w:r>
            <w:r>
              <w:rPr>
                <w:rFonts w:hint="eastAsia"/>
                <w:color w:val="000000" w:themeColor="text1"/>
                <w:kern w:val="0"/>
                <w:sz w:val="24"/>
                <w:highlight w:val="none"/>
              </w:rPr>
              <w:t>7</w:t>
            </w:r>
            <w:r>
              <w:rPr>
                <w:color w:val="000000" w:themeColor="text1"/>
                <w:kern w:val="0"/>
                <w:sz w:val="24"/>
                <w:highlight w:val="none"/>
              </w:rPr>
              <w:t>3号”文出具了</w:t>
            </w:r>
            <w:r>
              <w:rPr>
                <w:rFonts w:hint="eastAsia"/>
                <w:color w:val="000000" w:themeColor="text1"/>
                <w:kern w:val="0"/>
                <w:sz w:val="24"/>
                <w:highlight w:val="none"/>
              </w:rPr>
              <w:t>该</w:t>
            </w:r>
            <w:r>
              <w:rPr>
                <w:color w:val="000000" w:themeColor="text1"/>
                <w:kern w:val="0"/>
                <w:sz w:val="24"/>
                <w:highlight w:val="none"/>
              </w:rPr>
              <w:t>环境影响报告书的审查意见。具体内容见表1-1。</w:t>
            </w:r>
          </w:p>
          <w:p w14:paraId="686F8415">
            <w:pPr>
              <w:pStyle w:val="14"/>
              <w:spacing w:before="0" w:after="0" w:line="240" w:lineRule="auto"/>
              <w:ind w:right="0"/>
              <w:jc w:val="center"/>
              <w:rPr>
                <w:color w:val="000000" w:themeColor="text1"/>
                <w:szCs w:val="21"/>
                <w:highlight w:val="none"/>
              </w:rPr>
            </w:pPr>
            <w:r>
              <w:rPr>
                <w:rFonts w:hint="eastAsia"/>
                <w:color w:val="000000" w:themeColor="text1"/>
                <w:sz w:val="24"/>
                <w:szCs w:val="24"/>
                <w:highlight w:val="none"/>
              </w:rPr>
              <w:t xml:space="preserve">表1-1 </w:t>
            </w:r>
            <w:r>
              <w:rPr>
                <w:color w:val="000000" w:themeColor="text1"/>
                <w:sz w:val="24"/>
                <w:szCs w:val="24"/>
                <w:highlight w:val="none"/>
              </w:rPr>
              <w:t>项目与规划环评报告批复的符合性分析</w:t>
            </w:r>
          </w:p>
          <w:p w14:paraId="1C7598C9">
            <w:pPr>
              <w:spacing w:line="87" w:lineRule="auto"/>
              <w:rPr>
                <w:rFonts w:ascii="Arial"/>
                <w:color w:val="000000" w:themeColor="text1"/>
                <w:sz w:val="2"/>
                <w:highlight w:val="none"/>
              </w:rPr>
            </w:pPr>
          </w:p>
          <w:tbl>
            <w:tblPr>
              <w:tblStyle w:val="45"/>
              <w:tblW w:w="657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0"/>
              <w:gridCol w:w="3625"/>
              <w:gridCol w:w="1823"/>
              <w:gridCol w:w="501"/>
            </w:tblGrid>
            <w:tr w14:paraId="6EDAB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630" w:type="dxa"/>
                  <w:vAlign w:val="center"/>
                </w:tcPr>
                <w:p w14:paraId="1DC19F4B">
                  <w:pPr>
                    <w:pStyle w:val="46"/>
                    <w:jc w:val="center"/>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z w:val="21"/>
                      <w:szCs w:val="21"/>
                      <w:highlight w:val="none"/>
                    </w:rPr>
                    <w:t>项目</w:t>
                  </w:r>
                </w:p>
              </w:tc>
              <w:tc>
                <w:tcPr>
                  <w:tcW w:w="3625" w:type="dxa"/>
                  <w:vAlign w:val="center"/>
                </w:tcPr>
                <w:p w14:paraId="2DBA8D48">
                  <w:pPr>
                    <w:pStyle w:val="46"/>
                    <w:jc w:val="center"/>
                    <w:rPr>
                      <w:rFonts w:ascii="Times New Roman" w:hAnsi="Times New Roman" w:cs="Times New Roman"/>
                      <w:color w:val="000000" w:themeColor="text1"/>
                      <w:sz w:val="21"/>
                      <w:szCs w:val="21"/>
                      <w:highlight w:val="none"/>
                      <w:lang w:eastAsia="zh-CN"/>
                    </w:rPr>
                  </w:pPr>
                  <w:r>
                    <w:rPr>
                      <w:rFonts w:ascii="Times New Roman" w:hAnsi="Times New Roman" w:cs="Times New Roman"/>
                      <w:color w:val="000000" w:themeColor="text1"/>
                      <w:sz w:val="21"/>
                      <w:szCs w:val="21"/>
                      <w:highlight w:val="none"/>
                      <w:lang w:eastAsia="zh-CN"/>
                    </w:rPr>
                    <w:t>矿区规划环评批复中相关要求</w:t>
                  </w:r>
                </w:p>
              </w:tc>
              <w:tc>
                <w:tcPr>
                  <w:tcW w:w="1823" w:type="dxa"/>
                  <w:vAlign w:val="center"/>
                </w:tcPr>
                <w:p w14:paraId="0323DE4B">
                  <w:pPr>
                    <w:pStyle w:val="46"/>
                    <w:jc w:val="center"/>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z w:val="21"/>
                      <w:szCs w:val="21"/>
                      <w:highlight w:val="none"/>
                      <w:lang w:eastAsia="zh-CN"/>
                    </w:rPr>
                    <w:t>本</w:t>
                  </w:r>
                  <w:r>
                    <w:rPr>
                      <w:rFonts w:ascii="Times New Roman" w:hAnsi="Times New Roman" w:cs="Times New Roman"/>
                      <w:color w:val="000000" w:themeColor="text1"/>
                      <w:sz w:val="21"/>
                      <w:szCs w:val="21"/>
                      <w:highlight w:val="none"/>
                    </w:rPr>
                    <w:t>项目</w:t>
                  </w:r>
                </w:p>
              </w:tc>
              <w:tc>
                <w:tcPr>
                  <w:tcW w:w="501" w:type="dxa"/>
                  <w:vAlign w:val="center"/>
                </w:tcPr>
                <w:p w14:paraId="14060291">
                  <w:pPr>
                    <w:pStyle w:val="46"/>
                    <w:jc w:val="center"/>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z w:val="21"/>
                      <w:szCs w:val="21"/>
                      <w:highlight w:val="none"/>
                    </w:rPr>
                    <w:t>符合</w:t>
                  </w:r>
                </w:p>
                <w:p w14:paraId="763BA2AA">
                  <w:pPr>
                    <w:pStyle w:val="46"/>
                    <w:jc w:val="center"/>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z w:val="21"/>
                      <w:szCs w:val="21"/>
                      <w:highlight w:val="none"/>
                    </w:rPr>
                    <w:t>性</w:t>
                  </w:r>
                </w:p>
              </w:tc>
            </w:tr>
            <w:tr w14:paraId="5E07AB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9" w:hRule="atLeast"/>
                <w:jc w:val="center"/>
              </w:trPr>
              <w:tc>
                <w:tcPr>
                  <w:tcW w:w="630" w:type="dxa"/>
                  <w:vMerge w:val="restart"/>
                  <w:vAlign w:val="center"/>
                </w:tcPr>
                <w:p w14:paraId="51F98ECB">
                  <w:pPr>
                    <w:pStyle w:val="46"/>
                    <w:jc w:val="center"/>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z w:val="21"/>
                      <w:szCs w:val="21"/>
                      <w:highlight w:val="none"/>
                    </w:rPr>
                    <w:t>规划环</w:t>
                  </w:r>
                </w:p>
                <w:p w14:paraId="085B36D0">
                  <w:pPr>
                    <w:pStyle w:val="46"/>
                    <w:jc w:val="center"/>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z w:val="21"/>
                      <w:szCs w:val="21"/>
                      <w:highlight w:val="none"/>
                    </w:rPr>
                    <w:t>评审查</w:t>
                  </w:r>
                </w:p>
                <w:p w14:paraId="3F38CAFB">
                  <w:pPr>
                    <w:pStyle w:val="46"/>
                    <w:jc w:val="center"/>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z w:val="21"/>
                      <w:szCs w:val="21"/>
                      <w:highlight w:val="none"/>
                    </w:rPr>
                    <w:t>意见</w:t>
                  </w:r>
                </w:p>
              </w:tc>
              <w:tc>
                <w:tcPr>
                  <w:tcW w:w="3625" w:type="dxa"/>
                  <w:vAlign w:val="center"/>
                </w:tcPr>
                <w:p w14:paraId="7B8C9FD8">
                  <w:pPr>
                    <w:pStyle w:val="46"/>
                    <w:rPr>
                      <w:rFonts w:ascii="Times New Roman" w:hAnsi="Times New Roman" w:cs="Times New Roman"/>
                      <w:color w:val="000000" w:themeColor="text1"/>
                      <w:sz w:val="21"/>
                      <w:szCs w:val="21"/>
                      <w:highlight w:val="none"/>
                      <w:lang w:eastAsia="zh-CN"/>
                    </w:rPr>
                  </w:pPr>
                  <w:r>
                    <w:rPr>
                      <w:rFonts w:ascii="Times New Roman" w:hAnsi="Times New Roman" w:cs="Times New Roman"/>
                      <w:color w:val="000000" w:themeColor="text1"/>
                      <w:sz w:val="21"/>
                      <w:szCs w:val="21"/>
                      <w:highlight w:val="none"/>
                      <w:lang w:eastAsia="zh-CN"/>
                    </w:rPr>
                    <w:t>坚持生态优先、节约集约、绿色低碳发展。坚持以习近平生态文明思想为指导</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严格落实习近平总书记关于内蒙古生态环境保护、黄河流域生态保护和高质量发展的重要指示批示精神</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根据区域主体功能定位</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将严守生态保护红线、严格维护防风固沙主导生态功能、保护河流良好水生态功能等内容纳入《规划》的生态环境目标</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并进一步明确和细化。切实落实《报告书》提出的各项《规划》优化调整建议和生态环境保护对策措施</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促进矿区开发与生态环境保护相协调</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改善区域生态环境质量</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维护区域生态安全。</w:t>
                  </w:r>
                </w:p>
              </w:tc>
              <w:tc>
                <w:tcPr>
                  <w:tcW w:w="1823" w:type="dxa"/>
                  <w:vAlign w:val="center"/>
                </w:tcPr>
                <w:p w14:paraId="433569F6">
                  <w:pPr>
                    <w:pStyle w:val="46"/>
                    <w:jc w:val="center"/>
                    <w:rPr>
                      <w:rFonts w:ascii="Times New Roman" w:hAnsi="Times New Roman" w:cs="Times New Roman"/>
                      <w:color w:val="000000" w:themeColor="text1"/>
                      <w:sz w:val="21"/>
                      <w:szCs w:val="21"/>
                      <w:highlight w:val="none"/>
                      <w:lang w:eastAsia="zh-CN"/>
                    </w:rPr>
                  </w:pPr>
                  <w:r>
                    <w:rPr>
                      <w:rFonts w:ascii="Times New Roman" w:hAnsi="Times New Roman" w:cs="Times New Roman"/>
                      <w:color w:val="000000" w:themeColor="text1"/>
                      <w:kern w:val="0"/>
                      <w:sz w:val="21"/>
                      <w:szCs w:val="21"/>
                      <w:highlight w:val="none"/>
                      <w:lang w:eastAsia="zh-CN"/>
                    </w:rPr>
                    <w:t>本项目为富民煤矿附属工程，主要建设</w:t>
                  </w:r>
                  <w:r>
                    <w:rPr>
                      <w:rFonts w:ascii="Times New Roman" w:hAnsi="Times New Roman" w:cs="Times New Roman"/>
                      <w:color w:val="000000" w:themeColor="text1"/>
                      <w:sz w:val="21"/>
                      <w:szCs w:val="21"/>
                      <w:highlight w:val="none"/>
                      <w:lang w:eastAsia="zh-CN"/>
                    </w:rPr>
                    <w:t>风井场地及其配套工程，</w:t>
                  </w:r>
                  <w:r>
                    <w:rPr>
                      <w:rFonts w:hint="eastAsia" w:ascii="Times New Roman" w:hAnsi="Times New Roman" w:cs="Times New Roman"/>
                      <w:color w:val="000000" w:themeColor="text1"/>
                      <w:sz w:val="21"/>
                      <w:szCs w:val="21"/>
                      <w:highlight w:val="none"/>
                      <w:lang w:eastAsia="zh-CN"/>
                    </w:rPr>
                    <w:t>不涉及生态保护红线，不改变</w:t>
                  </w:r>
                  <w:r>
                    <w:rPr>
                      <w:rFonts w:ascii="Times New Roman" w:hAnsi="Times New Roman" w:cs="Times New Roman"/>
                      <w:color w:val="000000" w:themeColor="text1"/>
                      <w:sz w:val="21"/>
                      <w:szCs w:val="21"/>
                      <w:highlight w:val="none"/>
                      <w:lang w:eastAsia="zh-CN"/>
                    </w:rPr>
                    <w:t>防风固沙主导</w:t>
                  </w:r>
                  <w:r>
                    <w:rPr>
                      <w:rFonts w:hint="eastAsia" w:ascii="Times New Roman" w:hAnsi="Times New Roman" w:cs="Times New Roman"/>
                      <w:color w:val="000000" w:themeColor="text1"/>
                      <w:sz w:val="21"/>
                      <w:szCs w:val="21"/>
                      <w:highlight w:val="none"/>
                      <w:lang w:eastAsia="zh-CN"/>
                    </w:rPr>
                    <w:t>生态功能，不改变水生态功能。</w:t>
                  </w:r>
                </w:p>
              </w:tc>
              <w:tc>
                <w:tcPr>
                  <w:tcW w:w="501" w:type="dxa"/>
                  <w:vAlign w:val="center"/>
                </w:tcPr>
                <w:p w14:paraId="656644F7">
                  <w:pPr>
                    <w:pStyle w:val="46"/>
                    <w:jc w:val="center"/>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z w:val="21"/>
                      <w:szCs w:val="21"/>
                      <w:highlight w:val="none"/>
                    </w:rPr>
                    <w:t>符合</w:t>
                  </w:r>
                </w:p>
              </w:tc>
            </w:tr>
            <w:tr w14:paraId="661EA1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7" w:hRule="atLeast"/>
                <w:jc w:val="center"/>
              </w:trPr>
              <w:tc>
                <w:tcPr>
                  <w:tcW w:w="630" w:type="dxa"/>
                  <w:vMerge w:val="continue"/>
                  <w:vAlign w:val="center"/>
                </w:tcPr>
                <w:p w14:paraId="6A816DCA">
                  <w:pPr>
                    <w:jc w:val="center"/>
                    <w:rPr>
                      <w:color w:val="000000" w:themeColor="text1"/>
                      <w:szCs w:val="21"/>
                      <w:highlight w:val="none"/>
                    </w:rPr>
                  </w:pPr>
                </w:p>
              </w:tc>
              <w:tc>
                <w:tcPr>
                  <w:tcW w:w="3625" w:type="dxa"/>
                  <w:vAlign w:val="center"/>
                </w:tcPr>
                <w:p w14:paraId="56A2D3C4">
                  <w:pPr>
                    <w:pStyle w:val="46"/>
                    <w:rPr>
                      <w:rFonts w:ascii="Times New Roman" w:hAnsi="Times New Roman" w:cs="Times New Roman"/>
                      <w:color w:val="000000" w:themeColor="text1"/>
                      <w:sz w:val="21"/>
                      <w:szCs w:val="21"/>
                      <w:highlight w:val="none"/>
                      <w:lang w:eastAsia="zh-CN"/>
                    </w:rPr>
                  </w:pPr>
                  <w:r>
                    <w:rPr>
                      <w:rFonts w:ascii="Times New Roman" w:hAnsi="Times New Roman" w:cs="Times New Roman"/>
                      <w:color w:val="000000" w:themeColor="text1"/>
                      <w:sz w:val="21"/>
                      <w:szCs w:val="21"/>
                      <w:highlight w:val="none"/>
                      <w:lang w:eastAsia="zh-CN"/>
                    </w:rPr>
                    <w:t>严格保护生态空间</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优化矿区开发布局。主动对接内蒙古自治区和鄂尔多斯市国土空间规划</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加强《规划》与生态环境分区管控方案、主体功能区规划、生态功能区划、内蒙古自治区“十四五”矿产资源总体规划及规划环评等的协调衔接</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确保符合相关管控要求。矿区与《鄂尔多斯市国土空间规划》城镇开发区和乌兰木伦镇、纳林陶亥镇、准格尔召镇、纳日松镇城镇集中建设区重叠区域应实施禁采。鑫臻煤矿与《鄂尔多斯市城市总体规划(2011-2030)》(2015年修改)划定的煤矿禁采区重叠区域原</w:t>
                  </w:r>
                  <w:r>
                    <w:rPr>
                      <w:rFonts w:hint="eastAsia" w:ascii="Times New Roman" w:hAnsi="Times New Roman" w:cs="Times New Roman"/>
                      <w:color w:val="000000" w:themeColor="text1"/>
                      <w:sz w:val="21"/>
                      <w:szCs w:val="21"/>
                      <w:highlight w:val="none"/>
                      <w:lang w:eastAsia="zh-CN"/>
                    </w:rPr>
                    <w:t>则上</w:t>
                  </w:r>
                  <w:r>
                    <w:rPr>
                      <w:rFonts w:ascii="Times New Roman" w:hAnsi="Times New Roman" w:cs="Times New Roman"/>
                      <w:color w:val="000000" w:themeColor="text1"/>
                      <w:sz w:val="21"/>
                      <w:szCs w:val="21"/>
                      <w:highlight w:val="none"/>
                      <w:lang w:eastAsia="zh-CN"/>
                    </w:rPr>
                    <w:t>应实施禁采。神伊、德隆、华能井煤矿禁止开采河道管理范围内(神伊39</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71公顷、德隆181.35公顷、华能井88.62公顷)的剩余煤炭资源</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乌兰木伦河西岸鑫臻煤矿留设600米保护煤柱</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乌兰木伦河东岸的转龙湾、柳塔和石圪台煤矿及西侧的金峰寸草塔、裕隆富祥、寸草塔、霍洛湾、呼和乌素、补连塔等9个煤矿沿河道留设不小于最大沉陷影响半径的足够保护煤柱</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并采取有效措施恢复乌兰木伦河矿区段河流生态系统功能。河道管理范围外资源开采应留设足够的安全距离</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切实减缓对河道的不良影响。对矿区规划井田涉及的文物保护单位、大型村庄、乌兰木伦河等重要河流、铁路、公路、输电线路、水利设施等按照规范留设足够保护煤柱。</w:t>
                  </w:r>
                </w:p>
                <w:p w14:paraId="50DD849C">
                  <w:pPr>
                    <w:pStyle w:val="46"/>
                    <w:ind w:firstLine="420" w:firstLineChars="200"/>
                    <w:rPr>
                      <w:rFonts w:ascii="Times New Roman" w:hAnsi="Times New Roman" w:cs="Times New Roman"/>
                      <w:color w:val="000000" w:themeColor="text1"/>
                      <w:sz w:val="21"/>
                      <w:szCs w:val="21"/>
                      <w:highlight w:val="none"/>
                      <w:lang w:eastAsia="zh-CN"/>
                    </w:rPr>
                  </w:pPr>
                  <w:r>
                    <w:rPr>
                      <w:rFonts w:ascii="Times New Roman" w:hAnsi="Times New Roman" w:cs="Times New Roman"/>
                      <w:color w:val="000000" w:themeColor="text1"/>
                      <w:sz w:val="21"/>
                      <w:szCs w:val="21"/>
                      <w:highlight w:val="none"/>
                      <w:lang w:eastAsia="zh-CN"/>
                    </w:rPr>
                    <w:t>食联、锦邦等露天矿以及羊市塔一矿(含整合的羊市塔二矿)、山贵、山不拉等井工矿与国家一级公益林重叠区域</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荣恒等露天矿与基本农田重叠区域划为禁采区。纳入国家发展改革委保供煤矿清单的项目</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确有必要在相关区域开采的</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应在符合相关法律法规的前提下</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取得林业主管部门意见</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并采取有效措施减缓不良影响。基本农田外开采应留设足够的安全距离</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切实减缓对基本农田的不良影响。碾房塔纳林沟、伊泰纳林庙、李家渠、昶旭、忠华、闫家渠、伊丰、瑞德二矿、宏亚、敖劳不拉、三界沟、兴旺、朝阳、石场湾、炭窑渠、宏景塔一矿、四道柳、东圪堵、石湾子、宝丰、西乌素、敖家沟西梁、赛蒙特尔等23个涉及井工转露天的煤矿</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应符合《内蒙古自治区煤炭管理条例》第九条 “具备井工开采条件的矿区</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严格控制露天开采煤炭”的规定</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忠华、三界沟、兴旺、炭窑渠等井工转露天的煤矿以及碾房塔纳林沟、兰家塔 富源、伊泰自家梁、天隆武家塔、南梁、乌兰满来梁、常青、古城、阳堡渠、吴家梁、卓正、瑞德、壕赖梁、川宏、东达、通福、五圪图、大庙渠等18个规划扩</w:t>
                  </w:r>
                  <w:r>
                    <w:rPr>
                      <w:rFonts w:hint="eastAsia" w:ascii="Times New Roman" w:hAnsi="Times New Roman" w:cs="Times New Roman"/>
                      <w:color w:val="000000" w:themeColor="text1"/>
                      <w:sz w:val="21"/>
                      <w:szCs w:val="21"/>
                      <w:highlight w:val="none"/>
                      <w:lang w:eastAsia="zh-CN"/>
                    </w:rPr>
                    <w:t>大</w:t>
                  </w:r>
                  <w:r>
                    <w:rPr>
                      <w:rFonts w:ascii="Times New Roman" w:hAnsi="Times New Roman" w:cs="Times New Roman"/>
                      <w:color w:val="000000" w:themeColor="text1"/>
                      <w:sz w:val="21"/>
                      <w:szCs w:val="21"/>
                      <w:highlight w:val="none"/>
                      <w:lang w:eastAsia="zh-CN"/>
                    </w:rPr>
                    <w:t>露天开采区域的煤矿均涉及基本草原</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项目实施应符合《内蒙古自治区煤炭管理条例》第九条“禁止在生态保护红线内草原区规划煤炭开发项目</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严格控制在生态保护红线外草原区规划建设新的煤炭开发项目、扩大露天开采区域</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确有特殊需要的</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由自治区人民政府依照国家和自治区有关规定审批”的规定</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否则不得开采。按照法律法规和主管部门要求</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做好基本草原、基本农田、国家级公益林等的保护、修复和补偿</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确保其生态功能不降低</w:t>
                  </w:r>
                  <w:r>
                    <w:rPr>
                      <w:rFonts w:hint="eastAsia" w:ascii="Times New Roman" w:hAnsi="Times New Roman" w:cs="Times New Roman"/>
                      <w:color w:val="000000" w:themeColor="text1"/>
                      <w:sz w:val="21"/>
                      <w:szCs w:val="21"/>
                      <w:highlight w:val="none"/>
                      <w:lang w:eastAsia="zh-CN"/>
                    </w:rPr>
                    <w:t>。</w:t>
                  </w:r>
                </w:p>
              </w:tc>
              <w:tc>
                <w:tcPr>
                  <w:tcW w:w="1823" w:type="dxa"/>
                  <w:vAlign w:val="center"/>
                </w:tcPr>
                <w:p w14:paraId="6BF5D26F">
                  <w:pPr>
                    <w:jc w:val="center"/>
                    <w:rPr>
                      <w:color w:val="000000" w:themeColor="text1"/>
                      <w:szCs w:val="21"/>
                      <w:highlight w:val="none"/>
                    </w:rPr>
                  </w:pPr>
                  <w:r>
                    <w:rPr>
                      <w:color w:val="000000" w:themeColor="text1"/>
                      <w:kern w:val="0"/>
                      <w:szCs w:val="21"/>
                      <w:highlight w:val="none"/>
                    </w:rPr>
                    <w:t>本项目</w:t>
                  </w:r>
                  <w:r>
                    <w:rPr>
                      <w:rFonts w:hint="eastAsia"/>
                      <w:color w:val="000000" w:themeColor="text1"/>
                      <w:spacing w:val="-1"/>
                      <w:szCs w:val="21"/>
                      <w:highlight w:val="none"/>
                    </w:rPr>
                    <w:t>属于</w:t>
                  </w:r>
                  <w:r>
                    <w:rPr>
                      <w:color w:val="000000" w:themeColor="text1"/>
                      <w:kern w:val="0"/>
                      <w:szCs w:val="21"/>
                      <w:highlight w:val="none"/>
                    </w:rPr>
                    <w:t>富民煤矿附属工程</w:t>
                  </w:r>
                  <w:r>
                    <w:rPr>
                      <w:rFonts w:hint="eastAsia"/>
                      <w:color w:val="000000" w:themeColor="text1"/>
                      <w:kern w:val="0"/>
                      <w:szCs w:val="21"/>
                      <w:highlight w:val="none"/>
                    </w:rPr>
                    <w:t>，不涉及审查意见中相关内容</w:t>
                  </w:r>
                  <w:r>
                    <w:rPr>
                      <w:color w:val="000000" w:themeColor="text1"/>
                      <w:spacing w:val="-3"/>
                      <w:szCs w:val="21"/>
                      <w:highlight w:val="none"/>
                    </w:rPr>
                    <w:t>。</w:t>
                  </w:r>
                </w:p>
              </w:tc>
              <w:tc>
                <w:tcPr>
                  <w:tcW w:w="501" w:type="dxa"/>
                  <w:vAlign w:val="center"/>
                </w:tcPr>
                <w:p w14:paraId="0B196F2E">
                  <w:pPr>
                    <w:pStyle w:val="46"/>
                    <w:jc w:val="center"/>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z w:val="21"/>
                      <w:szCs w:val="21"/>
                      <w:highlight w:val="none"/>
                    </w:rPr>
                    <w:t>符合</w:t>
                  </w:r>
                </w:p>
              </w:tc>
            </w:tr>
            <w:tr w14:paraId="2B680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2" w:hRule="atLeast"/>
                <w:jc w:val="center"/>
              </w:trPr>
              <w:tc>
                <w:tcPr>
                  <w:tcW w:w="630" w:type="dxa"/>
                  <w:vMerge w:val="continue"/>
                  <w:vAlign w:val="center"/>
                </w:tcPr>
                <w:p w14:paraId="17B7B355">
                  <w:pPr>
                    <w:jc w:val="center"/>
                    <w:rPr>
                      <w:color w:val="000000" w:themeColor="text1"/>
                      <w:szCs w:val="21"/>
                      <w:highlight w:val="none"/>
                    </w:rPr>
                  </w:pPr>
                </w:p>
              </w:tc>
              <w:tc>
                <w:tcPr>
                  <w:tcW w:w="3625" w:type="dxa"/>
                  <w:vAlign w:val="center"/>
                </w:tcPr>
                <w:p w14:paraId="26C2552E">
                  <w:pPr>
                    <w:pStyle w:val="46"/>
                    <w:rPr>
                      <w:rFonts w:ascii="Times New Roman" w:hAnsi="Times New Roman" w:cs="Times New Roman"/>
                      <w:color w:val="000000" w:themeColor="text1"/>
                      <w:sz w:val="21"/>
                      <w:szCs w:val="21"/>
                      <w:highlight w:val="none"/>
                      <w:lang w:eastAsia="zh-CN"/>
                    </w:rPr>
                  </w:pPr>
                  <w:r>
                    <w:rPr>
                      <w:rFonts w:ascii="Times New Roman" w:hAnsi="Times New Roman" w:cs="Times New Roman"/>
                      <w:color w:val="000000" w:themeColor="text1"/>
                      <w:sz w:val="21"/>
                      <w:szCs w:val="21"/>
                      <w:highlight w:val="none"/>
                      <w:lang w:eastAsia="zh-CN"/>
                    </w:rPr>
                    <w:t>严格生态环境准入。全面落实各项资源环境指标要求</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矿区煤炭开采污染物排放以及生产用水、能耗、物耗应达到清洁生产一级指标。相关项目应符合国家法律法规要求</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依法履行环境影响评价等相关手续。按相关法律法规要求,改 扩建煤矿应配套煤炭洗选设施</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已建成的煤矿按要求补建煤炭洗选设施。因地制宜加强矿井水回用和矸石综合利用力度</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鼓励优先将矸石井下充填</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确保矸石综合利用率符合相关规定。优化露天矿开发方案和内部运输结构</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尽早实现内排。加强矿区煤炭及矸石贮存、转载、装卸等环节和煤炭开采的扬尘污染防治</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确保符合区域环境空气质量改善要求。加强温室气体管控</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做好矿井乏风余热利用</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实施煤矿瓦斯监测、</w:t>
                  </w:r>
                  <w:r>
                    <w:rPr>
                      <w:rFonts w:hint="eastAsia" w:ascii="Times New Roman" w:hAnsi="Times New Roman" w:cs="Times New Roman"/>
                      <w:color w:val="000000" w:themeColor="text1"/>
                      <w:sz w:val="21"/>
                      <w:szCs w:val="21"/>
                      <w:highlight w:val="none"/>
                      <w:lang w:eastAsia="zh-CN"/>
                    </w:rPr>
                    <w:t>抽</w:t>
                  </w:r>
                  <w:r>
                    <w:rPr>
                      <w:rFonts w:ascii="Times New Roman" w:hAnsi="Times New Roman" w:cs="Times New Roman"/>
                      <w:color w:val="000000" w:themeColor="text1"/>
                      <w:sz w:val="21"/>
                      <w:szCs w:val="21"/>
                      <w:highlight w:val="none"/>
                      <w:lang w:eastAsia="zh-CN"/>
                    </w:rPr>
                    <w:t>采及利用</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对甲烷体积浓度在2% (含)至8%的</w:t>
                  </w:r>
                  <w:r>
                    <w:rPr>
                      <w:rFonts w:hint="eastAsia" w:ascii="Times New Roman" w:hAnsi="Times New Roman" w:cs="Times New Roman"/>
                      <w:color w:val="000000" w:themeColor="text1"/>
                      <w:sz w:val="21"/>
                      <w:szCs w:val="21"/>
                      <w:highlight w:val="none"/>
                      <w:lang w:eastAsia="zh-CN"/>
                    </w:rPr>
                    <w:t>抽</w:t>
                  </w:r>
                  <w:r>
                    <w:rPr>
                      <w:rFonts w:ascii="Times New Roman" w:hAnsi="Times New Roman" w:cs="Times New Roman"/>
                      <w:color w:val="000000" w:themeColor="text1"/>
                      <w:sz w:val="21"/>
                      <w:szCs w:val="21"/>
                      <w:highlight w:val="none"/>
                      <w:lang w:eastAsia="zh-CN"/>
                    </w:rPr>
                    <w:t>采瓦斯以及乏风瓦斯</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进一步探索乏风氧化等方式的综合利用、降低温室气体排放和固碳等措施和技术</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并进行推广应用。进一步优化运输结构</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加大铁路、全封闭栈桥等清洁运输比例</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矿区总体清洁运输比例应在2025年达到70%。</w:t>
                  </w:r>
                </w:p>
              </w:tc>
              <w:tc>
                <w:tcPr>
                  <w:tcW w:w="1823" w:type="dxa"/>
                  <w:vAlign w:val="center"/>
                </w:tcPr>
                <w:p w14:paraId="5362227E">
                  <w:pPr>
                    <w:adjustRightInd w:val="0"/>
                    <w:snapToGrid w:val="0"/>
                    <w:jc w:val="center"/>
                    <w:rPr>
                      <w:color w:val="000000" w:themeColor="text1"/>
                      <w:szCs w:val="21"/>
                      <w:highlight w:val="none"/>
                    </w:rPr>
                  </w:pPr>
                  <w:r>
                    <w:rPr>
                      <w:color w:val="000000" w:themeColor="text1"/>
                      <w:kern w:val="0"/>
                      <w:szCs w:val="21"/>
                      <w:highlight w:val="none"/>
                    </w:rPr>
                    <w:t>本项目为</w:t>
                  </w:r>
                  <w:r>
                    <w:rPr>
                      <w:rFonts w:hint="eastAsia"/>
                      <w:color w:val="000000" w:themeColor="text1"/>
                      <w:kern w:val="0"/>
                      <w:szCs w:val="21"/>
                      <w:highlight w:val="none"/>
                    </w:rPr>
                    <w:t>富民</w:t>
                  </w:r>
                  <w:r>
                    <w:rPr>
                      <w:color w:val="000000" w:themeColor="text1"/>
                      <w:kern w:val="0"/>
                      <w:szCs w:val="21"/>
                      <w:highlight w:val="none"/>
                    </w:rPr>
                    <w:t>煤矿附属工程</w:t>
                  </w:r>
                  <w:r>
                    <w:rPr>
                      <w:color w:val="000000" w:themeColor="text1"/>
                      <w:szCs w:val="21"/>
                      <w:highlight w:val="none"/>
                    </w:rPr>
                    <w:t>，不涉及煤炭开采，</w:t>
                  </w:r>
                  <w:r>
                    <w:rPr>
                      <w:rFonts w:hint="eastAsia"/>
                      <w:color w:val="000000" w:themeColor="text1"/>
                      <w:szCs w:val="21"/>
                      <w:highlight w:val="none"/>
                    </w:rPr>
                    <w:t>不涉及</w:t>
                  </w:r>
                  <w:r>
                    <w:rPr>
                      <w:color w:val="000000" w:themeColor="text1"/>
                      <w:szCs w:val="21"/>
                      <w:highlight w:val="none"/>
                    </w:rPr>
                    <w:t>煤炭及矸石贮存、转载、装卸等环节，</w:t>
                  </w:r>
                  <w:r>
                    <w:rPr>
                      <w:rFonts w:hint="eastAsia"/>
                      <w:color w:val="000000" w:themeColor="text1"/>
                      <w:szCs w:val="21"/>
                      <w:highlight w:val="none"/>
                    </w:rPr>
                    <w:t>不涉及运输</w:t>
                  </w:r>
                  <w:r>
                    <w:rPr>
                      <w:color w:val="000000" w:themeColor="text1"/>
                      <w:szCs w:val="21"/>
                      <w:highlight w:val="none"/>
                    </w:rPr>
                    <w:t>。</w:t>
                  </w:r>
                </w:p>
              </w:tc>
              <w:tc>
                <w:tcPr>
                  <w:tcW w:w="501" w:type="dxa"/>
                  <w:vAlign w:val="center"/>
                </w:tcPr>
                <w:p w14:paraId="49092454">
                  <w:pPr>
                    <w:pStyle w:val="46"/>
                    <w:jc w:val="center"/>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z w:val="21"/>
                      <w:szCs w:val="21"/>
                      <w:highlight w:val="none"/>
                    </w:rPr>
                    <w:t>符合</w:t>
                  </w:r>
                </w:p>
              </w:tc>
            </w:tr>
            <w:tr w14:paraId="29E5D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14" w:hRule="atLeast"/>
                <w:jc w:val="center"/>
              </w:trPr>
              <w:tc>
                <w:tcPr>
                  <w:tcW w:w="630" w:type="dxa"/>
                  <w:vMerge w:val="continue"/>
                  <w:vAlign w:val="center"/>
                </w:tcPr>
                <w:p w14:paraId="00DA3AE5">
                  <w:pPr>
                    <w:jc w:val="center"/>
                    <w:rPr>
                      <w:color w:val="000000" w:themeColor="text1"/>
                      <w:szCs w:val="21"/>
                      <w:highlight w:val="none"/>
                    </w:rPr>
                  </w:pPr>
                </w:p>
              </w:tc>
              <w:tc>
                <w:tcPr>
                  <w:tcW w:w="3625" w:type="dxa"/>
                  <w:vAlign w:val="center"/>
                </w:tcPr>
                <w:p w14:paraId="32B82BED">
                  <w:pPr>
                    <w:pStyle w:val="46"/>
                    <w:rPr>
                      <w:rFonts w:ascii="Times New Roman" w:hAnsi="Times New Roman" w:cs="Times New Roman"/>
                      <w:color w:val="000000" w:themeColor="text1"/>
                      <w:sz w:val="21"/>
                      <w:szCs w:val="21"/>
                      <w:highlight w:val="none"/>
                      <w:lang w:eastAsia="zh-CN"/>
                    </w:rPr>
                  </w:pPr>
                  <w:r>
                    <w:rPr>
                      <w:rFonts w:ascii="Times New Roman" w:hAnsi="Times New Roman" w:cs="Times New Roman"/>
                      <w:color w:val="000000" w:themeColor="text1"/>
                      <w:spacing w:val="7"/>
                      <w:sz w:val="21"/>
                      <w:szCs w:val="21"/>
                      <w:highlight w:val="none"/>
                      <w:lang w:eastAsia="zh-CN"/>
                    </w:rPr>
                    <w:t>加强生态修复设计</w:t>
                  </w:r>
                  <w:r>
                    <w:rPr>
                      <w:rFonts w:hint="eastAsia" w:ascii="Times New Roman" w:hAnsi="Times New Roman" w:cs="Times New Roman"/>
                      <w:color w:val="000000" w:themeColor="text1"/>
                      <w:spacing w:val="7"/>
                      <w:sz w:val="21"/>
                      <w:szCs w:val="21"/>
                      <w:highlight w:val="none"/>
                      <w:lang w:eastAsia="zh-CN"/>
                    </w:rPr>
                    <w:t>，</w:t>
                  </w:r>
                  <w:r>
                    <w:rPr>
                      <w:rFonts w:ascii="Times New Roman" w:hAnsi="Times New Roman" w:cs="Times New Roman"/>
                      <w:color w:val="000000" w:themeColor="text1"/>
                      <w:spacing w:val="7"/>
                      <w:sz w:val="21"/>
                      <w:szCs w:val="21"/>
                      <w:highlight w:val="none"/>
                      <w:lang w:eastAsia="zh-CN"/>
                    </w:rPr>
                    <w:t>强化区域生态环境综合整治和生态修复。严格控制矿区开发扰动范围</w:t>
                  </w:r>
                  <w:r>
                    <w:rPr>
                      <w:rFonts w:hint="eastAsia" w:ascii="Times New Roman" w:hAnsi="Times New Roman" w:cs="Times New Roman"/>
                      <w:color w:val="000000" w:themeColor="text1"/>
                      <w:spacing w:val="7"/>
                      <w:sz w:val="21"/>
                      <w:szCs w:val="21"/>
                      <w:highlight w:val="none"/>
                      <w:lang w:eastAsia="zh-CN"/>
                    </w:rPr>
                    <w:t>，</w:t>
                  </w:r>
                  <w:r>
                    <w:rPr>
                      <w:rFonts w:ascii="Times New Roman" w:hAnsi="Times New Roman" w:cs="Times New Roman"/>
                      <w:color w:val="000000" w:themeColor="text1"/>
                      <w:spacing w:val="7"/>
                      <w:sz w:val="21"/>
                      <w:szCs w:val="21"/>
                      <w:highlight w:val="none"/>
                      <w:lang w:eastAsia="zh-CN"/>
                    </w:rPr>
                    <w:t>加大环境治理和生态修复力度</w:t>
                  </w:r>
                  <w:r>
                    <w:rPr>
                      <w:rFonts w:hint="eastAsia" w:ascii="Times New Roman" w:hAnsi="Times New Roman" w:cs="Times New Roman"/>
                      <w:color w:val="000000" w:themeColor="text1"/>
                      <w:spacing w:val="7"/>
                      <w:sz w:val="21"/>
                      <w:szCs w:val="21"/>
                      <w:highlight w:val="none"/>
                      <w:lang w:eastAsia="zh-CN"/>
                    </w:rPr>
                    <w:t>，</w:t>
                  </w:r>
                  <w:r>
                    <w:rPr>
                      <w:rFonts w:ascii="Times New Roman" w:hAnsi="Times New Roman" w:cs="Times New Roman"/>
                      <w:color w:val="000000" w:themeColor="text1"/>
                      <w:spacing w:val="7"/>
                      <w:sz w:val="21"/>
                      <w:szCs w:val="21"/>
                      <w:highlight w:val="none"/>
                      <w:lang w:eastAsia="zh-CN"/>
                    </w:rPr>
                    <w:t>切实预防或者减轻规划实施导致的生态环境影响。编制矿区整体生态修复治理规划</w:t>
                  </w:r>
                  <w:r>
                    <w:rPr>
                      <w:rFonts w:hint="eastAsia" w:ascii="Times New Roman" w:hAnsi="Times New Roman" w:cs="Times New Roman"/>
                      <w:color w:val="000000" w:themeColor="text1"/>
                      <w:spacing w:val="7"/>
                      <w:sz w:val="21"/>
                      <w:szCs w:val="21"/>
                      <w:highlight w:val="none"/>
                      <w:lang w:eastAsia="zh-CN"/>
                    </w:rPr>
                    <w:t>，</w:t>
                  </w:r>
                  <w:r>
                    <w:rPr>
                      <w:rFonts w:ascii="Times New Roman" w:hAnsi="Times New Roman" w:cs="Times New Roman"/>
                      <w:color w:val="000000" w:themeColor="text1"/>
                      <w:spacing w:val="7"/>
                      <w:sz w:val="21"/>
                      <w:szCs w:val="21"/>
                      <w:highlight w:val="none"/>
                      <w:lang w:eastAsia="zh-CN"/>
                    </w:rPr>
                    <w:t>提出适合本区生态环境特点、与周边地形地貌和生态环境相协调的生态修复方案和治理措施</w:t>
                  </w:r>
                  <w:r>
                    <w:rPr>
                      <w:rFonts w:hint="eastAsia" w:ascii="Times New Roman" w:hAnsi="Times New Roman" w:cs="Times New Roman"/>
                      <w:color w:val="000000" w:themeColor="text1"/>
                      <w:spacing w:val="7"/>
                      <w:sz w:val="21"/>
                      <w:szCs w:val="21"/>
                      <w:highlight w:val="none"/>
                      <w:lang w:eastAsia="zh-CN"/>
                    </w:rPr>
                    <w:t>，</w:t>
                  </w:r>
                  <w:r>
                    <w:rPr>
                      <w:rFonts w:ascii="Times New Roman" w:hAnsi="Times New Roman" w:cs="Times New Roman"/>
                      <w:color w:val="000000" w:themeColor="text1"/>
                      <w:spacing w:val="7"/>
                      <w:sz w:val="21"/>
                      <w:szCs w:val="21"/>
                      <w:highlight w:val="none"/>
                      <w:lang w:eastAsia="zh-CN"/>
                    </w:rPr>
                    <w:t>加强乌伦木兰河和㹀牛川河道、露天开采区的集中连片生态修复规划设计</w:t>
                  </w:r>
                  <w:r>
                    <w:rPr>
                      <w:rFonts w:hint="eastAsia" w:ascii="Times New Roman" w:hAnsi="Times New Roman" w:cs="Times New Roman"/>
                      <w:color w:val="000000" w:themeColor="text1"/>
                      <w:spacing w:val="7"/>
                      <w:sz w:val="21"/>
                      <w:szCs w:val="21"/>
                      <w:highlight w:val="none"/>
                      <w:lang w:eastAsia="zh-CN"/>
                    </w:rPr>
                    <w:t>，</w:t>
                  </w:r>
                  <w:r>
                    <w:rPr>
                      <w:rFonts w:ascii="Times New Roman" w:hAnsi="Times New Roman" w:cs="Times New Roman"/>
                      <w:color w:val="000000" w:themeColor="text1"/>
                      <w:spacing w:val="7"/>
                      <w:sz w:val="21"/>
                      <w:szCs w:val="21"/>
                      <w:highlight w:val="none"/>
                      <w:lang w:eastAsia="zh-CN"/>
                    </w:rPr>
                    <w:t>从整体上提升矿区尤其是露天开采区域生态修复的质量和效果</w:t>
                  </w:r>
                  <w:r>
                    <w:rPr>
                      <w:rFonts w:hint="eastAsia" w:ascii="Times New Roman" w:hAnsi="Times New Roman" w:cs="Times New Roman"/>
                      <w:color w:val="000000" w:themeColor="text1"/>
                      <w:spacing w:val="7"/>
                      <w:sz w:val="21"/>
                      <w:szCs w:val="21"/>
                      <w:highlight w:val="none"/>
                      <w:lang w:eastAsia="zh-CN"/>
                    </w:rPr>
                    <w:t>，</w:t>
                  </w:r>
                  <w:r>
                    <w:rPr>
                      <w:rFonts w:ascii="Times New Roman" w:hAnsi="Times New Roman" w:cs="Times New Roman"/>
                      <w:color w:val="000000" w:themeColor="text1"/>
                      <w:spacing w:val="7"/>
                      <w:sz w:val="21"/>
                      <w:szCs w:val="21"/>
                      <w:highlight w:val="none"/>
                      <w:lang w:eastAsia="zh-CN"/>
                    </w:rPr>
                    <w:t>切实改善矿区生态环境质量。煤炭开采项目应同步制定并落实生态保护和修复方案。生态修复应坚持因地制宜原则</w:t>
                  </w:r>
                  <w:r>
                    <w:rPr>
                      <w:rFonts w:hint="eastAsia" w:ascii="Times New Roman" w:hAnsi="Times New Roman" w:cs="Times New Roman"/>
                      <w:color w:val="000000" w:themeColor="text1"/>
                      <w:spacing w:val="7"/>
                      <w:sz w:val="21"/>
                      <w:szCs w:val="21"/>
                      <w:highlight w:val="none"/>
                      <w:lang w:eastAsia="zh-CN"/>
                    </w:rPr>
                    <w:t>，</w:t>
                  </w:r>
                  <w:r>
                    <w:rPr>
                      <w:rFonts w:ascii="Times New Roman" w:hAnsi="Times New Roman" w:cs="Times New Roman"/>
                      <w:color w:val="000000" w:themeColor="text1"/>
                      <w:spacing w:val="7"/>
                      <w:sz w:val="21"/>
                      <w:szCs w:val="21"/>
                      <w:highlight w:val="none"/>
                      <w:lang w:eastAsia="zh-CN"/>
                    </w:rPr>
                    <w:t>重建与</w:t>
                  </w:r>
                  <w:r>
                    <w:rPr>
                      <w:rFonts w:hint="eastAsia" w:ascii="Times New Roman" w:hAnsi="Times New Roman" w:cs="Times New Roman"/>
                      <w:color w:val="000000" w:themeColor="text1"/>
                      <w:spacing w:val="7"/>
                      <w:sz w:val="21"/>
                      <w:szCs w:val="21"/>
                      <w:highlight w:val="none"/>
                      <w:lang w:eastAsia="zh-CN"/>
                    </w:rPr>
                    <w:t>周边</w:t>
                  </w:r>
                  <w:r>
                    <w:rPr>
                      <w:rFonts w:ascii="Times New Roman" w:hAnsi="Times New Roman" w:cs="Times New Roman"/>
                      <w:color w:val="000000" w:themeColor="text1"/>
                      <w:spacing w:val="7"/>
                      <w:sz w:val="21"/>
                      <w:szCs w:val="21"/>
                      <w:highlight w:val="none"/>
                      <w:lang w:eastAsia="zh-CN"/>
                    </w:rPr>
                    <w:t>生态环境相协调的植物群落</w:t>
                  </w:r>
                  <w:r>
                    <w:rPr>
                      <w:rFonts w:hint="eastAsia" w:ascii="Times New Roman" w:hAnsi="Times New Roman" w:cs="Times New Roman"/>
                      <w:color w:val="000000" w:themeColor="text1"/>
                      <w:spacing w:val="7"/>
                      <w:sz w:val="21"/>
                      <w:szCs w:val="21"/>
                      <w:highlight w:val="none"/>
                      <w:lang w:eastAsia="zh-CN"/>
                    </w:rPr>
                    <w:t>，</w:t>
                  </w:r>
                  <w:r>
                    <w:rPr>
                      <w:rFonts w:ascii="Times New Roman" w:hAnsi="Times New Roman" w:cs="Times New Roman"/>
                      <w:color w:val="000000" w:themeColor="text1"/>
                      <w:spacing w:val="7"/>
                      <w:sz w:val="21"/>
                      <w:szCs w:val="21"/>
                      <w:highlight w:val="none"/>
                      <w:lang w:eastAsia="zh-CN"/>
                    </w:rPr>
                    <w:t>保护和恢复生物多样性</w:t>
                  </w:r>
                  <w:r>
                    <w:rPr>
                      <w:rFonts w:hint="eastAsia" w:ascii="Times New Roman" w:hAnsi="Times New Roman" w:cs="Times New Roman"/>
                      <w:color w:val="000000" w:themeColor="text1"/>
                      <w:spacing w:val="7"/>
                      <w:sz w:val="21"/>
                      <w:szCs w:val="21"/>
                      <w:highlight w:val="none"/>
                      <w:lang w:eastAsia="zh-CN"/>
                    </w:rPr>
                    <w:t>，</w:t>
                  </w:r>
                  <w:r>
                    <w:rPr>
                      <w:rFonts w:ascii="Times New Roman" w:hAnsi="Times New Roman" w:cs="Times New Roman"/>
                      <w:color w:val="000000" w:themeColor="text1"/>
                      <w:spacing w:val="7"/>
                      <w:sz w:val="21"/>
                      <w:szCs w:val="21"/>
                      <w:highlight w:val="none"/>
                      <w:lang w:eastAsia="zh-CN"/>
                    </w:rPr>
                    <w:t>最终形成可自然维持的生态系统。</w:t>
                  </w:r>
                </w:p>
              </w:tc>
              <w:tc>
                <w:tcPr>
                  <w:tcW w:w="1823" w:type="dxa"/>
                  <w:vAlign w:val="center"/>
                </w:tcPr>
                <w:p w14:paraId="78A5A553">
                  <w:pPr>
                    <w:adjustRightInd w:val="0"/>
                    <w:snapToGrid w:val="0"/>
                    <w:jc w:val="center"/>
                    <w:rPr>
                      <w:color w:val="000000" w:themeColor="text1"/>
                      <w:szCs w:val="21"/>
                      <w:highlight w:val="none"/>
                    </w:rPr>
                  </w:pPr>
                  <w:r>
                    <w:rPr>
                      <w:color w:val="000000" w:themeColor="text1"/>
                      <w:spacing w:val="8"/>
                      <w:szCs w:val="21"/>
                      <w:highlight w:val="none"/>
                    </w:rPr>
                    <w:t>本项目</w:t>
                  </w:r>
                  <w:r>
                    <w:rPr>
                      <w:rFonts w:hint="eastAsia"/>
                      <w:color w:val="000000" w:themeColor="text1"/>
                      <w:spacing w:val="8"/>
                      <w:szCs w:val="21"/>
                      <w:highlight w:val="none"/>
                    </w:rPr>
                    <w:t>不涉及矿区开发和煤炭开采</w:t>
                  </w:r>
                  <w:r>
                    <w:rPr>
                      <w:color w:val="000000" w:themeColor="text1"/>
                      <w:spacing w:val="8"/>
                      <w:szCs w:val="21"/>
                      <w:highlight w:val="none"/>
                    </w:rPr>
                    <w:t>。</w:t>
                  </w:r>
                </w:p>
              </w:tc>
              <w:tc>
                <w:tcPr>
                  <w:tcW w:w="501" w:type="dxa"/>
                  <w:vAlign w:val="center"/>
                </w:tcPr>
                <w:p w14:paraId="79B6B8AD">
                  <w:pPr>
                    <w:pStyle w:val="46"/>
                    <w:jc w:val="center"/>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pacing w:val="3"/>
                      <w:sz w:val="21"/>
                      <w:szCs w:val="21"/>
                      <w:highlight w:val="none"/>
                    </w:rPr>
                    <w:t>符合</w:t>
                  </w:r>
                </w:p>
              </w:tc>
            </w:tr>
            <w:tr w14:paraId="11D5C9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3" w:hRule="atLeast"/>
                <w:jc w:val="center"/>
              </w:trPr>
              <w:tc>
                <w:tcPr>
                  <w:tcW w:w="630" w:type="dxa"/>
                  <w:vMerge w:val="continue"/>
                  <w:vAlign w:val="center"/>
                </w:tcPr>
                <w:p w14:paraId="4155009D">
                  <w:pPr>
                    <w:jc w:val="center"/>
                    <w:rPr>
                      <w:color w:val="000000" w:themeColor="text1"/>
                      <w:szCs w:val="21"/>
                      <w:highlight w:val="none"/>
                    </w:rPr>
                  </w:pPr>
                </w:p>
              </w:tc>
              <w:tc>
                <w:tcPr>
                  <w:tcW w:w="3625" w:type="dxa"/>
                  <w:vAlign w:val="center"/>
                </w:tcPr>
                <w:p w14:paraId="1862B2D1">
                  <w:pPr>
                    <w:pStyle w:val="46"/>
                    <w:rPr>
                      <w:rFonts w:ascii="Times New Roman" w:hAnsi="Times New Roman" w:cs="Times New Roman"/>
                      <w:color w:val="000000" w:themeColor="text1"/>
                      <w:sz w:val="21"/>
                      <w:szCs w:val="21"/>
                      <w:highlight w:val="none"/>
                      <w:lang w:eastAsia="zh-CN"/>
                    </w:rPr>
                  </w:pPr>
                  <w:r>
                    <w:rPr>
                      <w:rFonts w:ascii="Times New Roman" w:hAnsi="Times New Roman" w:cs="Times New Roman"/>
                      <w:color w:val="000000" w:themeColor="text1"/>
                      <w:sz w:val="21"/>
                      <w:szCs w:val="21"/>
                      <w:highlight w:val="none"/>
                      <w:lang w:eastAsia="zh-CN"/>
                    </w:rPr>
                    <w:t>妥善解决既有生态环境问题。在《规划》实施中</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严格相关整改要求</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加强对现有生态环境问题的整改。矿井水处理站增加除氟工艺及深度处理工艺</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确保氟化物及矿化度达标</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拆除柳塔、乌兰满来梁等煤矿10吨/小时以下燃煤小锅炉</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呼和乌素、蒙泰满来梁、文玉、大地精等煤矿10吨/小时以上燃煤锅炉增加烟气脱硝等措施</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确保排放满足相关标准要求。针对矿区采空区、露天采坑生态治理滞后</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乌兰木伦河断流、</w:t>
                  </w:r>
                  <w:r>
                    <w:rPr>
                      <w:rFonts w:ascii="Times New Roman" w:hAnsi="Times New Roman" w:cs="Times New Roman"/>
                      <w:color w:val="000000" w:themeColor="text1"/>
                      <w:spacing w:val="7"/>
                      <w:sz w:val="21"/>
                      <w:szCs w:val="21"/>
                      <w:highlight w:val="none"/>
                      <w:lang w:eastAsia="zh-CN"/>
                    </w:rPr>
                    <w:t>㹀</w:t>
                  </w:r>
                  <w:r>
                    <w:rPr>
                      <w:rFonts w:ascii="Times New Roman" w:hAnsi="Times New Roman" w:cs="Times New Roman"/>
                      <w:color w:val="000000" w:themeColor="text1"/>
                      <w:sz w:val="21"/>
                      <w:szCs w:val="21"/>
                      <w:highlight w:val="none"/>
                      <w:lang w:eastAsia="zh-CN"/>
                    </w:rPr>
                    <w:t>牛川汇流减少、地表岩移观测、地下水和生态监测系统建设滞后</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露天开采扬尘治理效果差等问题</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制定详细整改方案</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明确责任主体和整改时限。</w:t>
                  </w:r>
                </w:p>
              </w:tc>
              <w:tc>
                <w:tcPr>
                  <w:tcW w:w="1823" w:type="dxa"/>
                  <w:vAlign w:val="center"/>
                </w:tcPr>
                <w:p w14:paraId="4DCE7DA6">
                  <w:pPr>
                    <w:pStyle w:val="46"/>
                    <w:jc w:val="center"/>
                    <w:rPr>
                      <w:rFonts w:ascii="Times New Roman" w:hAnsi="Times New Roman" w:cs="Times New Roman"/>
                      <w:color w:val="000000" w:themeColor="text1"/>
                      <w:sz w:val="21"/>
                      <w:szCs w:val="21"/>
                      <w:highlight w:val="none"/>
                      <w:lang w:eastAsia="zh-CN"/>
                    </w:rPr>
                  </w:pPr>
                  <w:r>
                    <w:rPr>
                      <w:rFonts w:ascii="Times New Roman" w:hAnsi="Times New Roman" w:cs="Times New Roman"/>
                      <w:color w:val="000000" w:themeColor="text1"/>
                      <w:kern w:val="0"/>
                      <w:sz w:val="21"/>
                      <w:szCs w:val="21"/>
                      <w:highlight w:val="none"/>
                      <w:lang w:eastAsia="zh-CN"/>
                    </w:rPr>
                    <w:t>本项目为</w:t>
                  </w:r>
                  <w:r>
                    <w:rPr>
                      <w:rFonts w:hint="eastAsia" w:ascii="Times New Roman" w:hAnsi="Times New Roman" w:cs="Times New Roman"/>
                      <w:color w:val="000000" w:themeColor="text1"/>
                      <w:kern w:val="0"/>
                      <w:sz w:val="21"/>
                      <w:szCs w:val="21"/>
                      <w:highlight w:val="none"/>
                      <w:lang w:eastAsia="zh-CN"/>
                    </w:rPr>
                    <w:t>富民</w:t>
                  </w:r>
                  <w:r>
                    <w:rPr>
                      <w:rFonts w:ascii="Times New Roman" w:hAnsi="Times New Roman" w:cs="Times New Roman"/>
                      <w:color w:val="000000" w:themeColor="text1"/>
                      <w:kern w:val="0"/>
                      <w:sz w:val="21"/>
                      <w:szCs w:val="21"/>
                      <w:highlight w:val="none"/>
                      <w:lang w:eastAsia="zh-CN"/>
                    </w:rPr>
                    <w:t>煤矿附属工程，主要建设</w:t>
                  </w:r>
                  <w:r>
                    <w:rPr>
                      <w:rFonts w:ascii="Times New Roman" w:hAnsi="Times New Roman" w:cs="Times New Roman"/>
                      <w:color w:val="000000" w:themeColor="text1"/>
                      <w:sz w:val="21"/>
                      <w:szCs w:val="21"/>
                      <w:highlight w:val="none"/>
                      <w:lang w:eastAsia="zh-CN"/>
                    </w:rPr>
                    <w:t>风井场地及其他配套工程，不涉及</w:t>
                  </w:r>
                  <w:r>
                    <w:rPr>
                      <w:rFonts w:hint="eastAsia" w:ascii="Times New Roman" w:hAnsi="Times New Roman" w:cs="Times New Roman"/>
                      <w:color w:val="000000" w:themeColor="text1"/>
                      <w:sz w:val="21"/>
                      <w:szCs w:val="21"/>
                      <w:highlight w:val="none"/>
                      <w:lang w:eastAsia="zh-CN"/>
                    </w:rPr>
                    <w:t>矿井水处理及锅炉建设</w:t>
                  </w:r>
                  <w:r>
                    <w:rPr>
                      <w:rFonts w:ascii="Times New Roman" w:hAnsi="Times New Roman" w:cs="Times New Roman"/>
                      <w:color w:val="000000" w:themeColor="text1"/>
                      <w:sz w:val="21"/>
                      <w:szCs w:val="21"/>
                      <w:highlight w:val="none"/>
                      <w:lang w:eastAsia="zh-CN"/>
                    </w:rPr>
                    <w:t>。</w:t>
                  </w:r>
                </w:p>
              </w:tc>
              <w:tc>
                <w:tcPr>
                  <w:tcW w:w="501" w:type="dxa"/>
                  <w:vAlign w:val="center"/>
                </w:tcPr>
                <w:p w14:paraId="397196F6">
                  <w:pPr>
                    <w:pStyle w:val="46"/>
                    <w:jc w:val="center"/>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pacing w:val="3"/>
                      <w:sz w:val="21"/>
                      <w:szCs w:val="21"/>
                      <w:highlight w:val="none"/>
                    </w:rPr>
                    <w:t>符合</w:t>
                  </w:r>
                </w:p>
              </w:tc>
            </w:tr>
            <w:tr w14:paraId="035CB6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jc w:val="center"/>
              </w:trPr>
              <w:tc>
                <w:tcPr>
                  <w:tcW w:w="630" w:type="dxa"/>
                  <w:vMerge w:val="continue"/>
                  <w:vAlign w:val="center"/>
                </w:tcPr>
                <w:p w14:paraId="4823C5AF">
                  <w:pPr>
                    <w:jc w:val="center"/>
                    <w:rPr>
                      <w:color w:val="000000" w:themeColor="text1"/>
                      <w:szCs w:val="21"/>
                      <w:highlight w:val="none"/>
                    </w:rPr>
                  </w:pPr>
                </w:p>
              </w:tc>
              <w:tc>
                <w:tcPr>
                  <w:tcW w:w="3625" w:type="dxa"/>
                  <w:vAlign w:val="center"/>
                </w:tcPr>
                <w:p w14:paraId="39B979FA">
                  <w:pPr>
                    <w:pStyle w:val="46"/>
                    <w:rPr>
                      <w:rFonts w:ascii="Times New Roman" w:hAnsi="Times New Roman" w:cs="Times New Roman"/>
                      <w:color w:val="000000" w:themeColor="text1"/>
                      <w:sz w:val="21"/>
                      <w:szCs w:val="21"/>
                      <w:highlight w:val="none"/>
                      <w:lang w:eastAsia="zh-CN"/>
                    </w:rPr>
                  </w:pPr>
                  <w:r>
                    <w:rPr>
                      <w:rFonts w:ascii="Times New Roman" w:hAnsi="Times New Roman" w:cs="Times New Roman"/>
                      <w:color w:val="000000" w:themeColor="text1"/>
                      <w:sz w:val="21"/>
                      <w:szCs w:val="21"/>
                      <w:highlight w:val="none"/>
                      <w:lang w:eastAsia="zh-CN"/>
                    </w:rPr>
                    <w:t>加强矿区环境管理。督促建设单位落实煤炭开采生态环境保护的主体责任。建立地下水长期跟踪监测系统</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加强水位、水质、水量监测</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加强地表沉陷、岩移观测和生态恢复的长期监测</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加强导水裂隙带发育高度观测</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对可能受采煤影响的村庄水井开展水位、水质监测</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保证居民用水不受采煤影响。必要时优化调整开采方案、强化有针对性的生态环境保护对策措施。</w:t>
                  </w:r>
                </w:p>
              </w:tc>
              <w:tc>
                <w:tcPr>
                  <w:tcW w:w="1823" w:type="dxa"/>
                  <w:vAlign w:val="center"/>
                </w:tcPr>
                <w:p w14:paraId="5C8D4725">
                  <w:pPr>
                    <w:pStyle w:val="46"/>
                    <w:jc w:val="center"/>
                    <w:rPr>
                      <w:rFonts w:ascii="Times New Roman" w:hAnsi="Times New Roman" w:cs="Times New Roman"/>
                      <w:color w:val="000000" w:themeColor="text1"/>
                      <w:sz w:val="21"/>
                      <w:szCs w:val="21"/>
                      <w:highlight w:val="none"/>
                      <w:lang w:eastAsia="zh-CN"/>
                    </w:rPr>
                  </w:pPr>
                  <w:r>
                    <w:rPr>
                      <w:rFonts w:ascii="Times New Roman" w:hAnsi="Times New Roman" w:cs="Times New Roman"/>
                      <w:color w:val="000000" w:themeColor="text1"/>
                      <w:spacing w:val="8"/>
                      <w:sz w:val="21"/>
                      <w:szCs w:val="21"/>
                      <w:highlight w:val="none"/>
                      <w:lang w:eastAsia="zh-CN"/>
                    </w:rPr>
                    <w:t>项目不涉及</w:t>
                  </w:r>
                  <w:r>
                    <w:rPr>
                      <w:rFonts w:hint="eastAsia" w:ascii="Times New Roman" w:hAnsi="Times New Roman" w:cs="Times New Roman"/>
                      <w:color w:val="000000" w:themeColor="text1"/>
                      <w:spacing w:val="8"/>
                      <w:sz w:val="21"/>
                      <w:szCs w:val="21"/>
                      <w:highlight w:val="none"/>
                      <w:lang w:eastAsia="zh-CN"/>
                    </w:rPr>
                    <w:t>采煤，富民煤矿已</w:t>
                  </w:r>
                  <w:r>
                    <w:rPr>
                      <w:rFonts w:ascii="Times New Roman" w:hAnsi="Times New Roman" w:cs="Times New Roman"/>
                      <w:color w:val="000000" w:themeColor="text1"/>
                      <w:sz w:val="21"/>
                      <w:szCs w:val="21"/>
                      <w:highlight w:val="none"/>
                      <w:lang w:eastAsia="zh-CN"/>
                    </w:rPr>
                    <w:t>建立地下水长期跟踪监测</w:t>
                  </w:r>
                  <w:r>
                    <w:rPr>
                      <w:rFonts w:hint="eastAsia" w:ascii="Times New Roman" w:hAnsi="Times New Roman" w:cs="Times New Roman"/>
                      <w:color w:val="000000" w:themeColor="text1"/>
                      <w:spacing w:val="8"/>
                      <w:sz w:val="21"/>
                      <w:szCs w:val="21"/>
                      <w:highlight w:val="none"/>
                      <w:lang w:eastAsia="zh-CN"/>
                    </w:rPr>
                    <w:t>。</w:t>
                  </w:r>
                </w:p>
              </w:tc>
              <w:tc>
                <w:tcPr>
                  <w:tcW w:w="501" w:type="dxa"/>
                  <w:vAlign w:val="center"/>
                </w:tcPr>
                <w:p w14:paraId="14EF77E7">
                  <w:pPr>
                    <w:pStyle w:val="46"/>
                    <w:jc w:val="center"/>
                    <w:rPr>
                      <w:rFonts w:ascii="Times New Roman" w:hAnsi="Times New Roman" w:cs="Times New Roman"/>
                      <w:color w:val="000000" w:themeColor="text1"/>
                      <w:sz w:val="21"/>
                      <w:szCs w:val="21"/>
                      <w:highlight w:val="none"/>
                    </w:rPr>
                  </w:pPr>
                  <w:r>
                    <w:rPr>
                      <w:rFonts w:ascii="Times New Roman" w:hAnsi="Times New Roman" w:cs="Times New Roman"/>
                      <w:color w:val="000000" w:themeColor="text1"/>
                      <w:spacing w:val="3"/>
                      <w:sz w:val="21"/>
                      <w:szCs w:val="21"/>
                      <w:highlight w:val="none"/>
                    </w:rPr>
                    <w:t>符合</w:t>
                  </w:r>
                </w:p>
              </w:tc>
            </w:tr>
            <w:tr w14:paraId="739CE8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jc w:val="center"/>
              </w:trPr>
              <w:tc>
                <w:tcPr>
                  <w:tcW w:w="630" w:type="dxa"/>
                  <w:vMerge w:val="continue"/>
                  <w:vAlign w:val="center"/>
                </w:tcPr>
                <w:p w14:paraId="3FA9FD90">
                  <w:pPr>
                    <w:jc w:val="center"/>
                    <w:rPr>
                      <w:color w:val="000000" w:themeColor="text1"/>
                      <w:szCs w:val="21"/>
                      <w:highlight w:val="none"/>
                    </w:rPr>
                  </w:pPr>
                </w:p>
              </w:tc>
              <w:tc>
                <w:tcPr>
                  <w:tcW w:w="3625" w:type="dxa"/>
                  <w:vAlign w:val="center"/>
                </w:tcPr>
                <w:p w14:paraId="0D3180CF">
                  <w:pPr>
                    <w:pStyle w:val="46"/>
                    <w:rPr>
                      <w:rFonts w:ascii="Times New Roman" w:hAnsi="Times New Roman" w:cs="Times New Roman"/>
                      <w:color w:val="000000" w:themeColor="text1"/>
                      <w:sz w:val="21"/>
                      <w:szCs w:val="21"/>
                      <w:highlight w:val="none"/>
                      <w:lang w:eastAsia="zh-CN"/>
                    </w:rPr>
                  </w:pPr>
                  <w:r>
                    <w:rPr>
                      <w:rFonts w:ascii="Times New Roman" w:hAnsi="Times New Roman" w:cs="Times New Roman"/>
                      <w:color w:val="000000" w:themeColor="text1"/>
                      <w:sz w:val="21"/>
                      <w:szCs w:val="21"/>
                      <w:highlight w:val="none"/>
                      <w:lang w:eastAsia="zh-CN"/>
                    </w:rPr>
                    <w:t>在《规划》实施过程中</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适时开展环境影响跟踪评价</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加强对先期开采煤矿的跟踪监测</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将《规划》实施对生态、地下水以及重要环境保护目标等的影响以及生态修复治理情况作为跟踪评价重点任务。应在统筹考虑区域煤炭需求、区域资源环境承载力、地区生态修复经验等基础上开展《规划》修编</w:t>
                  </w:r>
                  <w:r>
                    <w:rPr>
                      <w:rFonts w:hint="eastAsia" w:ascii="Times New Roman" w:hAnsi="Times New Roman" w:cs="Times New Roman"/>
                      <w:color w:val="000000" w:themeColor="text1"/>
                      <w:sz w:val="21"/>
                      <w:szCs w:val="21"/>
                      <w:highlight w:val="none"/>
                      <w:lang w:eastAsia="zh-CN"/>
                    </w:rPr>
                    <w:t>，</w:t>
                  </w:r>
                  <w:r>
                    <w:rPr>
                      <w:rFonts w:ascii="Times New Roman" w:hAnsi="Times New Roman" w:cs="Times New Roman"/>
                      <w:color w:val="000000" w:themeColor="text1"/>
                      <w:sz w:val="21"/>
                      <w:szCs w:val="21"/>
                      <w:highlight w:val="none"/>
                      <w:lang w:eastAsia="zh-CN"/>
                    </w:rPr>
                    <w:t>并同步开展规划环境影响评价。</w:t>
                  </w:r>
                </w:p>
              </w:tc>
              <w:tc>
                <w:tcPr>
                  <w:tcW w:w="1823" w:type="dxa"/>
                  <w:vAlign w:val="center"/>
                </w:tcPr>
                <w:p w14:paraId="6222AD13">
                  <w:pPr>
                    <w:pStyle w:val="46"/>
                    <w:jc w:val="center"/>
                    <w:rPr>
                      <w:rFonts w:ascii="Times New Roman" w:hAnsi="Times New Roman" w:cs="Times New Roman"/>
                      <w:color w:val="000000" w:themeColor="text1"/>
                      <w:spacing w:val="8"/>
                      <w:sz w:val="21"/>
                      <w:szCs w:val="21"/>
                      <w:highlight w:val="none"/>
                      <w:lang w:eastAsia="zh-CN"/>
                    </w:rPr>
                  </w:pPr>
                  <w:r>
                    <w:rPr>
                      <w:rFonts w:hint="eastAsia" w:ascii="Times New Roman" w:hAnsi="Times New Roman" w:cs="Times New Roman"/>
                      <w:color w:val="000000" w:themeColor="text1"/>
                      <w:spacing w:val="8"/>
                      <w:sz w:val="21"/>
                      <w:szCs w:val="21"/>
                      <w:highlight w:val="none"/>
                      <w:lang w:eastAsia="zh-CN"/>
                    </w:rPr>
                    <w:t>本项目不涉及</w:t>
                  </w:r>
                </w:p>
              </w:tc>
              <w:tc>
                <w:tcPr>
                  <w:tcW w:w="501" w:type="dxa"/>
                  <w:vAlign w:val="center"/>
                </w:tcPr>
                <w:p w14:paraId="56AAC5FB">
                  <w:pPr>
                    <w:pStyle w:val="46"/>
                    <w:jc w:val="center"/>
                    <w:rPr>
                      <w:rFonts w:ascii="Times New Roman" w:hAnsi="Times New Roman" w:cs="Times New Roman"/>
                      <w:color w:val="000000" w:themeColor="text1"/>
                      <w:spacing w:val="3"/>
                      <w:sz w:val="21"/>
                      <w:szCs w:val="21"/>
                      <w:highlight w:val="none"/>
                      <w:lang w:eastAsia="zh-CN"/>
                    </w:rPr>
                  </w:pPr>
                  <w:r>
                    <w:rPr>
                      <w:rFonts w:ascii="Times New Roman" w:hAnsi="Times New Roman" w:cs="Times New Roman"/>
                      <w:color w:val="000000" w:themeColor="text1"/>
                      <w:spacing w:val="3"/>
                      <w:sz w:val="21"/>
                      <w:szCs w:val="21"/>
                      <w:highlight w:val="none"/>
                      <w:lang w:eastAsia="zh-CN"/>
                    </w:rPr>
                    <w:t>符合</w:t>
                  </w:r>
                </w:p>
              </w:tc>
            </w:tr>
          </w:tbl>
          <w:p w14:paraId="6EDA1CFD">
            <w:pPr>
              <w:widowControl/>
              <w:spacing w:line="360" w:lineRule="auto"/>
              <w:ind w:firstLine="480" w:firstLineChars="200"/>
              <w:rPr>
                <w:rFonts w:ascii="宋体" w:hAnsi="宋体" w:cs="宋体"/>
                <w:color w:val="000000" w:themeColor="text1"/>
                <w:kern w:val="0"/>
                <w:sz w:val="24"/>
                <w:highlight w:val="none"/>
              </w:rPr>
            </w:pPr>
            <w:r>
              <w:rPr>
                <w:rFonts w:hint="eastAsia" w:ascii="宋体" w:hAnsi="宋体" w:cs="宋体"/>
                <w:color w:val="000000" w:themeColor="text1"/>
                <w:kern w:val="0"/>
                <w:sz w:val="24"/>
                <w:highlight w:val="none"/>
              </w:rPr>
              <w:t>由上表可知，本项目符合规划环评审查意见的要求。</w:t>
            </w:r>
          </w:p>
        </w:tc>
      </w:tr>
      <w:tr w14:paraId="44F780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31" w:hRule="atLeast"/>
          <w:jc w:val="center"/>
        </w:trPr>
        <w:tc>
          <w:tcPr>
            <w:tcW w:w="2226" w:type="dxa"/>
            <w:tcMar>
              <w:top w:w="16" w:type="dxa"/>
              <w:left w:w="16" w:type="dxa"/>
              <w:right w:w="16" w:type="dxa"/>
            </w:tcMar>
            <w:vAlign w:val="center"/>
          </w:tcPr>
          <w:p w14:paraId="7E442F5A">
            <w:pPr>
              <w:autoSpaceDE w:val="0"/>
              <w:autoSpaceDN w:val="0"/>
              <w:adjustRightInd w:val="0"/>
              <w:snapToGrid w:val="0"/>
              <w:jc w:val="center"/>
              <w:rPr>
                <w:rFonts w:ascii="宋体" w:hAnsi="宋体" w:cs="宋体"/>
                <w:color w:val="000000" w:themeColor="text1"/>
                <w:kern w:val="0"/>
                <w:szCs w:val="21"/>
                <w:highlight w:val="none"/>
              </w:rPr>
            </w:pPr>
            <w:bookmarkStart w:id="1" w:name="_Hlk56690880"/>
            <w:r>
              <w:rPr>
                <w:rFonts w:hint="eastAsia" w:ascii="宋体" w:hAnsi="宋体" w:cs="宋体"/>
                <w:color w:val="000000" w:themeColor="text1"/>
                <w:kern w:val="0"/>
                <w:sz w:val="24"/>
                <w:highlight w:val="none"/>
              </w:rPr>
              <w:t>其他符合性分析</w:t>
            </w:r>
            <w:bookmarkEnd w:id="1"/>
          </w:p>
        </w:tc>
        <w:tc>
          <w:tcPr>
            <w:tcW w:w="6813" w:type="dxa"/>
            <w:gridSpan w:val="3"/>
            <w:tcMar>
              <w:top w:w="16" w:type="dxa"/>
              <w:left w:w="16" w:type="dxa"/>
              <w:right w:w="16" w:type="dxa"/>
            </w:tcMar>
            <w:vAlign w:val="center"/>
          </w:tcPr>
          <w:p w14:paraId="08CB03F5">
            <w:pPr>
              <w:autoSpaceDE w:val="0"/>
              <w:autoSpaceDN w:val="0"/>
              <w:adjustRightInd w:val="0"/>
              <w:snapToGrid w:val="0"/>
              <w:spacing w:line="360" w:lineRule="auto"/>
              <w:ind w:firstLine="480" w:firstLineChars="200"/>
              <w:jc w:val="left"/>
              <w:rPr>
                <w:color w:val="000000" w:themeColor="text1"/>
                <w:sz w:val="24"/>
                <w:highlight w:val="none"/>
              </w:rPr>
            </w:pPr>
            <w:r>
              <w:rPr>
                <w:color w:val="000000" w:themeColor="text1"/>
                <w:sz w:val="24"/>
                <w:highlight w:val="none"/>
              </w:rPr>
              <w:t>一、产业政策符合性分析</w:t>
            </w:r>
          </w:p>
          <w:p w14:paraId="3C9FF3C1">
            <w:pPr>
              <w:autoSpaceDE w:val="0"/>
              <w:autoSpaceDN w:val="0"/>
              <w:adjustRightInd w:val="0"/>
              <w:snapToGrid w:val="0"/>
              <w:spacing w:line="360" w:lineRule="auto"/>
              <w:ind w:firstLine="480" w:firstLineChars="200"/>
              <w:rPr>
                <w:color w:val="000000" w:themeColor="text1"/>
                <w:sz w:val="24"/>
                <w:highlight w:val="none"/>
              </w:rPr>
            </w:pPr>
            <w:r>
              <w:rPr>
                <w:color w:val="000000" w:themeColor="text1"/>
                <w:sz w:val="24"/>
                <w:highlight w:val="none"/>
              </w:rPr>
              <w:t>本项目主要是建设风井场地及其他配套工程，《产业结构调整指导目录</w:t>
            </w:r>
            <w:r>
              <w:rPr>
                <w:rFonts w:hint="eastAsia"/>
                <w:color w:val="000000" w:themeColor="text1"/>
                <w:sz w:val="24"/>
                <w:highlight w:val="none"/>
              </w:rPr>
              <w:t>（2024</w:t>
            </w:r>
            <w:r>
              <w:rPr>
                <w:color w:val="000000" w:themeColor="text1"/>
                <w:sz w:val="24"/>
                <w:highlight w:val="none"/>
              </w:rPr>
              <w:t>年本）》</w:t>
            </w:r>
            <w:r>
              <w:rPr>
                <w:rFonts w:hint="eastAsia"/>
                <w:color w:val="000000" w:themeColor="text1"/>
                <w:sz w:val="24"/>
                <w:highlight w:val="none"/>
              </w:rPr>
              <w:t>由鼓励、限制和淘汰三类目录组成。</w:t>
            </w:r>
            <w:r>
              <w:rPr>
                <w:color w:val="000000" w:themeColor="text1"/>
                <w:sz w:val="24"/>
                <w:highlight w:val="none"/>
              </w:rPr>
              <w:t>鼓励类、限制类和淘汰类之外的，且符合国家有关法律法规和政策规定的属于允许类。本项目不属于鼓励类、限制类、淘汰类项目，</w:t>
            </w:r>
            <w:r>
              <w:rPr>
                <w:color w:val="0000FF"/>
                <w:sz w:val="24"/>
                <w:highlight w:val="none"/>
              </w:rPr>
              <w:t>本项目已取得</w:t>
            </w:r>
            <w:r>
              <w:rPr>
                <w:rFonts w:hint="eastAsia"/>
                <w:color w:val="0000FF"/>
                <w:sz w:val="24"/>
                <w:highlight w:val="none"/>
              </w:rPr>
              <w:t>鄂尔多斯市能源局</w:t>
            </w:r>
            <w:r>
              <w:rPr>
                <w:color w:val="0000FF"/>
                <w:sz w:val="24"/>
                <w:highlight w:val="none"/>
              </w:rPr>
              <w:t>出具的项目备案告知书，项目代码为2</w:t>
            </w:r>
            <w:r>
              <w:rPr>
                <w:rFonts w:hint="eastAsia"/>
                <w:color w:val="0000FF"/>
                <w:sz w:val="24"/>
                <w:highlight w:val="none"/>
              </w:rPr>
              <w:t>503</w:t>
            </w:r>
            <w:r>
              <w:rPr>
                <w:color w:val="0000FF"/>
                <w:sz w:val="24"/>
                <w:highlight w:val="none"/>
              </w:rPr>
              <w:t>-150622-60-0</w:t>
            </w:r>
            <w:r>
              <w:rPr>
                <w:rFonts w:hint="eastAsia"/>
                <w:color w:val="0000FF"/>
                <w:sz w:val="24"/>
                <w:highlight w:val="none"/>
              </w:rPr>
              <w:t>1</w:t>
            </w:r>
            <w:r>
              <w:rPr>
                <w:color w:val="0000FF"/>
                <w:sz w:val="24"/>
                <w:highlight w:val="none"/>
              </w:rPr>
              <w:t>-</w:t>
            </w:r>
            <w:r>
              <w:rPr>
                <w:rFonts w:hint="eastAsia"/>
                <w:color w:val="0000FF"/>
                <w:sz w:val="24"/>
                <w:highlight w:val="none"/>
              </w:rPr>
              <w:t>864934</w:t>
            </w:r>
            <w:r>
              <w:rPr>
                <w:color w:val="000000" w:themeColor="text1"/>
                <w:sz w:val="24"/>
                <w:highlight w:val="none"/>
              </w:rPr>
              <w:t>，属于允许类项目。项目的建设符合国家现行产业政策要求。</w:t>
            </w:r>
          </w:p>
          <w:p w14:paraId="62D3DE89">
            <w:pPr>
              <w:autoSpaceDE w:val="0"/>
              <w:autoSpaceDN w:val="0"/>
              <w:adjustRightInd w:val="0"/>
              <w:snapToGrid w:val="0"/>
              <w:spacing w:line="360" w:lineRule="auto"/>
              <w:ind w:firstLine="480" w:firstLineChars="200"/>
              <w:jc w:val="left"/>
              <w:rPr>
                <w:color w:val="000000" w:themeColor="text1"/>
                <w:sz w:val="24"/>
                <w:highlight w:val="none"/>
              </w:rPr>
            </w:pPr>
            <w:r>
              <w:rPr>
                <w:rFonts w:hint="eastAsia"/>
                <w:color w:val="000000" w:themeColor="text1"/>
                <w:sz w:val="24"/>
                <w:highlight w:val="none"/>
              </w:rPr>
              <w:t>二</w:t>
            </w:r>
            <w:r>
              <w:rPr>
                <w:color w:val="000000" w:themeColor="text1"/>
                <w:sz w:val="24"/>
                <w:highlight w:val="none"/>
              </w:rPr>
              <w:t>、生态环境分区管控符合性分析</w:t>
            </w:r>
          </w:p>
          <w:p w14:paraId="1456F587">
            <w:pPr>
              <w:autoSpaceDE w:val="0"/>
              <w:autoSpaceDN w:val="0"/>
              <w:adjustRightInd w:val="0"/>
              <w:snapToGrid w:val="0"/>
              <w:spacing w:line="360" w:lineRule="auto"/>
              <w:ind w:firstLine="480" w:firstLineChars="200"/>
              <w:jc w:val="left"/>
              <w:rPr>
                <w:color w:val="000000" w:themeColor="text1"/>
                <w:sz w:val="24"/>
                <w:highlight w:val="none"/>
              </w:rPr>
            </w:pPr>
            <w:r>
              <w:rPr>
                <w:color w:val="000000" w:themeColor="text1"/>
                <w:kern w:val="0"/>
                <w:sz w:val="24"/>
                <w:highlight w:val="none"/>
              </w:rPr>
              <w:t>《内蒙古自治区人民政府关于实施</w:t>
            </w:r>
            <w:r>
              <w:rPr>
                <w:rFonts w:hint="eastAsia"/>
                <w:color w:val="000000" w:themeColor="text1"/>
                <w:kern w:val="0"/>
                <w:sz w:val="24"/>
                <w:highlight w:val="none"/>
              </w:rPr>
              <w:t>“</w:t>
            </w:r>
            <w:r>
              <w:rPr>
                <w:color w:val="000000" w:themeColor="text1"/>
                <w:kern w:val="0"/>
                <w:sz w:val="24"/>
                <w:highlight w:val="none"/>
              </w:rPr>
              <w:t>三线一单</w:t>
            </w:r>
            <w:r>
              <w:rPr>
                <w:rFonts w:hint="eastAsia"/>
                <w:color w:val="000000" w:themeColor="text1"/>
                <w:kern w:val="0"/>
                <w:sz w:val="24"/>
                <w:highlight w:val="none"/>
              </w:rPr>
              <w:t>”</w:t>
            </w:r>
            <w:r>
              <w:rPr>
                <w:color w:val="000000" w:themeColor="text1"/>
                <w:kern w:val="0"/>
                <w:sz w:val="24"/>
                <w:highlight w:val="none"/>
              </w:rPr>
              <w:t>生态环境分区管控的意见》</w:t>
            </w:r>
            <w:r>
              <w:rPr>
                <w:rFonts w:hint="eastAsia"/>
                <w:color w:val="000000" w:themeColor="text1"/>
                <w:kern w:val="0"/>
                <w:sz w:val="24"/>
                <w:highlight w:val="none"/>
              </w:rPr>
              <w:t>（</w:t>
            </w:r>
            <w:r>
              <w:rPr>
                <w:color w:val="000000" w:themeColor="text1"/>
                <w:kern w:val="0"/>
                <w:sz w:val="24"/>
                <w:highlight w:val="none"/>
              </w:rPr>
              <w:t>内政发〔2020〕24号</w:t>
            </w:r>
            <w:r>
              <w:rPr>
                <w:rFonts w:hint="eastAsia"/>
                <w:color w:val="000000" w:themeColor="text1"/>
                <w:kern w:val="0"/>
                <w:sz w:val="24"/>
                <w:highlight w:val="none"/>
              </w:rPr>
              <w:t>）</w:t>
            </w:r>
            <w:r>
              <w:rPr>
                <w:color w:val="000000" w:themeColor="text1"/>
                <w:kern w:val="0"/>
                <w:sz w:val="24"/>
                <w:highlight w:val="none"/>
              </w:rPr>
              <w:t>描述：内蒙古自治区构建生态环境分区管控体系，全区共划分</w:t>
            </w:r>
            <w:r>
              <w:rPr>
                <w:rFonts w:ascii="宋体" w:hAnsi="宋体"/>
                <w:color w:val="000000" w:themeColor="text1"/>
                <w:kern w:val="0"/>
                <w:sz w:val="24"/>
                <w:highlight w:val="none"/>
              </w:rPr>
              <w:t>环境管控单元</w:t>
            </w:r>
            <w:r>
              <w:rPr>
                <w:color w:val="000000" w:themeColor="text1"/>
                <w:kern w:val="0"/>
                <w:sz w:val="24"/>
                <w:highlight w:val="none"/>
              </w:rPr>
              <w:t>1135</w:t>
            </w:r>
            <w:r>
              <w:rPr>
                <w:rFonts w:ascii="宋体" w:hAnsi="宋体"/>
                <w:color w:val="000000" w:themeColor="text1"/>
                <w:kern w:val="0"/>
                <w:sz w:val="24"/>
                <w:highlight w:val="none"/>
              </w:rPr>
              <w:t>个，包括优先保护单元、重点管控单元、一般管控单元三类，实施分类管控。</w:t>
            </w:r>
          </w:p>
          <w:p w14:paraId="5B4B0D6C">
            <w:pPr>
              <w:autoSpaceDE w:val="0"/>
              <w:autoSpaceDN w:val="0"/>
              <w:adjustRightInd w:val="0"/>
              <w:snapToGrid w:val="0"/>
              <w:spacing w:line="360" w:lineRule="auto"/>
              <w:ind w:left="420"/>
              <w:rPr>
                <w:color w:val="000000" w:themeColor="text1"/>
                <w:kern w:val="0"/>
                <w:sz w:val="24"/>
                <w:highlight w:val="none"/>
              </w:rPr>
            </w:pPr>
            <w:r>
              <w:rPr>
                <w:rFonts w:hint="eastAsia" w:ascii="宋体" w:hAnsi="宋体"/>
                <w:color w:val="000000" w:themeColor="text1"/>
                <w:kern w:val="0"/>
                <w:sz w:val="24"/>
                <w:highlight w:val="none"/>
              </w:rPr>
              <w:t>①生</w:t>
            </w:r>
            <w:r>
              <w:rPr>
                <w:rFonts w:ascii="宋体" w:hAnsi="宋体"/>
                <w:color w:val="000000" w:themeColor="text1"/>
                <w:kern w:val="0"/>
                <w:sz w:val="24"/>
                <w:highlight w:val="none"/>
              </w:rPr>
              <w:t>态保护红线</w:t>
            </w:r>
          </w:p>
          <w:p w14:paraId="680DEBF6">
            <w:pPr>
              <w:autoSpaceDE w:val="0"/>
              <w:autoSpaceDN w:val="0"/>
              <w:adjustRightInd w:val="0"/>
              <w:snapToGrid w:val="0"/>
              <w:spacing w:line="360" w:lineRule="auto"/>
              <w:ind w:firstLine="480" w:firstLineChars="200"/>
              <w:rPr>
                <w:color w:val="000000" w:themeColor="text1"/>
                <w:kern w:val="0"/>
                <w:sz w:val="24"/>
                <w:highlight w:val="none"/>
              </w:rPr>
            </w:pPr>
            <w:r>
              <w:rPr>
                <w:rFonts w:ascii="宋体" w:hAnsi="宋体"/>
                <w:color w:val="000000" w:themeColor="text1"/>
                <w:kern w:val="0"/>
                <w:sz w:val="24"/>
                <w:highlight w:val="none"/>
              </w:rPr>
              <w:t>根据</w:t>
            </w:r>
            <w:r>
              <w:rPr>
                <w:rFonts w:hint="eastAsia"/>
                <w:color w:val="000000" w:themeColor="text1"/>
                <w:kern w:val="0"/>
                <w:sz w:val="24"/>
                <w:highlight w:val="none"/>
              </w:rPr>
              <w:t>《鄂尔多斯市生态环境分区管控动态更新成果（2023年版）》的通知（2024年8月6日）</w:t>
            </w:r>
            <w:r>
              <w:rPr>
                <w:rFonts w:ascii="宋体" w:hAnsi="宋体"/>
                <w:color w:val="000000" w:themeColor="text1"/>
                <w:kern w:val="0"/>
                <w:sz w:val="24"/>
                <w:highlight w:val="none"/>
              </w:rPr>
              <w:t>，全市</w:t>
            </w:r>
            <w:r>
              <w:rPr>
                <w:rFonts w:hint="eastAsia" w:ascii="宋体" w:hAnsi="宋体"/>
                <w:color w:val="000000" w:themeColor="text1"/>
                <w:kern w:val="0"/>
                <w:sz w:val="24"/>
                <w:highlight w:val="none"/>
              </w:rPr>
              <w:t>按优先保护、重点管控、一般管控三大类划分</w:t>
            </w:r>
            <w:r>
              <w:rPr>
                <w:color w:val="000000" w:themeColor="text1"/>
                <w:kern w:val="0"/>
                <w:sz w:val="24"/>
                <w:highlight w:val="none"/>
              </w:rPr>
              <w:t>171</w:t>
            </w:r>
            <w:r>
              <w:rPr>
                <w:rFonts w:hint="eastAsia" w:ascii="宋体" w:hAnsi="宋体"/>
                <w:color w:val="000000" w:themeColor="text1"/>
                <w:kern w:val="0"/>
                <w:sz w:val="24"/>
                <w:highlight w:val="none"/>
              </w:rPr>
              <w:t>个环境管控单元</w:t>
            </w:r>
            <w:r>
              <w:rPr>
                <w:rFonts w:ascii="宋体" w:hAnsi="宋体"/>
                <w:color w:val="000000" w:themeColor="text1"/>
                <w:kern w:val="0"/>
                <w:sz w:val="24"/>
                <w:highlight w:val="none"/>
              </w:rPr>
              <w:t>。</w:t>
            </w:r>
          </w:p>
          <w:p w14:paraId="5D84CA24">
            <w:pPr>
              <w:autoSpaceDE w:val="0"/>
              <w:autoSpaceDN w:val="0"/>
              <w:adjustRightInd w:val="0"/>
              <w:snapToGrid w:val="0"/>
              <w:spacing w:line="360" w:lineRule="auto"/>
              <w:ind w:firstLine="480" w:firstLineChars="200"/>
              <w:rPr>
                <w:color w:val="000000" w:themeColor="text1"/>
                <w:kern w:val="0"/>
                <w:sz w:val="24"/>
                <w:highlight w:val="none"/>
              </w:rPr>
            </w:pPr>
            <w:r>
              <w:rPr>
                <w:color w:val="000000" w:themeColor="text1"/>
                <w:kern w:val="0"/>
                <w:sz w:val="24"/>
                <w:highlight w:val="none"/>
              </w:rPr>
              <w:t>A</w:t>
            </w:r>
            <w:r>
              <w:rPr>
                <w:rFonts w:ascii="宋体" w:hAnsi="宋体"/>
                <w:color w:val="000000" w:themeColor="text1"/>
                <w:kern w:val="0"/>
                <w:sz w:val="24"/>
                <w:highlight w:val="none"/>
              </w:rPr>
              <w:t>优先保护单元</w:t>
            </w:r>
            <w:r>
              <w:rPr>
                <w:rFonts w:hint="eastAsia" w:ascii="宋体" w:hAnsi="宋体"/>
                <w:color w:val="000000" w:themeColor="text1"/>
                <w:kern w:val="0"/>
                <w:sz w:val="24"/>
                <w:highlight w:val="none"/>
              </w:rPr>
              <w:t>：</w:t>
            </w:r>
            <w:r>
              <w:rPr>
                <w:rFonts w:ascii="宋体" w:hAnsi="宋体"/>
                <w:color w:val="000000" w:themeColor="text1"/>
                <w:kern w:val="0"/>
                <w:sz w:val="24"/>
                <w:highlight w:val="none"/>
              </w:rPr>
              <w:t>共</w:t>
            </w:r>
            <w:r>
              <w:rPr>
                <w:rFonts w:hint="eastAsia"/>
                <w:color w:val="000000" w:themeColor="text1"/>
                <w:kern w:val="0"/>
                <w:sz w:val="24"/>
                <w:highlight w:val="none"/>
              </w:rPr>
              <w:t>76</w:t>
            </w:r>
            <w:r>
              <w:rPr>
                <w:rFonts w:ascii="宋体" w:hAnsi="宋体"/>
                <w:color w:val="000000" w:themeColor="text1"/>
                <w:kern w:val="0"/>
                <w:sz w:val="24"/>
                <w:highlight w:val="none"/>
              </w:rPr>
              <w:t>个，面积占比为</w:t>
            </w:r>
            <w:r>
              <w:rPr>
                <w:color w:val="000000" w:themeColor="text1"/>
                <w:kern w:val="0"/>
                <w:sz w:val="24"/>
                <w:highlight w:val="none"/>
              </w:rPr>
              <w:t>6</w:t>
            </w:r>
            <w:r>
              <w:rPr>
                <w:rFonts w:hint="eastAsia"/>
                <w:color w:val="000000" w:themeColor="text1"/>
                <w:kern w:val="0"/>
                <w:sz w:val="24"/>
                <w:highlight w:val="none"/>
              </w:rPr>
              <w:t>4.35</w:t>
            </w:r>
            <w:r>
              <w:rPr>
                <w:color w:val="000000" w:themeColor="text1"/>
                <w:kern w:val="0"/>
                <w:sz w:val="24"/>
                <w:highlight w:val="none"/>
              </w:rPr>
              <w:t>%</w:t>
            </w:r>
            <w:r>
              <w:rPr>
                <w:rFonts w:ascii="宋体" w:hAnsi="宋体"/>
                <w:color w:val="000000" w:themeColor="text1"/>
                <w:kern w:val="0"/>
                <w:sz w:val="24"/>
                <w:highlight w:val="none"/>
              </w:rPr>
              <w:t>，优先保护单元以生态环境保护优先为原则，依法禁止或限制大规模、高强度的工业开发和城镇建设，确保生态环境功能不降低。</w:t>
            </w:r>
          </w:p>
          <w:p w14:paraId="6CB5D62B">
            <w:pPr>
              <w:autoSpaceDE w:val="0"/>
              <w:autoSpaceDN w:val="0"/>
              <w:adjustRightInd w:val="0"/>
              <w:snapToGrid w:val="0"/>
              <w:spacing w:line="360" w:lineRule="auto"/>
              <w:ind w:firstLine="480" w:firstLineChars="200"/>
              <w:rPr>
                <w:color w:val="000000" w:themeColor="text1"/>
                <w:kern w:val="0"/>
                <w:sz w:val="24"/>
                <w:highlight w:val="none"/>
              </w:rPr>
            </w:pPr>
            <w:r>
              <w:rPr>
                <w:color w:val="000000" w:themeColor="text1"/>
                <w:kern w:val="0"/>
                <w:sz w:val="24"/>
                <w:highlight w:val="none"/>
              </w:rPr>
              <w:t>B</w:t>
            </w:r>
            <w:r>
              <w:rPr>
                <w:rFonts w:ascii="宋体" w:hAnsi="宋体"/>
                <w:color w:val="000000" w:themeColor="text1"/>
                <w:kern w:val="0"/>
                <w:sz w:val="24"/>
                <w:highlight w:val="none"/>
              </w:rPr>
              <w:t>重点管控单元</w:t>
            </w:r>
            <w:r>
              <w:rPr>
                <w:rFonts w:hint="eastAsia" w:ascii="宋体" w:hAnsi="宋体"/>
                <w:color w:val="000000" w:themeColor="text1"/>
                <w:kern w:val="0"/>
                <w:sz w:val="24"/>
                <w:highlight w:val="none"/>
              </w:rPr>
              <w:t>：</w:t>
            </w:r>
            <w:r>
              <w:rPr>
                <w:rFonts w:ascii="宋体" w:hAnsi="宋体"/>
                <w:color w:val="000000" w:themeColor="text1"/>
                <w:kern w:val="0"/>
                <w:sz w:val="24"/>
                <w:highlight w:val="none"/>
              </w:rPr>
              <w:t>共</w:t>
            </w:r>
            <w:r>
              <w:rPr>
                <w:color w:val="000000" w:themeColor="text1"/>
                <w:kern w:val="0"/>
                <w:sz w:val="24"/>
                <w:highlight w:val="none"/>
              </w:rPr>
              <w:t>8</w:t>
            </w:r>
            <w:r>
              <w:rPr>
                <w:rFonts w:hint="eastAsia"/>
                <w:color w:val="000000" w:themeColor="text1"/>
                <w:kern w:val="0"/>
                <w:sz w:val="24"/>
                <w:highlight w:val="none"/>
              </w:rPr>
              <w:t>6</w:t>
            </w:r>
            <w:r>
              <w:rPr>
                <w:rFonts w:ascii="宋体" w:hAnsi="宋体"/>
                <w:color w:val="000000" w:themeColor="text1"/>
                <w:kern w:val="0"/>
                <w:sz w:val="24"/>
                <w:highlight w:val="none"/>
              </w:rPr>
              <w:t>个，面积占比为</w:t>
            </w:r>
            <w:r>
              <w:rPr>
                <w:rFonts w:hint="eastAsia"/>
                <w:color w:val="000000" w:themeColor="text1"/>
                <w:kern w:val="0"/>
                <w:sz w:val="24"/>
                <w:highlight w:val="none"/>
              </w:rPr>
              <w:t>28.1</w:t>
            </w:r>
            <w:r>
              <w:rPr>
                <w:color w:val="000000" w:themeColor="text1"/>
                <w:kern w:val="0"/>
                <w:sz w:val="24"/>
                <w:highlight w:val="none"/>
              </w:rPr>
              <w:t>%</w:t>
            </w:r>
            <w:r>
              <w:rPr>
                <w:rFonts w:ascii="宋体" w:hAnsi="宋体"/>
                <w:color w:val="000000" w:themeColor="text1"/>
                <w:kern w:val="0"/>
                <w:sz w:val="24"/>
                <w:highlight w:val="none"/>
              </w:rPr>
              <w:t>，重点管控单元应不断提升资源利用效率，有针对性地加强污染物排放控制和环境风险防控，解决生态环境质量不达标、生态环境风险高等问题。</w:t>
            </w:r>
          </w:p>
          <w:p w14:paraId="69BADB5C">
            <w:pPr>
              <w:autoSpaceDE w:val="0"/>
              <w:autoSpaceDN w:val="0"/>
              <w:adjustRightInd w:val="0"/>
              <w:snapToGrid w:val="0"/>
              <w:spacing w:line="360" w:lineRule="auto"/>
              <w:ind w:firstLine="480" w:firstLineChars="200"/>
              <w:rPr>
                <w:color w:val="000000" w:themeColor="text1"/>
                <w:kern w:val="0"/>
                <w:sz w:val="24"/>
                <w:highlight w:val="none"/>
              </w:rPr>
            </w:pPr>
            <w:r>
              <w:rPr>
                <w:color w:val="000000" w:themeColor="text1"/>
                <w:kern w:val="0"/>
                <w:sz w:val="24"/>
                <w:highlight w:val="none"/>
              </w:rPr>
              <w:t>C</w:t>
            </w:r>
            <w:r>
              <w:rPr>
                <w:rFonts w:ascii="宋体" w:hAnsi="宋体"/>
                <w:color w:val="000000" w:themeColor="text1"/>
                <w:kern w:val="0"/>
                <w:sz w:val="24"/>
                <w:highlight w:val="none"/>
              </w:rPr>
              <w:t>一般管控单元</w:t>
            </w:r>
            <w:r>
              <w:rPr>
                <w:rFonts w:hint="eastAsia" w:ascii="宋体" w:hAnsi="宋体"/>
                <w:color w:val="000000" w:themeColor="text1"/>
                <w:kern w:val="0"/>
                <w:sz w:val="24"/>
                <w:highlight w:val="none"/>
              </w:rPr>
              <w:t>：</w:t>
            </w:r>
            <w:r>
              <w:rPr>
                <w:rFonts w:ascii="宋体" w:hAnsi="宋体"/>
                <w:color w:val="000000" w:themeColor="text1"/>
                <w:kern w:val="0"/>
                <w:sz w:val="24"/>
                <w:highlight w:val="none"/>
              </w:rPr>
              <w:t>共</w:t>
            </w:r>
            <w:r>
              <w:rPr>
                <w:rFonts w:hint="eastAsia"/>
                <w:color w:val="000000" w:themeColor="text1"/>
                <w:kern w:val="0"/>
                <w:sz w:val="24"/>
                <w:highlight w:val="none"/>
              </w:rPr>
              <w:t>9</w:t>
            </w:r>
            <w:r>
              <w:rPr>
                <w:rFonts w:ascii="宋体" w:hAnsi="宋体"/>
                <w:color w:val="000000" w:themeColor="text1"/>
                <w:kern w:val="0"/>
                <w:sz w:val="24"/>
                <w:highlight w:val="none"/>
              </w:rPr>
              <w:t>个，面积占比为</w:t>
            </w:r>
            <w:r>
              <w:rPr>
                <w:rFonts w:hint="eastAsia"/>
                <w:color w:val="000000" w:themeColor="text1"/>
                <w:kern w:val="0"/>
                <w:sz w:val="24"/>
                <w:highlight w:val="none"/>
              </w:rPr>
              <w:t>7.56</w:t>
            </w:r>
            <w:r>
              <w:rPr>
                <w:color w:val="000000" w:themeColor="text1"/>
                <w:kern w:val="0"/>
                <w:sz w:val="24"/>
                <w:highlight w:val="none"/>
              </w:rPr>
              <w:t>%</w:t>
            </w:r>
            <w:r>
              <w:rPr>
                <w:rFonts w:ascii="宋体" w:hAnsi="宋体"/>
                <w:color w:val="000000" w:themeColor="text1"/>
                <w:kern w:val="0"/>
                <w:sz w:val="24"/>
                <w:highlight w:val="none"/>
              </w:rPr>
              <w:t>，</w:t>
            </w:r>
            <w:r>
              <w:rPr>
                <w:rFonts w:hint="eastAsia" w:ascii="宋体" w:hAnsi="宋体"/>
                <w:color w:val="000000" w:themeColor="text1"/>
                <w:kern w:val="0"/>
                <w:sz w:val="24"/>
                <w:highlight w:val="none"/>
              </w:rPr>
              <w:t>除</w:t>
            </w:r>
            <w:r>
              <w:rPr>
                <w:rFonts w:ascii="宋体" w:hAnsi="宋体"/>
                <w:color w:val="000000" w:themeColor="text1"/>
                <w:kern w:val="0"/>
                <w:sz w:val="24"/>
                <w:highlight w:val="none"/>
              </w:rPr>
              <w:t>优先保护单元、重点管控单元之外为一般管控单元。该区域主要落实生态环境保护基本要求。</w:t>
            </w:r>
          </w:p>
          <w:p w14:paraId="525AC752">
            <w:pPr>
              <w:autoSpaceDE w:val="0"/>
              <w:autoSpaceDN w:val="0"/>
              <w:adjustRightInd w:val="0"/>
              <w:snapToGrid w:val="0"/>
              <w:spacing w:line="360" w:lineRule="auto"/>
              <w:ind w:firstLine="480" w:firstLineChars="200"/>
              <w:jc w:val="left"/>
              <w:rPr>
                <w:color w:val="000000" w:themeColor="text1"/>
                <w:sz w:val="24"/>
                <w:highlight w:val="none"/>
              </w:rPr>
            </w:pPr>
            <w:r>
              <w:rPr>
                <w:rFonts w:ascii="宋体" w:hAnsi="宋体"/>
                <w:color w:val="000000" w:themeColor="text1"/>
                <w:kern w:val="0"/>
                <w:sz w:val="24"/>
                <w:highlight w:val="none"/>
              </w:rPr>
              <w:t>本项目建设地点位于</w:t>
            </w:r>
            <w:r>
              <w:rPr>
                <w:rFonts w:hint="eastAsia"/>
                <w:color w:val="000000" w:themeColor="text1"/>
                <w:sz w:val="24"/>
                <w:highlight w:val="none"/>
              </w:rPr>
              <w:t>伊金霍洛旗纳林陶亥镇朱日根沟村三社</w:t>
            </w:r>
            <w:r>
              <w:rPr>
                <w:rFonts w:ascii="宋体" w:hAnsi="宋体"/>
                <w:color w:val="000000" w:themeColor="text1"/>
                <w:kern w:val="0"/>
                <w:sz w:val="24"/>
                <w:highlight w:val="none"/>
              </w:rPr>
              <w:t>，</w:t>
            </w:r>
            <w:r>
              <w:rPr>
                <w:rFonts w:hint="eastAsia"/>
                <w:color w:val="000000" w:themeColor="text1"/>
                <w:sz w:val="24"/>
                <w:highlight w:val="none"/>
              </w:rPr>
              <w:t>对照鄂尔多斯市生态环境管控分区图</w:t>
            </w:r>
            <w:r>
              <w:rPr>
                <w:rFonts w:ascii="宋体" w:hAnsi="宋体"/>
                <w:color w:val="000000" w:themeColor="text1"/>
                <w:kern w:val="0"/>
                <w:sz w:val="24"/>
                <w:highlight w:val="none"/>
              </w:rPr>
              <w:t>，本项目</w:t>
            </w:r>
            <w:r>
              <w:rPr>
                <w:rFonts w:hint="eastAsia" w:ascii="宋体" w:hAnsi="宋体"/>
                <w:color w:val="000000" w:themeColor="text1"/>
                <w:kern w:val="0"/>
                <w:sz w:val="24"/>
                <w:highlight w:val="none"/>
              </w:rPr>
              <w:t>为</w:t>
            </w:r>
            <w:r>
              <w:rPr>
                <w:rFonts w:ascii="宋体" w:hAnsi="宋体"/>
                <w:color w:val="000000" w:themeColor="text1"/>
                <w:kern w:val="0"/>
                <w:sz w:val="24"/>
                <w:highlight w:val="none"/>
              </w:rPr>
              <w:t>重点管控单元</w:t>
            </w:r>
            <w:r>
              <w:rPr>
                <w:rFonts w:hint="eastAsia" w:ascii="宋体" w:hAnsi="宋体"/>
                <w:color w:val="000000" w:themeColor="text1"/>
                <w:kern w:val="0"/>
                <w:sz w:val="24"/>
                <w:highlight w:val="none"/>
              </w:rPr>
              <w:t>，管控单元名称为伊金霍洛旗煤矿重点管控单</w:t>
            </w:r>
            <w:r>
              <w:rPr>
                <w:color w:val="000000" w:themeColor="text1"/>
                <w:kern w:val="0"/>
                <w:sz w:val="24"/>
                <w:highlight w:val="none"/>
              </w:rPr>
              <w:t>元1</w:t>
            </w:r>
            <w:r>
              <w:rPr>
                <w:rFonts w:hint="eastAsia"/>
                <w:color w:val="000000" w:themeColor="text1"/>
                <w:kern w:val="0"/>
                <w:sz w:val="24"/>
                <w:highlight w:val="none"/>
              </w:rPr>
              <w:t>，</w:t>
            </w:r>
            <w:r>
              <w:rPr>
                <w:rFonts w:hint="eastAsia"/>
                <w:color w:val="000000" w:themeColor="text1"/>
                <w:sz w:val="24"/>
                <w:highlight w:val="none"/>
              </w:rPr>
              <w:t>管控单元编码：ZH15062720009</w:t>
            </w:r>
            <w:r>
              <w:rPr>
                <w:rFonts w:ascii="宋体" w:hAnsi="宋体"/>
                <w:color w:val="000000" w:themeColor="text1"/>
                <w:kern w:val="0"/>
                <w:sz w:val="24"/>
                <w:highlight w:val="none"/>
              </w:rPr>
              <w:t>。</w:t>
            </w:r>
            <w:r>
              <w:rPr>
                <w:color w:val="000000" w:themeColor="text1"/>
                <w:sz w:val="24"/>
                <w:highlight w:val="none"/>
              </w:rPr>
              <w:t>评价区内无饮用水水源地、自然保护区、风景名胜区等特殊环境敏感区</w:t>
            </w:r>
            <w:r>
              <w:rPr>
                <w:rFonts w:hint="eastAsia"/>
                <w:color w:val="000000" w:themeColor="text1"/>
                <w:sz w:val="24"/>
                <w:highlight w:val="none"/>
              </w:rPr>
              <w:t>。本项目不在生态红线范围内，符合生态保护红线管控要求</w:t>
            </w:r>
            <w:r>
              <w:rPr>
                <w:rFonts w:ascii="宋体" w:hAnsi="宋体"/>
                <w:color w:val="000000" w:themeColor="text1"/>
                <w:kern w:val="0"/>
                <w:sz w:val="24"/>
                <w:highlight w:val="none"/>
              </w:rPr>
              <w:t>。</w:t>
            </w:r>
            <w:r>
              <w:rPr>
                <w:rFonts w:hint="eastAsia"/>
                <w:color w:val="000000" w:themeColor="text1"/>
                <w:sz w:val="24"/>
                <w:highlight w:val="none"/>
              </w:rPr>
              <w:t xml:space="preserve"> </w:t>
            </w:r>
          </w:p>
          <w:p w14:paraId="55C779F5">
            <w:pPr>
              <w:autoSpaceDE w:val="0"/>
              <w:autoSpaceDN w:val="0"/>
              <w:adjustRightInd w:val="0"/>
              <w:snapToGrid w:val="0"/>
              <w:spacing w:line="360" w:lineRule="auto"/>
              <w:ind w:firstLine="480" w:firstLineChars="200"/>
              <w:jc w:val="left"/>
              <w:rPr>
                <w:color w:val="000000" w:themeColor="text1"/>
                <w:sz w:val="24"/>
                <w:highlight w:val="none"/>
              </w:rPr>
            </w:pPr>
            <w:r>
              <w:rPr>
                <w:rFonts w:hint="eastAsia"/>
                <w:color w:val="000000" w:themeColor="text1"/>
                <w:sz w:val="24"/>
                <w:highlight w:val="none"/>
              </w:rPr>
              <w:t>②</w:t>
            </w:r>
            <w:r>
              <w:rPr>
                <w:color w:val="000000" w:themeColor="text1"/>
                <w:sz w:val="24"/>
                <w:highlight w:val="none"/>
              </w:rPr>
              <w:t>环境质量底线</w:t>
            </w:r>
          </w:p>
          <w:p w14:paraId="79E7E87D">
            <w:pPr>
              <w:autoSpaceDE w:val="0"/>
              <w:autoSpaceDN w:val="0"/>
              <w:adjustRightInd w:val="0"/>
              <w:snapToGrid w:val="0"/>
              <w:spacing w:line="360" w:lineRule="auto"/>
              <w:ind w:firstLine="480" w:firstLineChars="200"/>
              <w:rPr>
                <w:color w:val="000000" w:themeColor="text1"/>
                <w:kern w:val="0"/>
                <w:sz w:val="24"/>
                <w:highlight w:val="none"/>
              </w:rPr>
            </w:pPr>
            <w:r>
              <w:rPr>
                <w:rFonts w:hint="eastAsia"/>
                <w:color w:val="000000" w:themeColor="text1"/>
                <w:kern w:val="0"/>
                <w:sz w:val="24"/>
                <w:highlight w:val="none"/>
              </w:rPr>
              <w:t>“</w:t>
            </w:r>
            <w:r>
              <w:rPr>
                <w:rFonts w:ascii="宋体" w:hAnsi="宋体"/>
                <w:color w:val="000000" w:themeColor="text1"/>
                <w:kern w:val="0"/>
                <w:sz w:val="24"/>
                <w:highlight w:val="none"/>
              </w:rPr>
              <w:t>环境质量底线</w:t>
            </w:r>
            <w:r>
              <w:rPr>
                <w:rFonts w:hint="eastAsia"/>
                <w:color w:val="000000" w:themeColor="text1"/>
                <w:kern w:val="0"/>
                <w:sz w:val="24"/>
                <w:highlight w:val="none"/>
              </w:rPr>
              <w:t>”</w:t>
            </w:r>
            <w:r>
              <w:rPr>
                <w:rFonts w:ascii="宋体" w:hAnsi="宋体"/>
                <w:color w:val="000000" w:themeColor="text1"/>
                <w:kern w:val="0"/>
                <w:sz w:val="24"/>
                <w:highlight w:val="none"/>
              </w:rPr>
              <w:t>是国家和地方设置的大气、水和土壤环境质量目标，也是改善环境质量的基准线。</w:t>
            </w:r>
          </w:p>
          <w:p w14:paraId="6E5F55DC">
            <w:pPr>
              <w:autoSpaceDE w:val="0"/>
              <w:autoSpaceDN w:val="0"/>
              <w:adjustRightInd w:val="0"/>
              <w:snapToGrid w:val="0"/>
              <w:spacing w:line="360" w:lineRule="auto"/>
              <w:ind w:firstLine="480" w:firstLineChars="200"/>
              <w:rPr>
                <w:color w:val="000000" w:themeColor="text1"/>
                <w:sz w:val="24"/>
                <w:highlight w:val="none"/>
              </w:rPr>
            </w:pPr>
            <w:r>
              <w:rPr>
                <w:bCs/>
                <w:color w:val="000000" w:themeColor="text1"/>
                <w:sz w:val="24"/>
                <w:highlight w:val="none"/>
              </w:rPr>
              <w:t>根据202</w:t>
            </w:r>
            <w:r>
              <w:rPr>
                <w:rFonts w:hint="eastAsia"/>
                <w:bCs/>
                <w:color w:val="000000" w:themeColor="text1"/>
                <w:sz w:val="24"/>
                <w:highlight w:val="none"/>
                <w:lang w:val="en-US" w:eastAsia="zh-CN"/>
              </w:rPr>
              <w:t>5</w:t>
            </w:r>
            <w:r>
              <w:rPr>
                <w:bCs/>
                <w:color w:val="000000" w:themeColor="text1"/>
                <w:sz w:val="24"/>
                <w:highlight w:val="none"/>
              </w:rPr>
              <w:t>年6月内蒙古自治</w:t>
            </w:r>
            <w:r>
              <w:rPr>
                <w:rFonts w:hint="default" w:ascii="Times New Roman" w:hAnsi="Times New Roman" w:eastAsia="宋体" w:cs="Times New Roman"/>
                <w:bCs/>
                <w:color w:val="000000" w:themeColor="text1"/>
                <w:sz w:val="24"/>
                <w:highlight w:val="none"/>
              </w:rPr>
              <w:t>区生态环境厅发布了《202</w:t>
            </w:r>
            <w:r>
              <w:rPr>
                <w:rFonts w:hint="default" w:ascii="Times New Roman" w:hAnsi="Times New Roman" w:eastAsia="宋体" w:cs="Times New Roman"/>
                <w:bCs/>
                <w:color w:val="000000" w:themeColor="text1"/>
                <w:sz w:val="24"/>
                <w:highlight w:val="none"/>
                <w:lang w:val="en-US" w:eastAsia="zh-CN"/>
              </w:rPr>
              <w:t>4</w:t>
            </w:r>
            <w:r>
              <w:rPr>
                <w:rFonts w:hint="default" w:ascii="Times New Roman" w:hAnsi="Times New Roman" w:eastAsia="宋体" w:cs="Times New Roman"/>
                <w:bCs/>
                <w:color w:val="000000" w:themeColor="text1"/>
                <w:sz w:val="24"/>
                <w:highlight w:val="none"/>
              </w:rPr>
              <w:t xml:space="preserve"> 年内蒙古自治区生态环境状况公报》，报告指出“2024年，全区环境空气六项污染物年均浓度均达标。”</w:t>
            </w:r>
            <w:r>
              <w:rPr>
                <w:bCs/>
                <w:color w:val="000000" w:themeColor="text1"/>
                <w:sz w:val="24"/>
                <w:highlight w:val="none"/>
              </w:rPr>
              <w:t>，因此本项目所在区域为达标区域</w:t>
            </w:r>
            <w:r>
              <w:rPr>
                <w:rFonts w:hint="eastAsia"/>
                <w:bCs/>
                <w:color w:val="000000" w:themeColor="text1"/>
                <w:sz w:val="24"/>
                <w:highlight w:val="none"/>
              </w:rPr>
              <w:t>。引用现状监测结果表明，</w:t>
            </w:r>
            <w:r>
              <w:rPr>
                <w:rFonts w:ascii="宋体" w:hAnsi="宋体"/>
                <w:color w:val="000000" w:themeColor="text1"/>
                <w:kern w:val="0"/>
                <w:sz w:val="24"/>
                <w:highlight w:val="none"/>
              </w:rPr>
              <w:t>本项目所在区域大气环境质量满足《环境空气质量标准》</w:t>
            </w:r>
            <w:r>
              <w:rPr>
                <w:rFonts w:hint="eastAsia" w:ascii="宋体" w:hAnsi="宋体"/>
                <w:color w:val="000000" w:themeColor="text1"/>
                <w:kern w:val="0"/>
                <w:sz w:val="24"/>
                <w:highlight w:val="none"/>
              </w:rPr>
              <w:t>（</w:t>
            </w:r>
            <w:r>
              <w:rPr>
                <w:color w:val="000000" w:themeColor="text1"/>
                <w:kern w:val="0"/>
                <w:sz w:val="24"/>
                <w:highlight w:val="none"/>
              </w:rPr>
              <w:t>GB3095-2012</w:t>
            </w:r>
            <w:r>
              <w:rPr>
                <w:rFonts w:hint="eastAsia" w:ascii="宋体" w:hAnsi="宋体"/>
                <w:color w:val="000000" w:themeColor="text1"/>
                <w:kern w:val="0"/>
                <w:sz w:val="24"/>
                <w:highlight w:val="none"/>
              </w:rPr>
              <w:t>）</w:t>
            </w:r>
            <w:r>
              <w:rPr>
                <w:rFonts w:ascii="宋体" w:hAnsi="宋体"/>
                <w:color w:val="000000" w:themeColor="text1"/>
                <w:kern w:val="0"/>
                <w:sz w:val="24"/>
                <w:highlight w:val="none"/>
              </w:rPr>
              <w:t>二级的要求。本项目为</w:t>
            </w:r>
            <w:r>
              <w:rPr>
                <w:rFonts w:hint="eastAsia" w:ascii="宋体" w:hAnsi="宋体"/>
                <w:color w:val="000000" w:themeColor="text1"/>
                <w:kern w:val="0"/>
                <w:sz w:val="24"/>
                <w:highlight w:val="none"/>
                <w:lang w:val="en-US" w:eastAsia="zh-CN"/>
              </w:rPr>
              <w:t>煤矿配套风井</w:t>
            </w:r>
            <w:r>
              <w:rPr>
                <w:rFonts w:ascii="宋体" w:hAnsi="宋体"/>
                <w:color w:val="000000" w:themeColor="text1"/>
                <w:kern w:val="0"/>
                <w:sz w:val="24"/>
                <w:highlight w:val="none"/>
              </w:rPr>
              <w:t>项目，施工期产生少量的扬尘、</w:t>
            </w:r>
            <w:r>
              <w:rPr>
                <w:rFonts w:hint="eastAsia" w:ascii="宋体" w:hAnsi="宋体"/>
                <w:color w:val="000000" w:themeColor="text1"/>
                <w:kern w:val="0"/>
                <w:sz w:val="24"/>
                <w:highlight w:val="none"/>
              </w:rPr>
              <w:t>噪声、</w:t>
            </w:r>
            <w:r>
              <w:rPr>
                <w:rFonts w:ascii="宋体" w:hAnsi="宋体"/>
                <w:color w:val="000000" w:themeColor="text1"/>
                <w:kern w:val="0"/>
                <w:sz w:val="24"/>
                <w:highlight w:val="none"/>
              </w:rPr>
              <w:t>固体废物等，采取相应防治措施后</w:t>
            </w:r>
            <w:r>
              <w:rPr>
                <w:rFonts w:hint="eastAsia" w:ascii="宋体" w:hAnsi="宋体"/>
                <w:color w:val="000000" w:themeColor="text1"/>
                <w:kern w:val="0"/>
                <w:sz w:val="24"/>
                <w:highlight w:val="none"/>
              </w:rPr>
              <w:t>，</w:t>
            </w:r>
            <w:r>
              <w:rPr>
                <w:rFonts w:ascii="宋体" w:hAnsi="宋体"/>
                <w:color w:val="000000" w:themeColor="text1"/>
                <w:kern w:val="0"/>
                <w:sz w:val="24"/>
                <w:highlight w:val="none"/>
              </w:rPr>
              <w:t>各类污染物均可满足相应的排放标准，达标排放。</w:t>
            </w:r>
            <w:r>
              <w:rPr>
                <w:color w:val="000000" w:themeColor="text1"/>
                <w:sz w:val="24"/>
                <w:highlight w:val="none"/>
              </w:rPr>
              <w:t>运营过程中会产生一定量的废</w:t>
            </w:r>
            <w:r>
              <w:rPr>
                <w:rFonts w:hint="eastAsia"/>
                <w:color w:val="000000" w:themeColor="text1"/>
                <w:sz w:val="24"/>
                <w:highlight w:val="none"/>
              </w:rPr>
              <w:t>气</w:t>
            </w:r>
            <w:r>
              <w:rPr>
                <w:color w:val="000000" w:themeColor="text1"/>
                <w:sz w:val="24"/>
                <w:highlight w:val="none"/>
              </w:rPr>
              <w:t>、噪声和固体废物，采取相应措施后均可达标排放，不会明显降低区域环境质量现状</w:t>
            </w:r>
            <w:r>
              <w:rPr>
                <w:rFonts w:hint="eastAsia"/>
                <w:color w:val="000000" w:themeColor="text1"/>
                <w:sz w:val="24"/>
                <w:highlight w:val="none"/>
              </w:rPr>
              <w:t>。</w:t>
            </w:r>
            <w:r>
              <w:rPr>
                <w:color w:val="000000" w:themeColor="text1"/>
                <w:sz w:val="24"/>
                <w:highlight w:val="none"/>
              </w:rPr>
              <w:t>项目的建设符合鄂尔多斯市的环境质量底线要求。</w:t>
            </w:r>
          </w:p>
          <w:p w14:paraId="174BB6E5">
            <w:pPr>
              <w:autoSpaceDE w:val="0"/>
              <w:autoSpaceDN w:val="0"/>
              <w:adjustRightInd w:val="0"/>
              <w:snapToGrid w:val="0"/>
              <w:spacing w:line="360" w:lineRule="auto"/>
              <w:ind w:left="420"/>
              <w:rPr>
                <w:color w:val="000000" w:themeColor="text1"/>
                <w:sz w:val="24"/>
                <w:highlight w:val="none"/>
              </w:rPr>
            </w:pPr>
            <w:r>
              <w:rPr>
                <w:rFonts w:hint="eastAsia"/>
                <w:color w:val="000000" w:themeColor="text1"/>
                <w:sz w:val="24"/>
                <w:highlight w:val="none"/>
              </w:rPr>
              <w:t>③资</w:t>
            </w:r>
            <w:r>
              <w:rPr>
                <w:rFonts w:ascii="宋体" w:hAnsi="宋体"/>
                <w:color w:val="000000" w:themeColor="text1"/>
                <w:kern w:val="0"/>
                <w:sz w:val="24"/>
                <w:highlight w:val="none"/>
              </w:rPr>
              <w:t>源利用上线</w:t>
            </w:r>
          </w:p>
          <w:p w14:paraId="43F4A927">
            <w:pPr>
              <w:autoSpaceDE w:val="0"/>
              <w:autoSpaceDN w:val="0"/>
              <w:adjustRightInd w:val="0"/>
              <w:snapToGrid w:val="0"/>
              <w:spacing w:line="360" w:lineRule="auto"/>
              <w:ind w:firstLine="480" w:firstLineChars="200"/>
              <w:jc w:val="left"/>
              <w:rPr>
                <w:color w:val="000000" w:themeColor="text1"/>
                <w:sz w:val="24"/>
                <w:highlight w:val="none"/>
              </w:rPr>
            </w:pPr>
            <w:r>
              <w:rPr>
                <w:color w:val="000000" w:themeColor="text1"/>
                <w:sz w:val="24"/>
                <w:highlight w:val="none"/>
              </w:rPr>
              <w:t>资源利用上线指按照自然资源资产</w:t>
            </w:r>
            <w:r>
              <w:rPr>
                <w:rFonts w:hint="eastAsia" w:ascii="宋体" w:hAnsi="宋体" w:cs="宋体"/>
                <w:color w:val="000000" w:themeColor="text1"/>
                <w:sz w:val="24"/>
                <w:highlight w:val="none"/>
              </w:rPr>
              <w:t>“</w:t>
            </w:r>
            <w:r>
              <w:rPr>
                <w:color w:val="000000" w:themeColor="text1"/>
                <w:sz w:val="24"/>
                <w:highlight w:val="none"/>
              </w:rPr>
              <w:t>只能增值、不能贬值</w:t>
            </w:r>
            <w:r>
              <w:rPr>
                <w:rFonts w:hint="eastAsia" w:ascii="宋体" w:hAnsi="宋体" w:cs="宋体"/>
                <w:color w:val="000000" w:themeColor="text1"/>
                <w:sz w:val="24"/>
                <w:highlight w:val="none"/>
              </w:rPr>
              <w:t>”</w:t>
            </w:r>
            <w:r>
              <w:rPr>
                <w:color w:val="000000" w:themeColor="text1"/>
                <w:sz w:val="24"/>
                <w:highlight w:val="none"/>
              </w:rPr>
              <w:t>的原则，以保障生态安全和改善环境质量为目的，参考自然资源资产负债表，结合自然资源开发利用效率，提出的分区域分阶段的资源开发利用总量、强度、效率等上线管控要求。本项目为</w:t>
            </w:r>
            <w:r>
              <w:rPr>
                <w:rFonts w:hint="eastAsia"/>
                <w:color w:val="000000" w:themeColor="text1"/>
                <w:sz w:val="24"/>
                <w:highlight w:val="none"/>
              </w:rPr>
              <w:t>富民煤矿</w:t>
            </w:r>
            <w:r>
              <w:rPr>
                <w:color w:val="000000" w:themeColor="text1"/>
                <w:sz w:val="24"/>
                <w:highlight w:val="none"/>
              </w:rPr>
              <w:t>配套项目，项</w:t>
            </w:r>
            <w:r>
              <w:rPr>
                <w:rFonts w:hint="eastAsia"/>
                <w:color w:val="000000" w:themeColor="text1"/>
                <w:sz w:val="24"/>
                <w:highlight w:val="none"/>
              </w:rPr>
              <w:t>目</w:t>
            </w:r>
            <w:r>
              <w:rPr>
                <w:color w:val="000000" w:themeColor="text1"/>
                <w:sz w:val="24"/>
                <w:highlight w:val="none"/>
              </w:rPr>
              <w:t>运行期主要消耗水、电</w:t>
            </w:r>
            <w:r>
              <w:rPr>
                <w:rFonts w:hint="eastAsia"/>
                <w:color w:val="000000" w:themeColor="text1"/>
                <w:sz w:val="24"/>
                <w:highlight w:val="none"/>
              </w:rPr>
              <w:t>资源</w:t>
            </w:r>
            <w:r>
              <w:rPr>
                <w:color w:val="000000" w:themeColor="text1"/>
                <w:sz w:val="24"/>
                <w:highlight w:val="none"/>
              </w:rPr>
              <w:t>，</w:t>
            </w:r>
            <w:r>
              <w:rPr>
                <w:rFonts w:hint="eastAsia"/>
                <w:color w:val="000000" w:themeColor="text1"/>
                <w:sz w:val="24"/>
                <w:highlight w:val="none"/>
              </w:rPr>
              <w:t>本</w:t>
            </w:r>
            <w:r>
              <w:rPr>
                <w:color w:val="000000" w:themeColor="text1"/>
                <w:sz w:val="24"/>
                <w:highlight w:val="none"/>
              </w:rPr>
              <w:t>项目水</w:t>
            </w:r>
            <w:r>
              <w:rPr>
                <w:rFonts w:hint="eastAsia"/>
                <w:color w:val="000000" w:themeColor="text1"/>
                <w:sz w:val="24"/>
                <w:highlight w:val="none"/>
              </w:rPr>
              <w:t>电</w:t>
            </w:r>
            <w:r>
              <w:rPr>
                <w:color w:val="000000" w:themeColor="text1"/>
                <w:sz w:val="24"/>
                <w:highlight w:val="none"/>
              </w:rPr>
              <w:t>资源消耗量对区域资源利用总量影响小。</w:t>
            </w:r>
            <w:r>
              <w:rPr>
                <w:rFonts w:hint="eastAsia"/>
                <w:color w:val="000000" w:themeColor="text1"/>
                <w:sz w:val="24"/>
                <w:highlight w:val="none"/>
              </w:rPr>
              <w:t>项目资源利用不会突破地区资源利用上线。</w:t>
            </w:r>
          </w:p>
          <w:p w14:paraId="69E7FD5F">
            <w:pPr>
              <w:autoSpaceDE w:val="0"/>
              <w:autoSpaceDN w:val="0"/>
              <w:adjustRightInd w:val="0"/>
              <w:snapToGrid w:val="0"/>
              <w:spacing w:line="360" w:lineRule="auto"/>
              <w:ind w:firstLine="480" w:firstLineChars="200"/>
              <w:jc w:val="left"/>
              <w:rPr>
                <w:color w:val="000000" w:themeColor="text1"/>
                <w:kern w:val="0"/>
                <w:sz w:val="24"/>
                <w:highlight w:val="none"/>
              </w:rPr>
            </w:pPr>
            <w:r>
              <w:rPr>
                <w:rFonts w:hint="eastAsia"/>
                <w:color w:val="000000" w:themeColor="text1"/>
                <w:kern w:val="0"/>
                <w:sz w:val="24"/>
                <w:highlight w:val="none"/>
              </w:rPr>
              <w:t>④</w:t>
            </w:r>
            <w:r>
              <w:rPr>
                <w:color w:val="000000" w:themeColor="text1"/>
                <w:kern w:val="0"/>
                <w:sz w:val="24"/>
                <w:highlight w:val="none"/>
              </w:rPr>
              <w:t>生态环境准入清单</w:t>
            </w:r>
          </w:p>
          <w:p w14:paraId="744CFA7C">
            <w:pPr>
              <w:pStyle w:val="32"/>
              <w:adjustRightInd/>
              <w:spacing w:line="360" w:lineRule="auto"/>
              <w:ind w:firstLine="480" w:firstLineChars="200"/>
              <w:rPr>
                <w:color w:val="000000" w:themeColor="text1"/>
                <w:highlight w:val="none"/>
              </w:rPr>
            </w:pPr>
            <w:r>
              <w:rPr>
                <w:rFonts w:ascii="Times New Roman" w:cs="Times New Roman"/>
                <w:color w:val="000000" w:themeColor="text1"/>
                <w:highlight w:val="none"/>
              </w:rPr>
              <w:t>根据鄂尔多斯市生态环境局发布《鄂尔多斯市生态环境分区管控动态更新成果（2023年版）》的通知（2024年8月6日）及《鄂尔多斯市生态环境分区管控动态更新成果（2023年版）》文本，本项目所在区域为重点管控单元，管控单元</w:t>
            </w:r>
            <w:r>
              <w:rPr>
                <w:rFonts w:hint="eastAsia" w:ascii="Times New Roman" w:cs="Times New Roman"/>
                <w:color w:val="000000" w:themeColor="text1"/>
                <w:highlight w:val="none"/>
              </w:rPr>
              <w:t>为伊金霍洛旗煤矿重点管控单元1，管控单元编码：ZH15062720009</w:t>
            </w:r>
            <w:r>
              <w:rPr>
                <w:rFonts w:ascii="Times New Roman" w:cs="Times New Roman"/>
                <w:color w:val="000000" w:themeColor="text1"/>
                <w:highlight w:val="none"/>
              </w:rPr>
              <w:t>。</w:t>
            </w:r>
            <w:r>
              <w:rPr>
                <w:rFonts w:hint="eastAsia" w:ascii="Times New Roman" w:cs="Times New Roman"/>
                <w:color w:val="000000" w:themeColor="text1"/>
                <w:highlight w:val="none"/>
              </w:rPr>
              <w:t>本项目与该管控单元的管控要求符合性分析见表1-1。</w:t>
            </w:r>
          </w:p>
          <w:p w14:paraId="3965BA65">
            <w:pPr>
              <w:adjustRightInd w:val="0"/>
              <w:snapToGrid w:val="0"/>
              <w:jc w:val="center"/>
              <w:rPr>
                <w:color w:val="000000" w:themeColor="text1"/>
                <w:szCs w:val="21"/>
                <w:highlight w:val="none"/>
              </w:rPr>
            </w:pPr>
            <w:r>
              <w:rPr>
                <w:rFonts w:hint="eastAsia"/>
                <w:color w:val="000000" w:themeColor="text1"/>
                <w:sz w:val="24"/>
                <w:highlight w:val="none"/>
              </w:rPr>
              <w:t>表1-1本项目与管控单元的管控要求符合性分析一览表</w:t>
            </w:r>
          </w:p>
          <w:tbl>
            <w:tblPr>
              <w:tblStyle w:val="26"/>
              <w:tblW w:w="49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382"/>
              <w:gridCol w:w="3110"/>
              <w:gridCol w:w="2797"/>
              <w:gridCol w:w="390"/>
            </w:tblGrid>
            <w:tr w14:paraId="6384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4" w:hRule="atLeast"/>
                <w:jc w:val="center"/>
              </w:trPr>
              <w:tc>
                <w:tcPr>
                  <w:tcW w:w="2613" w:type="pct"/>
                  <w:gridSpan w:val="2"/>
                  <w:tcMar>
                    <w:top w:w="0" w:type="dxa"/>
                    <w:left w:w="108" w:type="dxa"/>
                    <w:bottom w:w="0" w:type="dxa"/>
                    <w:right w:w="108" w:type="dxa"/>
                  </w:tcMar>
                  <w:vAlign w:val="center"/>
                </w:tcPr>
                <w:p w14:paraId="757E4621">
                  <w:pPr>
                    <w:pStyle w:val="16"/>
                    <w:jc w:val="center"/>
                    <w:rPr>
                      <w:rFonts w:ascii="Times New Roman" w:hAnsi="Times New Roman" w:cs="Times New Roman"/>
                      <w:bCs/>
                      <w:color w:val="000000" w:themeColor="text1"/>
                      <w:highlight w:val="none"/>
                    </w:rPr>
                  </w:pPr>
                  <w:r>
                    <w:rPr>
                      <w:rFonts w:ascii="Times New Roman" w:hAnsi="Times New Roman" w:cs="Times New Roman"/>
                      <w:bCs/>
                      <w:color w:val="000000" w:themeColor="text1"/>
                      <w:highlight w:val="none"/>
                    </w:rPr>
                    <w:t>管控要求</w:t>
                  </w:r>
                </w:p>
              </w:tc>
              <w:tc>
                <w:tcPr>
                  <w:tcW w:w="2093" w:type="pct"/>
                  <w:vAlign w:val="center"/>
                </w:tcPr>
                <w:p w14:paraId="586F216B">
                  <w:pPr>
                    <w:pStyle w:val="16"/>
                    <w:jc w:val="center"/>
                    <w:rPr>
                      <w:rFonts w:ascii="Times New Roman" w:hAnsi="Times New Roman" w:cs="Times New Roman"/>
                      <w:bCs/>
                      <w:color w:val="000000" w:themeColor="text1"/>
                      <w:highlight w:val="none"/>
                    </w:rPr>
                  </w:pPr>
                  <w:r>
                    <w:rPr>
                      <w:rFonts w:ascii="Times New Roman" w:hAnsi="Times New Roman" w:cs="Times New Roman"/>
                      <w:bCs/>
                      <w:color w:val="000000" w:themeColor="text1"/>
                      <w:highlight w:val="none"/>
                    </w:rPr>
                    <w:t>本项目情况</w:t>
                  </w:r>
                </w:p>
              </w:tc>
              <w:tc>
                <w:tcPr>
                  <w:tcW w:w="292" w:type="pct"/>
                  <w:vAlign w:val="center"/>
                </w:tcPr>
                <w:p w14:paraId="3CD48E8E">
                  <w:pPr>
                    <w:pStyle w:val="16"/>
                    <w:jc w:val="center"/>
                    <w:rPr>
                      <w:rFonts w:ascii="Times New Roman" w:hAnsi="Times New Roman" w:cs="Times New Roman"/>
                      <w:bCs/>
                      <w:color w:val="000000" w:themeColor="text1"/>
                      <w:highlight w:val="none"/>
                    </w:rPr>
                  </w:pPr>
                  <w:r>
                    <w:rPr>
                      <w:rFonts w:ascii="Times New Roman" w:hAnsi="Times New Roman" w:cs="Times New Roman"/>
                      <w:bCs/>
                      <w:color w:val="000000" w:themeColor="text1"/>
                      <w:highlight w:val="none"/>
                    </w:rPr>
                    <w:t>符合性</w:t>
                  </w:r>
                </w:p>
              </w:tc>
            </w:tr>
            <w:tr w14:paraId="36397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71" w:hRule="atLeast"/>
                <w:jc w:val="center"/>
              </w:trPr>
              <w:tc>
                <w:tcPr>
                  <w:tcW w:w="286" w:type="pct"/>
                  <w:tcMar>
                    <w:top w:w="0" w:type="dxa"/>
                    <w:left w:w="108" w:type="dxa"/>
                    <w:bottom w:w="0" w:type="dxa"/>
                    <w:right w:w="108" w:type="dxa"/>
                  </w:tcMar>
                  <w:vAlign w:val="center"/>
                </w:tcPr>
                <w:p w14:paraId="130AD33A">
                  <w:pPr>
                    <w:pStyle w:val="16"/>
                    <w:rPr>
                      <w:rFonts w:ascii="Times New Roman" w:hAnsi="Times New Roman" w:cs="Times New Roman"/>
                      <w:bCs/>
                      <w:color w:val="000000" w:themeColor="text1"/>
                      <w:highlight w:val="none"/>
                    </w:rPr>
                  </w:pPr>
                  <w:r>
                    <w:rPr>
                      <w:rFonts w:ascii="Times New Roman" w:hAnsi="Times New Roman" w:cs="Times New Roman"/>
                      <w:bCs/>
                      <w:color w:val="000000" w:themeColor="text1"/>
                      <w:highlight w:val="none"/>
                    </w:rPr>
                    <w:t>空间布局约束</w:t>
                  </w:r>
                </w:p>
              </w:tc>
              <w:tc>
                <w:tcPr>
                  <w:tcW w:w="2326" w:type="pct"/>
                  <w:tcMar>
                    <w:top w:w="0" w:type="dxa"/>
                    <w:left w:w="108" w:type="dxa"/>
                    <w:bottom w:w="0" w:type="dxa"/>
                    <w:right w:w="108" w:type="dxa"/>
                  </w:tcMar>
                  <w:vAlign w:val="center"/>
                </w:tcPr>
                <w:p w14:paraId="4558F047">
                  <w:pPr>
                    <w:pStyle w:val="16"/>
                    <w:rPr>
                      <w:rFonts w:ascii="Times New Roman" w:hAnsi="Times New Roman" w:cs="Times New Roman"/>
                      <w:bCs/>
                      <w:color w:val="000000" w:themeColor="text1"/>
                      <w:highlight w:val="none"/>
                    </w:rPr>
                  </w:pPr>
                  <w:r>
                    <w:rPr>
                      <w:rFonts w:hint="eastAsia" w:ascii="Times New Roman" w:hAnsi="Times New Roman" w:cs="Times New Roman"/>
                      <w:bCs/>
                      <w:color w:val="000000" w:themeColor="text1"/>
                      <w:highlight w:val="none"/>
                    </w:rPr>
                    <w:t>1.</w:t>
                  </w:r>
                  <w:r>
                    <w:rPr>
                      <w:rFonts w:ascii="Times New Roman" w:hAnsi="Times New Roman" w:cs="Times New Roman"/>
                      <w:bCs/>
                      <w:color w:val="000000" w:themeColor="text1"/>
                      <w:highlight w:val="none"/>
                    </w:rPr>
                    <w:t>非经国务院授权的有关主管部门同意，不得在《中华人民共和国矿产资源法(修正)》中所列的6种地区开采矿产资源。</w:t>
                  </w:r>
                </w:p>
                <w:p w14:paraId="414A5C56">
                  <w:pPr>
                    <w:pStyle w:val="16"/>
                    <w:rPr>
                      <w:rFonts w:ascii="Times New Roman" w:hAnsi="Times New Roman" w:cs="Times New Roman"/>
                      <w:bCs/>
                      <w:color w:val="000000" w:themeColor="text1"/>
                      <w:highlight w:val="none"/>
                    </w:rPr>
                  </w:pPr>
                  <w:r>
                    <w:rPr>
                      <w:rFonts w:ascii="Times New Roman" w:hAnsi="Times New Roman" w:cs="Times New Roman"/>
                      <w:bCs/>
                      <w:color w:val="000000" w:themeColor="text1"/>
                      <w:highlight w:val="none"/>
                    </w:rPr>
                    <w:t>2.禁止新建、扩建《产业结构调整指导目录(2019年本)》明确的淘汰类项目</w:t>
                  </w:r>
                  <w:r>
                    <w:rPr>
                      <w:rFonts w:hint="eastAsia" w:ascii="Times New Roman" w:hAnsi="Times New Roman" w:cs="Times New Roman"/>
                      <w:bCs/>
                      <w:color w:val="000000" w:themeColor="text1"/>
                      <w:highlight w:val="none"/>
                    </w:rPr>
                    <w:t>；</w:t>
                  </w:r>
                  <w:r>
                    <w:rPr>
                      <w:rFonts w:ascii="Times New Roman" w:hAnsi="Times New Roman" w:cs="Times New Roman"/>
                      <w:bCs/>
                      <w:color w:val="000000" w:themeColor="text1"/>
                      <w:highlight w:val="none"/>
                    </w:rPr>
                    <w:t>严格执行《自治区国家重点生态功能区产业准入负面清单(试行)》(内政发</w:t>
                  </w:r>
                  <w:r>
                    <w:rPr>
                      <w:rFonts w:hint="eastAsia" w:ascii="Times New Roman" w:hAnsi="Times New Roman" w:cs="Times New Roman"/>
                      <w:bCs/>
                      <w:color w:val="000000" w:themeColor="text1"/>
                      <w:highlight w:val="none"/>
                      <w:lang w:eastAsia="zh-CN"/>
                    </w:rPr>
                    <w:t>〔2018〕11号</w:t>
                  </w:r>
                  <w:r>
                    <w:rPr>
                      <w:rFonts w:ascii="Times New Roman" w:hAnsi="Times New Roman" w:cs="Times New Roman"/>
                      <w:bCs/>
                      <w:color w:val="000000" w:themeColor="text1"/>
                      <w:highlight w:val="none"/>
                    </w:rPr>
                    <w:t>)中采矿业管控要求</w:t>
                  </w:r>
                  <w:r>
                    <w:rPr>
                      <w:rFonts w:hint="eastAsia" w:ascii="Times New Roman" w:hAnsi="Times New Roman" w:cs="Times New Roman"/>
                      <w:bCs/>
                      <w:color w:val="000000" w:themeColor="text1"/>
                      <w:highlight w:val="none"/>
                    </w:rPr>
                    <w:t>。</w:t>
                  </w:r>
                </w:p>
                <w:p w14:paraId="6FF2460C">
                  <w:pPr>
                    <w:pStyle w:val="16"/>
                    <w:rPr>
                      <w:rFonts w:ascii="Times New Roman" w:hAnsi="Times New Roman" w:cs="Times New Roman"/>
                      <w:bCs/>
                      <w:color w:val="000000" w:themeColor="text1"/>
                      <w:highlight w:val="none"/>
                    </w:rPr>
                  </w:pPr>
                  <w:r>
                    <w:rPr>
                      <w:rFonts w:ascii="Times New Roman" w:hAnsi="Times New Roman" w:cs="Times New Roman"/>
                      <w:bCs/>
                      <w:color w:val="000000" w:themeColor="text1"/>
                      <w:highlight w:val="none"/>
                    </w:rPr>
                    <w:t>3.严格控制草原上新建矿产资源开发项目。新上矿产资源开发项目在开展前期工作时，应征求林业和草原行政主管部门意见，严格执行国家林草局草原征占用审核审批管理制度，把先预审、再立项、后建设的源头把控原则落到实处。</w:t>
                  </w:r>
                </w:p>
                <w:p w14:paraId="7F0451E6">
                  <w:pPr>
                    <w:pStyle w:val="16"/>
                    <w:rPr>
                      <w:rFonts w:ascii="Times New Roman" w:hAnsi="Times New Roman" w:cs="Times New Roman"/>
                      <w:bCs/>
                      <w:color w:val="000000" w:themeColor="text1"/>
                      <w:highlight w:val="none"/>
                    </w:rPr>
                  </w:pPr>
                  <w:r>
                    <w:rPr>
                      <w:rFonts w:ascii="Times New Roman" w:hAnsi="Times New Roman" w:cs="Times New Roman"/>
                      <w:bCs/>
                      <w:color w:val="000000" w:themeColor="text1"/>
                      <w:highlight w:val="none"/>
                    </w:rPr>
                    <w:t>4.严格规范草原上已建矿产资源开发项目。对依法批准的草原上已建和在建矿产资源开发项目，不得在依法确定的矿区范围外平面增扩面积，不得未经批准由井工开采变为露天开采，严格控制排渣场、排土场、煤矸石堆场、场区道路占用草原面积。</w:t>
                  </w:r>
                </w:p>
                <w:p w14:paraId="53E2E56B">
                  <w:pPr>
                    <w:pStyle w:val="16"/>
                    <w:rPr>
                      <w:rFonts w:ascii="Times New Roman" w:hAnsi="Times New Roman" w:cs="Times New Roman"/>
                      <w:bCs/>
                      <w:color w:val="000000" w:themeColor="text1"/>
                      <w:highlight w:val="none"/>
                    </w:rPr>
                  </w:pPr>
                  <w:r>
                    <w:rPr>
                      <w:rFonts w:ascii="Times New Roman" w:hAnsi="Times New Roman" w:cs="Times New Roman"/>
                      <w:bCs/>
                      <w:color w:val="000000" w:themeColor="text1"/>
                      <w:highlight w:val="none"/>
                    </w:rPr>
                    <w:t>5.执行《内蒙古自治区矿产资源总体规划(2016~2020)》中最低开采规模相关要求。</w:t>
                  </w:r>
                </w:p>
              </w:tc>
              <w:tc>
                <w:tcPr>
                  <w:tcW w:w="2093" w:type="pct"/>
                  <w:vAlign w:val="center"/>
                </w:tcPr>
                <w:p w14:paraId="37B33D4E">
                  <w:pPr>
                    <w:pStyle w:val="16"/>
                    <w:rPr>
                      <w:rFonts w:ascii="Times New Roman" w:hAnsi="Times New Roman" w:cs="Times New Roman"/>
                      <w:bCs/>
                      <w:color w:val="000000" w:themeColor="text1"/>
                      <w:highlight w:val="none"/>
                    </w:rPr>
                  </w:pPr>
                  <w:r>
                    <w:rPr>
                      <w:rFonts w:hint="eastAsia" w:ascii="Times New Roman" w:hAnsi="Times New Roman" w:cs="Times New Roman"/>
                      <w:bCs/>
                      <w:color w:val="000000" w:themeColor="text1"/>
                      <w:highlight w:val="none"/>
                    </w:rPr>
                    <w:t>1.</w:t>
                  </w:r>
                  <w:r>
                    <w:rPr>
                      <w:rFonts w:ascii="Times New Roman" w:hAnsi="Times New Roman" w:cs="Times New Roman"/>
                      <w:bCs/>
                      <w:color w:val="000000" w:themeColor="text1"/>
                      <w:highlight w:val="none"/>
                    </w:rPr>
                    <w:t>本项目为</w:t>
                  </w:r>
                  <w:r>
                    <w:rPr>
                      <w:rFonts w:hint="eastAsia" w:ascii="Times New Roman" w:hAnsi="Times New Roman" w:cs="Times New Roman"/>
                      <w:bCs/>
                      <w:color w:val="000000" w:themeColor="text1"/>
                      <w:highlight w:val="none"/>
                    </w:rPr>
                    <w:t>富民煤矿</w:t>
                  </w:r>
                  <w:r>
                    <w:rPr>
                      <w:rFonts w:ascii="Times New Roman" w:hAnsi="Times New Roman" w:cs="Times New Roman"/>
                      <w:bCs/>
                      <w:color w:val="000000" w:themeColor="text1"/>
                      <w:highlight w:val="none"/>
                    </w:rPr>
                    <w:t>附属工程，主要是建设风井场</w:t>
                  </w:r>
                  <w:r>
                    <w:rPr>
                      <w:rFonts w:hint="eastAsia" w:ascii="Times New Roman" w:hAnsi="Times New Roman" w:cs="Times New Roman"/>
                      <w:bCs/>
                      <w:color w:val="000000" w:themeColor="text1"/>
                      <w:highlight w:val="none"/>
                      <w:lang w:eastAsia="zh-CN"/>
                    </w:rPr>
                    <w:t>地及</w:t>
                  </w:r>
                  <w:r>
                    <w:rPr>
                      <w:rFonts w:ascii="Times New Roman" w:hAnsi="Times New Roman" w:cs="Times New Roman"/>
                      <w:bCs/>
                      <w:color w:val="000000" w:themeColor="text1"/>
                      <w:highlight w:val="none"/>
                    </w:rPr>
                    <w:t>其配套工程，不属于矿产资源开采项目。</w:t>
                  </w:r>
                </w:p>
                <w:p w14:paraId="19EC04A1">
                  <w:pPr>
                    <w:pStyle w:val="16"/>
                    <w:wordWrap w:val="0"/>
                    <w:rPr>
                      <w:rFonts w:ascii="Times New Roman" w:hAnsi="Times New Roman" w:cs="Times New Roman"/>
                      <w:bCs/>
                      <w:color w:val="000000" w:themeColor="text1"/>
                      <w:highlight w:val="none"/>
                    </w:rPr>
                  </w:pPr>
                  <w:r>
                    <w:rPr>
                      <w:rFonts w:ascii="Times New Roman" w:hAnsi="Times New Roman" w:cs="Times New Roman"/>
                      <w:color w:val="000000" w:themeColor="text1"/>
                      <w:highlight w:val="none"/>
                    </w:rPr>
                    <w:t>2.本项目不属于《产业结构调整指导目录（2024年本）》</w:t>
                  </w:r>
                  <w:r>
                    <w:rPr>
                      <w:rFonts w:ascii="Times New Roman" w:hAnsi="Times New Roman" w:cs="Times New Roman"/>
                      <w:color w:val="000000" w:themeColor="text1"/>
                      <w:highlight w:val="yellow"/>
                    </w:rPr>
                    <w:t>淘汰类项目。本项目已备案，项目编号为2410-150622-60-02-521133，</w:t>
                  </w:r>
                  <w:r>
                    <w:rPr>
                      <w:rFonts w:ascii="Times New Roman" w:hAnsi="Times New Roman" w:cs="Times New Roman"/>
                      <w:color w:val="000000" w:themeColor="text1"/>
                      <w:highlight w:val="none"/>
                    </w:rPr>
                    <w:t>符合</w:t>
                  </w:r>
                  <w:r>
                    <w:rPr>
                      <w:rFonts w:hint="eastAsia" w:ascii="Times New Roman" w:hAnsi="Times New Roman" w:cs="Times New Roman"/>
                      <w:color w:val="000000" w:themeColor="text1"/>
                      <w:highlight w:val="none"/>
                    </w:rPr>
                    <w:t>国家产业政策要求。符合</w:t>
                  </w:r>
                  <w:r>
                    <w:rPr>
                      <w:rFonts w:ascii="Times New Roman" w:hAnsi="Times New Roman" w:cs="Times New Roman"/>
                      <w:color w:val="000000" w:themeColor="text1"/>
                      <w:highlight w:val="none"/>
                    </w:rPr>
                    <w:t>《自治区国家重点生态功能区产业准入负面清单</w:t>
                  </w:r>
                  <w:r>
                    <w:rPr>
                      <w:rFonts w:hint="eastAsia" w:ascii="Times New Roman" w:hAnsi="Times New Roman" w:cs="Times New Roman"/>
                      <w:color w:val="000000" w:themeColor="text1"/>
                      <w:highlight w:val="none"/>
                    </w:rPr>
                    <w:t>（</w:t>
                  </w:r>
                  <w:r>
                    <w:rPr>
                      <w:rFonts w:ascii="Times New Roman" w:hAnsi="Times New Roman" w:cs="Times New Roman"/>
                      <w:color w:val="000000" w:themeColor="text1"/>
                      <w:highlight w:val="none"/>
                    </w:rPr>
                    <w:t>试行）》</w:t>
                  </w:r>
                  <w:r>
                    <w:rPr>
                      <w:rFonts w:hint="eastAsia" w:ascii="Times New Roman" w:hAnsi="Times New Roman" w:cs="Times New Roman"/>
                      <w:color w:val="000000" w:themeColor="text1"/>
                      <w:highlight w:val="none"/>
                    </w:rPr>
                    <w:t>（</w:t>
                  </w:r>
                  <w:r>
                    <w:rPr>
                      <w:rFonts w:ascii="Times New Roman" w:hAnsi="Times New Roman" w:cs="Times New Roman"/>
                      <w:color w:val="000000" w:themeColor="text1"/>
                      <w:highlight w:val="none"/>
                    </w:rPr>
                    <w:t>内政发〔2018〕11号）中采矿业管控要求。</w:t>
                  </w:r>
                </w:p>
                <w:p w14:paraId="0CBAFF79">
                  <w:pPr>
                    <w:pStyle w:val="16"/>
                    <w:rPr>
                      <w:rFonts w:ascii="Times New Roman" w:hAnsi="Times New Roman" w:cs="Times New Roman"/>
                      <w:bCs/>
                      <w:color w:val="000000" w:themeColor="text1"/>
                      <w:highlight w:val="none"/>
                    </w:rPr>
                  </w:pPr>
                  <w:r>
                    <w:rPr>
                      <w:rFonts w:hint="eastAsia" w:ascii="Times New Roman" w:hAnsi="Times New Roman" w:cs="Times New Roman"/>
                      <w:bCs/>
                      <w:color w:val="000000" w:themeColor="text1"/>
                      <w:highlight w:val="none"/>
                    </w:rPr>
                    <w:t>3.</w:t>
                  </w:r>
                  <w:r>
                    <w:rPr>
                      <w:rFonts w:ascii="Times New Roman" w:hAnsi="Times New Roman" w:cs="Times New Roman"/>
                      <w:bCs/>
                      <w:color w:val="000000" w:themeColor="text1"/>
                      <w:highlight w:val="none"/>
                    </w:rPr>
                    <w:t>本项目主要建设风井场</w:t>
                  </w:r>
                  <w:r>
                    <w:rPr>
                      <w:rFonts w:hint="eastAsia" w:ascii="Times New Roman" w:hAnsi="Times New Roman" w:cs="Times New Roman"/>
                      <w:bCs/>
                      <w:color w:val="000000" w:themeColor="text1"/>
                      <w:highlight w:val="none"/>
                      <w:lang w:eastAsia="zh-CN"/>
                    </w:rPr>
                    <w:t>地及</w:t>
                  </w:r>
                  <w:r>
                    <w:rPr>
                      <w:rFonts w:ascii="Times New Roman" w:hAnsi="Times New Roman" w:cs="Times New Roman"/>
                      <w:bCs/>
                      <w:color w:val="000000" w:themeColor="text1"/>
                      <w:highlight w:val="none"/>
                    </w:rPr>
                    <w:t>其配套工程，</w:t>
                  </w:r>
                  <w:r>
                    <w:rPr>
                      <w:rFonts w:ascii="Times New Roman" w:hAnsi="Times New Roman" w:cs="Times New Roman"/>
                      <w:color w:val="000000" w:themeColor="text1"/>
                      <w:highlight w:val="none"/>
                    </w:rPr>
                    <w:t>不属于</w:t>
                  </w:r>
                  <w:r>
                    <w:rPr>
                      <w:rFonts w:ascii="Times New Roman" w:hAnsi="Times New Roman" w:cs="Times New Roman"/>
                      <w:bCs/>
                      <w:color w:val="000000" w:themeColor="text1"/>
                      <w:highlight w:val="none"/>
                    </w:rPr>
                    <w:t>矿产资源开发项目。</w:t>
                  </w:r>
                </w:p>
                <w:p w14:paraId="28F10D68">
                  <w:pPr>
                    <w:pStyle w:val="16"/>
                    <w:rPr>
                      <w:rFonts w:ascii="Times New Roman" w:hAnsi="Times New Roman" w:cs="Times New Roman"/>
                      <w:bCs/>
                      <w:color w:val="000000" w:themeColor="text1"/>
                      <w:highlight w:val="none"/>
                    </w:rPr>
                  </w:pPr>
                  <w:r>
                    <w:rPr>
                      <w:rFonts w:hint="eastAsia" w:ascii="Times New Roman" w:hAnsi="Times New Roman" w:cs="Times New Roman"/>
                      <w:bCs/>
                      <w:color w:val="000000" w:themeColor="text1"/>
                      <w:highlight w:val="none"/>
                    </w:rPr>
                    <w:t>4.本项目位于富民</w:t>
                  </w:r>
                  <w:r>
                    <w:rPr>
                      <w:rFonts w:ascii="Times New Roman" w:hAnsi="Times New Roman" w:cs="Times New Roman"/>
                      <w:bCs/>
                      <w:color w:val="000000" w:themeColor="text1"/>
                      <w:highlight w:val="none"/>
                    </w:rPr>
                    <w:t>煤矿</w:t>
                  </w:r>
                  <w:r>
                    <w:rPr>
                      <w:rFonts w:hint="eastAsia" w:ascii="Times New Roman" w:hAnsi="Times New Roman" w:cs="Times New Roman"/>
                      <w:bCs/>
                      <w:color w:val="000000" w:themeColor="text1"/>
                      <w:highlight w:val="none"/>
                    </w:rPr>
                    <w:t>矿区范围内，本项目道路依托现有，不新增</w:t>
                  </w:r>
                  <w:r>
                    <w:rPr>
                      <w:rFonts w:hint="eastAsia" w:ascii="Times New Roman" w:hAnsi="Times New Roman" w:cs="Times New Roman"/>
                      <w:color w:val="000000" w:themeColor="text1"/>
                      <w:highlight w:val="none"/>
                    </w:rPr>
                    <w:t>。</w:t>
                  </w:r>
                </w:p>
                <w:p w14:paraId="543D90AB">
                  <w:pPr>
                    <w:pStyle w:val="16"/>
                    <w:rPr>
                      <w:rFonts w:ascii="Times New Roman" w:hAnsi="Times New Roman" w:cs="Times New Roman"/>
                      <w:bCs/>
                      <w:color w:val="000000" w:themeColor="text1"/>
                      <w:highlight w:val="none"/>
                    </w:rPr>
                  </w:pPr>
                  <w:r>
                    <w:rPr>
                      <w:rFonts w:hint="eastAsia" w:ascii="Times New Roman" w:hAnsi="Times New Roman" w:cs="Times New Roman"/>
                      <w:bCs/>
                      <w:color w:val="000000" w:themeColor="text1"/>
                      <w:highlight w:val="none"/>
                    </w:rPr>
                    <w:t>5.</w:t>
                  </w:r>
                  <w:r>
                    <w:rPr>
                      <w:rFonts w:ascii="Times New Roman" w:hAnsi="Times New Roman" w:cs="Times New Roman"/>
                      <w:bCs/>
                      <w:color w:val="000000" w:themeColor="text1"/>
                      <w:highlight w:val="none"/>
                    </w:rPr>
                    <w:t>本项目为</w:t>
                  </w:r>
                  <w:r>
                    <w:rPr>
                      <w:rFonts w:hint="eastAsia" w:ascii="Times New Roman" w:hAnsi="Times New Roman" w:cs="Times New Roman"/>
                      <w:bCs/>
                      <w:color w:val="000000" w:themeColor="text1"/>
                      <w:highlight w:val="none"/>
                    </w:rPr>
                    <w:t>富民</w:t>
                  </w:r>
                  <w:r>
                    <w:rPr>
                      <w:rFonts w:ascii="Times New Roman" w:hAnsi="Times New Roman" w:cs="Times New Roman"/>
                      <w:bCs/>
                      <w:color w:val="000000" w:themeColor="text1"/>
                      <w:highlight w:val="none"/>
                    </w:rPr>
                    <w:t>煤矿附属工程，</w:t>
                  </w:r>
                  <w:r>
                    <w:rPr>
                      <w:rFonts w:hint="eastAsia" w:ascii="Times New Roman" w:hAnsi="Times New Roman" w:cs="Times New Roman"/>
                      <w:bCs/>
                      <w:color w:val="000000" w:themeColor="text1"/>
                      <w:highlight w:val="none"/>
                    </w:rPr>
                    <w:t>不涉及矿产资源开采。</w:t>
                  </w:r>
                </w:p>
              </w:tc>
              <w:tc>
                <w:tcPr>
                  <w:tcW w:w="292" w:type="pct"/>
                  <w:vAlign w:val="center"/>
                </w:tcPr>
                <w:p w14:paraId="78215E20">
                  <w:pPr>
                    <w:pStyle w:val="16"/>
                    <w:jc w:val="center"/>
                    <w:rPr>
                      <w:rFonts w:ascii="Times New Roman" w:hAnsi="Times New Roman" w:cs="Times New Roman"/>
                      <w:bCs/>
                      <w:color w:val="000000" w:themeColor="text1"/>
                      <w:highlight w:val="none"/>
                    </w:rPr>
                  </w:pPr>
                  <w:r>
                    <w:rPr>
                      <w:rFonts w:ascii="Times New Roman" w:hAnsi="Times New Roman" w:cs="Times New Roman"/>
                      <w:bCs/>
                      <w:color w:val="000000" w:themeColor="text1"/>
                      <w:highlight w:val="none"/>
                    </w:rPr>
                    <w:t>符合</w:t>
                  </w:r>
                </w:p>
              </w:tc>
            </w:tr>
            <w:tr w14:paraId="07A82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32" w:hRule="atLeast"/>
                <w:jc w:val="center"/>
              </w:trPr>
              <w:tc>
                <w:tcPr>
                  <w:tcW w:w="286" w:type="pct"/>
                  <w:tcMar>
                    <w:top w:w="0" w:type="dxa"/>
                    <w:left w:w="108" w:type="dxa"/>
                    <w:bottom w:w="0" w:type="dxa"/>
                    <w:right w:w="108" w:type="dxa"/>
                  </w:tcMar>
                  <w:vAlign w:val="center"/>
                </w:tcPr>
                <w:p w14:paraId="67E9FFE3">
                  <w:pPr>
                    <w:pStyle w:val="16"/>
                    <w:rPr>
                      <w:rFonts w:ascii="Times New Roman" w:hAnsi="Times New Roman" w:cs="Times New Roman"/>
                      <w:bCs/>
                      <w:color w:val="000000" w:themeColor="text1"/>
                      <w:highlight w:val="none"/>
                    </w:rPr>
                  </w:pPr>
                  <w:r>
                    <w:rPr>
                      <w:rFonts w:ascii="Times New Roman" w:hAnsi="Times New Roman" w:cs="Times New Roman"/>
                      <w:bCs/>
                      <w:color w:val="000000" w:themeColor="text1"/>
                      <w:highlight w:val="none"/>
                    </w:rPr>
                    <w:t>污染物排放管控</w:t>
                  </w:r>
                </w:p>
              </w:tc>
              <w:tc>
                <w:tcPr>
                  <w:tcW w:w="2326" w:type="pct"/>
                  <w:tcMar>
                    <w:top w:w="0" w:type="dxa"/>
                    <w:left w:w="108" w:type="dxa"/>
                    <w:bottom w:w="0" w:type="dxa"/>
                    <w:right w:w="108" w:type="dxa"/>
                  </w:tcMar>
                  <w:vAlign w:val="center"/>
                </w:tcPr>
                <w:p w14:paraId="3D2F40A6">
                  <w:pPr>
                    <w:pStyle w:val="16"/>
                    <w:rPr>
                      <w:rFonts w:ascii="Times New Roman" w:hAnsi="Times New Roman" w:cs="Times New Roman"/>
                      <w:bCs/>
                      <w:color w:val="000000" w:themeColor="text1"/>
                      <w:highlight w:val="none"/>
                    </w:rPr>
                  </w:pPr>
                  <w:r>
                    <w:rPr>
                      <w:rFonts w:hint="eastAsia" w:ascii="Times New Roman" w:hAnsi="Times New Roman" w:cs="Times New Roman"/>
                      <w:bCs/>
                      <w:color w:val="000000" w:themeColor="text1"/>
                      <w:highlight w:val="none"/>
                    </w:rPr>
                    <w:t>1.矿产资源勘查以及采选过程中排土场、露天采场、尾矿库、矿区专用道路、矿山工业场地、沉陷区、矸石场、矿山污染场地等的生态环境保护与治理恢复工作须满足《矿山生态环境保护与治理恢复技术规范(试行)》(HJ651-2013)要求。落实边开采、边保护、边复垦的要求，使新建、在建矿山损毁土地得到全面复垦。</w:t>
                  </w:r>
                </w:p>
                <w:p w14:paraId="46D82559">
                  <w:pPr>
                    <w:pStyle w:val="16"/>
                    <w:rPr>
                      <w:rFonts w:ascii="Times New Roman" w:hAnsi="Times New Roman" w:cs="Times New Roman"/>
                      <w:bCs/>
                      <w:color w:val="000000" w:themeColor="text1"/>
                      <w:highlight w:val="none"/>
                    </w:rPr>
                  </w:pPr>
                  <w:r>
                    <w:rPr>
                      <w:rFonts w:hint="eastAsia" w:ascii="Times New Roman" w:hAnsi="Times New Roman" w:cs="Times New Roman"/>
                      <w:bCs/>
                      <w:color w:val="000000" w:themeColor="text1"/>
                      <w:highlight w:val="none"/>
                    </w:rPr>
                    <w:t>2.生产矿山年度占用土地面积与年度治理面积基本达到平衡，“三废”排放符合环保指标要求。</w:t>
                  </w:r>
                </w:p>
                <w:p w14:paraId="18B09165">
                  <w:pPr>
                    <w:pStyle w:val="16"/>
                    <w:rPr>
                      <w:rFonts w:ascii="Times New Roman" w:hAnsi="Times New Roman" w:cs="Times New Roman"/>
                      <w:bCs/>
                      <w:color w:val="000000" w:themeColor="text1"/>
                      <w:highlight w:val="none"/>
                    </w:rPr>
                  </w:pPr>
                  <w:r>
                    <w:rPr>
                      <w:rFonts w:hint="eastAsia" w:ascii="Times New Roman" w:hAnsi="Times New Roman" w:cs="Times New Roman"/>
                      <w:bCs/>
                      <w:color w:val="000000" w:themeColor="text1"/>
                      <w:highlight w:val="none"/>
                    </w:rPr>
                    <w:t>3.煤矿地面运煤系统、运输设备、煤炭贮存场所应当全封闭。鼓励有条件的露天矿山采用密闭式皮带运输系统，煤炭企业应当负责矿权范围内和排矸场等着火点灭火工作；提高煤矸石、矿井水的综合利用。</w:t>
                  </w:r>
                </w:p>
                <w:p w14:paraId="4EA7EF5E">
                  <w:pPr>
                    <w:pStyle w:val="16"/>
                    <w:rPr>
                      <w:rFonts w:ascii="Times New Roman" w:hAnsi="Times New Roman" w:cs="Times New Roman"/>
                      <w:bCs/>
                      <w:color w:val="000000" w:themeColor="text1"/>
                      <w:highlight w:val="none"/>
                    </w:rPr>
                  </w:pPr>
                  <w:r>
                    <w:rPr>
                      <w:rFonts w:hint="eastAsia" w:ascii="Times New Roman" w:hAnsi="Times New Roman" w:cs="Times New Roman"/>
                      <w:bCs/>
                      <w:color w:val="000000" w:themeColor="text1"/>
                      <w:highlight w:val="none"/>
                    </w:rPr>
                    <w:t>4.对新建硫份大于1.5%的煤矿，应配套建设煤炭洗选设施；对现有硫份大于2%的煤矿，应补建配套煤炭洗选设施。</w:t>
                  </w:r>
                </w:p>
              </w:tc>
              <w:tc>
                <w:tcPr>
                  <w:tcW w:w="2093" w:type="pct"/>
                  <w:vAlign w:val="center"/>
                </w:tcPr>
                <w:p w14:paraId="569A7652">
                  <w:pPr>
                    <w:pStyle w:val="16"/>
                    <w:rPr>
                      <w:rFonts w:ascii="Times New Roman" w:hAnsi="Times New Roman" w:cs="Times New Roman"/>
                      <w:bCs/>
                      <w:color w:val="000000" w:themeColor="text1"/>
                      <w:highlight w:val="none"/>
                    </w:rPr>
                  </w:pPr>
                  <w:r>
                    <w:rPr>
                      <w:rFonts w:hint="eastAsia" w:ascii="Times New Roman" w:hAnsi="Times New Roman" w:cs="Times New Roman"/>
                      <w:bCs/>
                      <w:color w:val="000000" w:themeColor="text1"/>
                      <w:highlight w:val="none"/>
                    </w:rPr>
                    <w:t>1.</w:t>
                  </w:r>
                  <w:r>
                    <w:rPr>
                      <w:rFonts w:ascii="Times New Roman" w:hAnsi="Times New Roman" w:cs="Times New Roman"/>
                      <w:bCs/>
                      <w:color w:val="000000" w:themeColor="text1"/>
                      <w:highlight w:val="none"/>
                    </w:rPr>
                    <w:t>项目为</w:t>
                  </w:r>
                  <w:r>
                    <w:rPr>
                      <w:rFonts w:hint="eastAsia" w:ascii="Times New Roman" w:hAnsi="Times New Roman" w:cs="Times New Roman"/>
                      <w:bCs/>
                      <w:color w:val="000000" w:themeColor="text1"/>
                      <w:highlight w:val="none"/>
                    </w:rPr>
                    <w:t>富民煤矿</w:t>
                  </w:r>
                  <w:r>
                    <w:rPr>
                      <w:rFonts w:ascii="Times New Roman" w:hAnsi="Times New Roman" w:cs="Times New Roman"/>
                      <w:bCs/>
                      <w:color w:val="000000" w:themeColor="text1"/>
                      <w:highlight w:val="none"/>
                    </w:rPr>
                    <w:t>附属工程，主要是建设风井场地</w:t>
                  </w:r>
                  <w:r>
                    <w:rPr>
                      <w:rFonts w:hint="eastAsia" w:ascii="Times New Roman" w:hAnsi="Times New Roman" w:cs="Times New Roman"/>
                      <w:bCs/>
                      <w:color w:val="000000" w:themeColor="text1"/>
                      <w:highlight w:val="none"/>
                      <w:lang w:eastAsia="zh-CN"/>
                    </w:rPr>
                    <w:t>及其</w:t>
                  </w:r>
                  <w:r>
                    <w:rPr>
                      <w:rFonts w:ascii="Times New Roman" w:hAnsi="Times New Roman" w:cs="Times New Roman"/>
                      <w:bCs/>
                      <w:color w:val="000000" w:themeColor="text1"/>
                      <w:highlight w:val="none"/>
                    </w:rPr>
                    <w:t>他配套工程，</w:t>
                  </w:r>
                  <w:r>
                    <w:rPr>
                      <w:rFonts w:hint="eastAsia" w:ascii="Times New Roman" w:hAnsi="Times New Roman" w:cs="Times New Roman"/>
                      <w:bCs/>
                      <w:color w:val="000000" w:themeColor="text1"/>
                      <w:highlight w:val="none"/>
                    </w:rPr>
                    <w:t>不涉及</w:t>
                  </w:r>
                  <w:r>
                    <w:rPr>
                      <w:rFonts w:ascii="Times New Roman" w:hAnsi="Times New Roman" w:cs="Times New Roman"/>
                      <w:bCs/>
                      <w:color w:val="000000" w:themeColor="text1"/>
                      <w:highlight w:val="none"/>
                    </w:rPr>
                    <w:t>矿产资源勘查以及采选</w:t>
                  </w:r>
                  <w:r>
                    <w:rPr>
                      <w:rFonts w:ascii="Times New Roman" w:hAnsi="Times New Roman" w:cs="Times New Roman"/>
                      <w:color w:val="000000" w:themeColor="text1"/>
                      <w:highlight w:val="none"/>
                    </w:rPr>
                    <w:t>。</w:t>
                  </w:r>
                </w:p>
                <w:p w14:paraId="63842CFD">
                  <w:pPr>
                    <w:pStyle w:val="16"/>
                    <w:rPr>
                      <w:rFonts w:ascii="Times New Roman" w:hAnsi="Times New Roman" w:cs="Times New Roman"/>
                      <w:bCs/>
                      <w:color w:val="000000" w:themeColor="text1"/>
                      <w:highlight w:val="none"/>
                    </w:rPr>
                  </w:pPr>
                  <w:r>
                    <w:rPr>
                      <w:rFonts w:hint="eastAsia" w:ascii="Times New Roman" w:hAnsi="Times New Roman" w:cs="Times New Roman"/>
                      <w:bCs/>
                      <w:color w:val="000000" w:themeColor="text1"/>
                      <w:highlight w:val="none"/>
                    </w:rPr>
                    <w:t>2.本项目</w:t>
                  </w:r>
                  <w:r>
                    <w:rPr>
                      <w:rFonts w:ascii="Times New Roman" w:hAnsi="Times New Roman" w:cs="Times New Roman"/>
                      <w:bCs/>
                      <w:color w:val="000000" w:themeColor="text1"/>
                      <w:highlight w:val="none"/>
                    </w:rPr>
                    <w:t>“三废”排放符合环保指标要求。</w:t>
                  </w:r>
                </w:p>
                <w:p w14:paraId="740E4E3A">
                  <w:pPr>
                    <w:pStyle w:val="16"/>
                    <w:rPr>
                      <w:rFonts w:ascii="Times New Roman" w:hAnsi="Times New Roman" w:cs="Times New Roman"/>
                      <w:bCs/>
                      <w:color w:val="000000" w:themeColor="text1"/>
                      <w:highlight w:val="none"/>
                    </w:rPr>
                  </w:pPr>
                  <w:r>
                    <w:rPr>
                      <w:rFonts w:hint="eastAsia" w:ascii="Times New Roman" w:hAnsi="Times New Roman" w:cs="Times New Roman"/>
                      <w:bCs/>
                      <w:color w:val="000000" w:themeColor="text1"/>
                      <w:highlight w:val="none"/>
                    </w:rPr>
                    <w:t>3.不涉及</w:t>
                  </w:r>
                </w:p>
                <w:p w14:paraId="12E44914">
                  <w:pPr>
                    <w:pStyle w:val="16"/>
                    <w:rPr>
                      <w:rFonts w:ascii="Times New Roman" w:hAnsi="Times New Roman" w:cs="Times New Roman"/>
                      <w:bCs/>
                      <w:color w:val="000000" w:themeColor="text1"/>
                      <w:highlight w:val="none"/>
                    </w:rPr>
                  </w:pPr>
                  <w:r>
                    <w:rPr>
                      <w:rFonts w:hint="eastAsia" w:ascii="Times New Roman" w:hAnsi="Times New Roman" w:cs="Times New Roman"/>
                      <w:bCs/>
                      <w:color w:val="000000" w:themeColor="text1"/>
                      <w:highlight w:val="none"/>
                    </w:rPr>
                    <w:t>4.不涉及</w:t>
                  </w:r>
                </w:p>
              </w:tc>
              <w:tc>
                <w:tcPr>
                  <w:tcW w:w="292" w:type="pct"/>
                  <w:vAlign w:val="center"/>
                </w:tcPr>
                <w:p w14:paraId="25EA5F92">
                  <w:pPr>
                    <w:pStyle w:val="16"/>
                    <w:jc w:val="center"/>
                    <w:rPr>
                      <w:rFonts w:ascii="Times New Roman" w:hAnsi="Times New Roman" w:cs="Times New Roman"/>
                      <w:bCs/>
                      <w:color w:val="000000" w:themeColor="text1"/>
                      <w:highlight w:val="none"/>
                    </w:rPr>
                  </w:pPr>
                  <w:r>
                    <w:rPr>
                      <w:rFonts w:ascii="Times New Roman" w:hAnsi="Times New Roman" w:cs="Times New Roman"/>
                      <w:bCs/>
                      <w:color w:val="000000" w:themeColor="text1"/>
                      <w:highlight w:val="none"/>
                    </w:rPr>
                    <w:t>符合</w:t>
                  </w:r>
                </w:p>
              </w:tc>
            </w:tr>
            <w:tr w14:paraId="5DD4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032" w:hRule="atLeast"/>
                <w:jc w:val="center"/>
              </w:trPr>
              <w:tc>
                <w:tcPr>
                  <w:tcW w:w="286" w:type="pct"/>
                  <w:tcMar>
                    <w:top w:w="0" w:type="dxa"/>
                    <w:left w:w="108" w:type="dxa"/>
                    <w:bottom w:w="0" w:type="dxa"/>
                    <w:right w:w="108" w:type="dxa"/>
                  </w:tcMar>
                  <w:vAlign w:val="center"/>
                </w:tcPr>
                <w:p w14:paraId="033C8A35">
                  <w:pPr>
                    <w:pStyle w:val="16"/>
                    <w:rPr>
                      <w:rFonts w:ascii="Times New Roman" w:hAnsi="Times New Roman" w:cs="Times New Roman"/>
                      <w:bCs/>
                      <w:color w:val="000000" w:themeColor="text1"/>
                      <w:highlight w:val="none"/>
                    </w:rPr>
                  </w:pPr>
                  <w:r>
                    <w:rPr>
                      <w:rFonts w:ascii="Times New Roman" w:hAnsi="Times New Roman" w:cs="Times New Roman"/>
                      <w:bCs/>
                      <w:color w:val="000000" w:themeColor="text1"/>
                      <w:highlight w:val="none"/>
                    </w:rPr>
                    <w:t>环境风险防控</w:t>
                  </w:r>
                </w:p>
              </w:tc>
              <w:tc>
                <w:tcPr>
                  <w:tcW w:w="2326" w:type="pct"/>
                  <w:tcMar>
                    <w:top w:w="0" w:type="dxa"/>
                    <w:left w:w="108" w:type="dxa"/>
                    <w:bottom w:w="0" w:type="dxa"/>
                    <w:right w:w="108" w:type="dxa"/>
                  </w:tcMar>
                  <w:vAlign w:val="center"/>
                </w:tcPr>
                <w:p w14:paraId="25DA9020">
                  <w:pPr>
                    <w:pStyle w:val="16"/>
                    <w:rPr>
                      <w:rFonts w:ascii="Times New Roman" w:hAnsi="Times New Roman" w:cs="Times New Roman"/>
                      <w:bCs/>
                      <w:color w:val="000000" w:themeColor="text1"/>
                      <w:highlight w:val="none"/>
                    </w:rPr>
                  </w:pPr>
                  <w:r>
                    <w:rPr>
                      <w:rFonts w:ascii="Times New Roman" w:hAnsi="Times New Roman" w:cs="Times New Roman"/>
                      <w:color w:val="000000" w:themeColor="text1"/>
                      <w:highlight w:val="none"/>
                    </w:rPr>
                    <w:t>1.制定环境风险应急预案，成立应急组织机构，配备必要的应急设施和应急物资，定期开展环境风险应急演练。</w:t>
                  </w:r>
                </w:p>
                <w:p w14:paraId="0912B6BB">
                  <w:pPr>
                    <w:pStyle w:val="16"/>
                    <w:rPr>
                      <w:rFonts w:ascii="Times New Roman" w:hAnsi="Times New Roman" w:cs="Times New Roman"/>
                      <w:bCs/>
                      <w:color w:val="000000" w:themeColor="text1"/>
                      <w:highlight w:val="none"/>
                    </w:rPr>
                  </w:pPr>
                  <w:r>
                    <w:rPr>
                      <w:rFonts w:ascii="Times New Roman" w:hAnsi="Times New Roman" w:cs="Times New Roman"/>
                      <w:color w:val="000000" w:themeColor="text1"/>
                      <w:highlight w:val="none"/>
                    </w:rPr>
                    <w:t>2.加强采矿引起的滑坡、塌陷等次生地质灾害的防范和治理，及时回填废弃巷道和采空区，要充分利用采矿疏</w:t>
                  </w:r>
                  <w:r>
                    <w:rPr>
                      <w:rFonts w:hAnsi="宋体" w:cs="宋体"/>
                      <w:color w:val="000000" w:themeColor="text1"/>
                      <w:highlight w:val="none"/>
                    </w:rPr>
                    <w:t>干排出的地下水，最大限度</w:t>
                  </w:r>
                  <w:r>
                    <w:rPr>
                      <w:rFonts w:hint="eastAsia" w:hAnsi="宋体" w:cs="宋体"/>
                      <w:color w:val="000000" w:themeColor="text1"/>
                      <w:highlight w:val="none"/>
                      <w:lang w:eastAsia="zh-CN"/>
                    </w:rPr>
                    <w:t>地</w:t>
                  </w:r>
                  <w:r>
                    <w:rPr>
                      <w:rFonts w:hAnsi="宋体" w:cs="宋体"/>
                      <w:color w:val="000000" w:themeColor="text1"/>
                      <w:highlight w:val="none"/>
                    </w:rPr>
                    <w:t>维持矿区生态平衡。</w:t>
                  </w:r>
                </w:p>
              </w:tc>
              <w:tc>
                <w:tcPr>
                  <w:tcW w:w="2093" w:type="pct"/>
                  <w:vAlign w:val="center"/>
                </w:tcPr>
                <w:p w14:paraId="3C5F190F">
                  <w:pPr>
                    <w:pStyle w:val="16"/>
                    <w:rPr>
                      <w:rFonts w:hAnsi="宋体" w:cs="宋体"/>
                      <w:color w:val="000000" w:themeColor="text1"/>
                      <w:highlight w:val="none"/>
                    </w:rPr>
                  </w:pPr>
                  <w:r>
                    <w:rPr>
                      <w:rFonts w:hint="eastAsia" w:ascii="Times New Roman" w:hAnsi="Times New Roman" w:cs="Times New Roman"/>
                      <w:color w:val="000000" w:themeColor="text1"/>
                      <w:kern w:val="0"/>
                      <w:highlight w:val="none"/>
                    </w:rPr>
                    <w:t>1.项目</w:t>
                  </w:r>
                  <w:r>
                    <w:rPr>
                      <w:rFonts w:hAnsi="宋体" w:cs="宋体"/>
                      <w:color w:val="000000" w:themeColor="text1"/>
                      <w:highlight w:val="none"/>
                    </w:rPr>
                    <w:t>制定环境风险应急预案，成立应急组织机构，配备必要的应急设施和应急物资，定期开展环境风险应急演练。</w:t>
                  </w:r>
                </w:p>
                <w:p w14:paraId="12DBE842">
                  <w:pPr>
                    <w:rPr>
                      <w:rFonts w:ascii="宋体" w:hAnsi="宋体" w:cs="宋体"/>
                      <w:color w:val="000000" w:themeColor="text1"/>
                      <w:szCs w:val="21"/>
                      <w:highlight w:val="none"/>
                    </w:rPr>
                  </w:pPr>
                  <w:r>
                    <w:rPr>
                      <w:rFonts w:hint="eastAsia"/>
                      <w:bCs/>
                      <w:color w:val="000000" w:themeColor="text1"/>
                      <w:szCs w:val="21"/>
                      <w:highlight w:val="none"/>
                    </w:rPr>
                    <w:t>2.本</w:t>
                  </w:r>
                  <w:r>
                    <w:rPr>
                      <w:bCs/>
                      <w:color w:val="000000" w:themeColor="text1"/>
                      <w:szCs w:val="21"/>
                      <w:highlight w:val="none"/>
                    </w:rPr>
                    <w:t>项目为</w:t>
                  </w:r>
                  <w:r>
                    <w:rPr>
                      <w:rFonts w:hint="eastAsia"/>
                      <w:bCs/>
                      <w:color w:val="000000" w:themeColor="text1"/>
                      <w:szCs w:val="21"/>
                      <w:highlight w:val="none"/>
                    </w:rPr>
                    <w:t>富民煤矿</w:t>
                  </w:r>
                  <w:r>
                    <w:rPr>
                      <w:bCs/>
                      <w:color w:val="000000" w:themeColor="text1"/>
                      <w:szCs w:val="21"/>
                      <w:highlight w:val="none"/>
                    </w:rPr>
                    <w:t>附属工程，主要是建设风井场地及其配套工程，</w:t>
                  </w:r>
                  <w:r>
                    <w:rPr>
                      <w:rFonts w:hint="eastAsia"/>
                      <w:bCs/>
                      <w:color w:val="000000" w:themeColor="text1"/>
                      <w:szCs w:val="21"/>
                      <w:highlight w:val="none"/>
                    </w:rPr>
                    <w:t>不属于采矿工程，</w:t>
                  </w:r>
                  <w:r>
                    <w:rPr>
                      <w:rFonts w:hint="eastAsia"/>
                      <w:bCs/>
                      <w:color w:val="0000FF"/>
                      <w:szCs w:val="21"/>
                      <w:highlight w:val="none"/>
                    </w:rPr>
                    <w:t>不涉及</w:t>
                  </w:r>
                  <w:r>
                    <w:rPr>
                      <w:bCs/>
                      <w:color w:val="0000FF"/>
                      <w:szCs w:val="21"/>
                      <w:highlight w:val="none"/>
                    </w:rPr>
                    <w:t>废弃巷道和采空区</w:t>
                  </w:r>
                  <w:r>
                    <w:rPr>
                      <w:rFonts w:hint="eastAsia"/>
                      <w:bCs/>
                      <w:color w:val="0000FF"/>
                      <w:szCs w:val="21"/>
                      <w:highlight w:val="none"/>
                    </w:rPr>
                    <w:t>的回填；</w:t>
                  </w:r>
                  <w:r>
                    <w:rPr>
                      <w:rFonts w:hint="eastAsia"/>
                      <w:bCs/>
                      <w:color w:val="000000" w:themeColor="text1"/>
                      <w:szCs w:val="21"/>
                      <w:highlight w:val="none"/>
                    </w:rPr>
                    <w:t>风井场地井筒掘进过程中产生的废水运送至富民煤矿工业场地既有矿井水处理站处理后回用。</w:t>
                  </w:r>
                </w:p>
              </w:tc>
              <w:tc>
                <w:tcPr>
                  <w:tcW w:w="292" w:type="pct"/>
                  <w:vAlign w:val="center"/>
                </w:tcPr>
                <w:p w14:paraId="56E33AC7">
                  <w:pPr>
                    <w:pStyle w:val="16"/>
                    <w:rPr>
                      <w:rFonts w:ascii="Times New Roman" w:hAnsi="Times New Roman" w:cs="Times New Roman"/>
                      <w:bCs/>
                      <w:color w:val="000000" w:themeColor="text1"/>
                      <w:highlight w:val="none"/>
                    </w:rPr>
                  </w:pPr>
                </w:p>
              </w:tc>
            </w:tr>
            <w:tr w14:paraId="76148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230" w:hRule="atLeast"/>
                <w:jc w:val="center"/>
              </w:trPr>
              <w:tc>
                <w:tcPr>
                  <w:tcW w:w="286" w:type="pct"/>
                  <w:tcMar>
                    <w:top w:w="0" w:type="dxa"/>
                    <w:left w:w="108" w:type="dxa"/>
                    <w:bottom w:w="0" w:type="dxa"/>
                    <w:right w:w="108" w:type="dxa"/>
                  </w:tcMar>
                  <w:vAlign w:val="center"/>
                </w:tcPr>
                <w:p w14:paraId="3A81F7BA">
                  <w:pPr>
                    <w:pStyle w:val="16"/>
                    <w:jc w:val="center"/>
                    <w:rPr>
                      <w:rFonts w:ascii="Times New Roman" w:hAnsi="Times New Roman" w:cs="Times New Roman"/>
                      <w:bCs/>
                      <w:color w:val="000000" w:themeColor="text1"/>
                      <w:highlight w:val="none"/>
                    </w:rPr>
                  </w:pPr>
                  <w:r>
                    <w:rPr>
                      <w:rFonts w:ascii="Times New Roman" w:hAnsi="Times New Roman" w:cs="Times New Roman"/>
                      <w:bCs/>
                      <w:color w:val="000000" w:themeColor="text1"/>
                      <w:highlight w:val="none"/>
                    </w:rPr>
                    <w:t>资源利用效率要求</w:t>
                  </w:r>
                </w:p>
              </w:tc>
              <w:tc>
                <w:tcPr>
                  <w:tcW w:w="2326" w:type="pct"/>
                  <w:tcMar>
                    <w:top w:w="0" w:type="dxa"/>
                    <w:left w:w="108" w:type="dxa"/>
                    <w:bottom w:w="0" w:type="dxa"/>
                    <w:right w:w="108" w:type="dxa"/>
                  </w:tcMar>
                  <w:vAlign w:val="center"/>
                </w:tcPr>
                <w:p w14:paraId="30746F85">
                  <w:pPr>
                    <w:pStyle w:val="16"/>
                    <w:rPr>
                      <w:rFonts w:ascii="Times New Roman" w:hAnsi="Times New Roman" w:cs="Times New Roman"/>
                      <w:bCs/>
                      <w:color w:val="000000" w:themeColor="text1"/>
                      <w:highlight w:val="none"/>
                    </w:rPr>
                  </w:pPr>
                  <w:r>
                    <w:rPr>
                      <w:rFonts w:hint="eastAsia" w:ascii="Times New Roman" w:hAnsi="Times New Roman" w:cs="Times New Roman"/>
                      <w:bCs/>
                      <w:color w:val="000000" w:themeColor="text1"/>
                      <w:highlight w:val="none"/>
                    </w:rPr>
                    <w:t>1.</w:t>
                  </w:r>
                  <w:r>
                    <w:rPr>
                      <w:rFonts w:ascii="Times New Roman" w:hAnsi="Times New Roman" w:cs="Times New Roman"/>
                      <w:bCs/>
                      <w:color w:val="000000" w:themeColor="text1"/>
                      <w:highlight w:val="none"/>
                    </w:rPr>
                    <w:t>原煤入选率不低于75%；煤矸石综合利用率应达到75%以上；矿井水、疏干水应采用洁净化、资源化技术和工艺进行合理处置，处置率达到100%。</w:t>
                  </w:r>
                </w:p>
                <w:p w14:paraId="1B22D4AF">
                  <w:pPr>
                    <w:pStyle w:val="16"/>
                    <w:rPr>
                      <w:rFonts w:ascii="Times New Roman" w:hAnsi="Times New Roman" w:cs="Times New Roman"/>
                      <w:bCs/>
                      <w:color w:val="000000" w:themeColor="text1"/>
                      <w:highlight w:val="none"/>
                    </w:rPr>
                  </w:pPr>
                  <w:r>
                    <w:rPr>
                      <w:rFonts w:hint="eastAsia" w:ascii="Times New Roman" w:hAnsi="Times New Roman" w:cs="Times New Roman"/>
                      <w:bCs/>
                      <w:color w:val="000000" w:themeColor="text1"/>
                      <w:highlight w:val="none"/>
                    </w:rPr>
                    <w:t>2.</w:t>
                  </w:r>
                  <w:r>
                    <w:rPr>
                      <w:rFonts w:ascii="Times New Roman" w:hAnsi="Times New Roman" w:cs="Times New Roman"/>
                      <w:bCs/>
                      <w:color w:val="000000" w:themeColor="text1"/>
                      <w:highlight w:val="none"/>
                    </w:rPr>
                    <w:t>煤矿采区回采率、原煤入选率、煤矸石与共伴生矿产资源综合利用率等三项指标符合自然资源部发布的《煤炭资源合理开发利用“三率”指标要求</w:t>
                  </w:r>
                  <w:r>
                    <w:rPr>
                      <w:rFonts w:hint="eastAsia" w:ascii="Times New Roman" w:hAnsi="Times New Roman" w:cs="Times New Roman"/>
                      <w:bCs/>
                      <w:color w:val="000000" w:themeColor="text1"/>
                      <w:highlight w:val="none"/>
                    </w:rPr>
                    <w:t>（</w:t>
                  </w:r>
                  <w:r>
                    <w:rPr>
                      <w:rFonts w:ascii="Times New Roman" w:hAnsi="Times New Roman" w:cs="Times New Roman"/>
                      <w:bCs/>
                      <w:color w:val="000000" w:themeColor="text1"/>
                      <w:highlight w:val="none"/>
                    </w:rPr>
                    <w:t>试行）》。</w:t>
                  </w:r>
                </w:p>
              </w:tc>
              <w:tc>
                <w:tcPr>
                  <w:tcW w:w="2093" w:type="pct"/>
                  <w:vAlign w:val="center"/>
                </w:tcPr>
                <w:p w14:paraId="47912A3C">
                  <w:pPr>
                    <w:pStyle w:val="16"/>
                    <w:rPr>
                      <w:rFonts w:ascii="Times New Roman" w:hAnsi="Times New Roman" w:cs="Times New Roman"/>
                      <w:color w:val="000000" w:themeColor="text1"/>
                      <w:highlight w:val="none"/>
                    </w:rPr>
                  </w:pPr>
                  <w:r>
                    <w:rPr>
                      <w:rFonts w:hint="eastAsia" w:ascii="Times New Roman" w:hAnsi="Times New Roman" w:cs="Times New Roman"/>
                      <w:color w:val="000000" w:themeColor="text1"/>
                      <w:highlight w:val="none"/>
                    </w:rPr>
                    <w:t>1.本项目不涉及</w:t>
                  </w:r>
                  <w:r>
                    <w:rPr>
                      <w:rFonts w:ascii="Times New Roman" w:hAnsi="Times New Roman" w:cs="Times New Roman"/>
                      <w:bCs/>
                      <w:color w:val="000000" w:themeColor="text1"/>
                      <w:highlight w:val="none"/>
                    </w:rPr>
                    <w:t>原煤入选</w:t>
                  </w:r>
                  <w:r>
                    <w:rPr>
                      <w:rFonts w:hint="eastAsia" w:ascii="Times New Roman" w:hAnsi="Times New Roman" w:cs="Times New Roman"/>
                      <w:bCs/>
                      <w:color w:val="000000" w:themeColor="text1"/>
                      <w:highlight w:val="none"/>
                    </w:rPr>
                    <w:t>与</w:t>
                  </w:r>
                  <w:r>
                    <w:rPr>
                      <w:rFonts w:ascii="Times New Roman" w:hAnsi="Times New Roman" w:cs="Times New Roman"/>
                      <w:bCs/>
                      <w:color w:val="000000" w:themeColor="text1"/>
                      <w:highlight w:val="none"/>
                    </w:rPr>
                    <w:t>煤矸石综合利用</w:t>
                  </w:r>
                  <w:r>
                    <w:rPr>
                      <w:rFonts w:hint="eastAsia" w:ascii="Times New Roman" w:hAnsi="Times New Roman" w:cs="Times New Roman"/>
                      <w:bCs/>
                      <w:color w:val="000000" w:themeColor="text1"/>
                      <w:highlight w:val="none"/>
                    </w:rPr>
                    <w:t>，</w:t>
                  </w:r>
                  <w:r>
                    <w:rPr>
                      <w:rFonts w:ascii="Times New Roman" w:hAnsi="Times New Roman" w:cs="Times New Roman"/>
                      <w:color w:val="000000" w:themeColor="text1"/>
                      <w:highlight w:val="none"/>
                    </w:rPr>
                    <w:t>井筒掘进过程中产生的废水由抽水车定期集中抽排，运送至工业场地既有矿井水处理站处理后回用。</w:t>
                  </w:r>
                </w:p>
                <w:p w14:paraId="439D008A">
                  <w:pPr>
                    <w:pStyle w:val="16"/>
                    <w:rPr>
                      <w:rFonts w:ascii="Times New Roman" w:hAnsi="Times New Roman" w:cs="Times New Roman"/>
                      <w:bCs/>
                      <w:color w:val="000000" w:themeColor="text1"/>
                      <w:highlight w:val="none"/>
                    </w:rPr>
                  </w:pPr>
                  <w:r>
                    <w:rPr>
                      <w:rFonts w:hint="eastAsia" w:ascii="Times New Roman" w:hAnsi="Times New Roman" w:cs="Times New Roman"/>
                      <w:color w:val="000000" w:themeColor="text1"/>
                      <w:highlight w:val="none"/>
                    </w:rPr>
                    <w:t>2.项目掘进过程中产生的土</w:t>
                  </w:r>
                  <w:r>
                    <w:rPr>
                      <w:rFonts w:hint="eastAsia"/>
                      <w:color w:val="000000" w:themeColor="text1"/>
                      <w:highlight w:val="none"/>
                    </w:rPr>
                    <w:t>岩经收集后拉运至公沟煤矿外排土场</w:t>
                  </w:r>
                  <w:r>
                    <w:rPr>
                      <w:rFonts w:ascii="Times New Roman" w:hAnsi="Times New Roman" w:cs="Times New Roman"/>
                      <w:color w:val="000000" w:themeColor="text1"/>
                      <w:highlight w:val="none"/>
                    </w:rPr>
                    <w:t>。</w:t>
                  </w:r>
                </w:p>
              </w:tc>
              <w:tc>
                <w:tcPr>
                  <w:tcW w:w="292" w:type="pct"/>
                  <w:vAlign w:val="center"/>
                </w:tcPr>
                <w:p w14:paraId="4BDCC0AD">
                  <w:pPr>
                    <w:pStyle w:val="16"/>
                    <w:jc w:val="center"/>
                    <w:rPr>
                      <w:rFonts w:ascii="Times New Roman" w:hAnsi="Times New Roman" w:cs="Times New Roman"/>
                      <w:bCs/>
                      <w:color w:val="000000" w:themeColor="text1"/>
                      <w:highlight w:val="none"/>
                    </w:rPr>
                  </w:pPr>
                  <w:r>
                    <w:rPr>
                      <w:rFonts w:ascii="Times New Roman" w:hAnsi="Times New Roman" w:cs="Times New Roman"/>
                      <w:bCs/>
                      <w:color w:val="000000" w:themeColor="text1"/>
                      <w:highlight w:val="none"/>
                    </w:rPr>
                    <w:t>符合</w:t>
                  </w:r>
                </w:p>
              </w:tc>
            </w:tr>
          </w:tbl>
          <w:p w14:paraId="6A924B26">
            <w:pPr>
              <w:autoSpaceDE w:val="0"/>
              <w:autoSpaceDN w:val="0"/>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综上所述，本项目能够满足管控单元的管控要求，</w:t>
            </w:r>
            <w:r>
              <w:rPr>
                <w:color w:val="000000" w:themeColor="text1"/>
                <w:sz w:val="24"/>
                <w:highlight w:val="none"/>
              </w:rPr>
              <w:t>满足区域生态环境准入要求。</w:t>
            </w:r>
          </w:p>
          <w:p w14:paraId="0C4537AB">
            <w:pPr>
              <w:autoSpaceDE w:val="0"/>
              <w:autoSpaceDN w:val="0"/>
              <w:adjustRightInd w:val="0"/>
              <w:snapToGrid w:val="0"/>
              <w:spacing w:line="360" w:lineRule="auto"/>
              <w:ind w:firstLine="480" w:firstLineChars="200"/>
              <w:rPr>
                <w:color w:val="000000" w:themeColor="text1"/>
                <w:sz w:val="24"/>
                <w:highlight w:val="none"/>
              </w:rPr>
            </w:pPr>
            <w:r>
              <w:rPr>
                <w:color w:val="000000" w:themeColor="text1"/>
                <w:sz w:val="24"/>
                <w:highlight w:val="none"/>
              </w:rPr>
              <w:t>综上所述，本项目符合“三线一单”管控要求。</w:t>
            </w:r>
          </w:p>
          <w:p w14:paraId="459EEF99">
            <w:pPr>
              <w:autoSpaceDE w:val="0"/>
              <w:autoSpaceDN w:val="0"/>
              <w:adjustRightInd w:val="0"/>
              <w:snapToGrid w:val="0"/>
              <w:spacing w:line="360" w:lineRule="auto"/>
              <w:ind w:firstLine="480" w:firstLineChars="200"/>
              <w:rPr>
                <w:color w:val="000000" w:themeColor="text1"/>
                <w:sz w:val="24"/>
                <w:highlight w:val="none"/>
              </w:rPr>
            </w:pPr>
          </w:p>
          <w:p w14:paraId="4B5C5448">
            <w:pPr>
              <w:autoSpaceDE w:val="0"/>
              <w:autoSpaceDN w:val="0"/>
              <w:adjustRightInd w:val="0"/>
              <w:snapToGrid w:val="0"/>
              <w:ind w:firstLine="480" w:firstLineChars="200"/>
              <w:rPr>
                <w:color w:val="000000" w:themeColor="text1"/>
                <w:sz w:val="24"/>
                <w:highlight w:val="none"/>
              </w:rPr>
            </w:pPr>
          </w:p>
          <w:p w14:paraId="7301BADD">
            <w:pPr>
              <w:autoSpaceDE w:val="0"/>
              <w:autoSpaceDN w:val="0"/>
              <w:adjustRightInd w:val="0"/>
              <w:snapToGrid w:val="0"/>
              <w:ind w:firstLine="480" w:firstLineChars="200"/>
              <w:rPr>
                <w:color w:val="000000" w:themeColor="text1"/>
                <w:sz w:val="24"/>
                <w:highlight w:val="none"/>
              </w:rPr>
            </w:pPr>
          </w:p>
          <w:p w14:paraId="03233CDC">
            <w:pPr>
              <w:autoSpaceDE w:val="0"/>
              <w:autoSpaceDN w:val="0"/>
              <w:adjustRightInd w:val="0"/>
              <w:snapToGrid w:val="0"/>
              <w:ind w:firstLine="480" w:firstLineChars="200"/>
              <w:rPr>
                <w:color w:val="000000" w:themeColor="text1"/>
                <w:sz w:val="24"/>
                <w:highlight w:val="none"/>
              </w:rPr>
            </w:pPr>
          </w:p>
          <w:p w14:paraId="3EF6EABD">
            <w:pPr>
              <w:autoSpaceDE w:val="0"/>
              <w:autoSpaceDN w:val="0"/>
              <w:adjustRightInd w:val="0"/>
              <w:snapToGrid w:val="0"/>
              <w:ind w:firstLine="420" w:firstLineChars="200"/>
              <w:rPr>
                <w:rFonts w:ascii="宋体" w:hAnsi="宋体" w:cs="宋体"/>
                <w:color w:val="000000" w:themeColor="text1"/>
                <w:kern w:val="0"/>
                <w:szCs w:val="21"/>
                <w:highlight w:val="none"/>
              </w:rPr>
            </w:pPr>
          </w:p>
        </w:tc>
      </w:tr>
    </w:tbl>
    <w:p w14:paraId="7D44F070">
      <w:pPr>
        <w:pStyle w:val="25"/>
        <w:ind w:firstLine="300"/>
        <w:rPr>
          <w:rFonts w:eastAsia="黑体"/>
          <w:color w:val="000000" w:themeColor="text1"/>
          <w:sz w:val="30"/>
          <w:highlight w:val="none"/>
        </w:rPr>
      </w:pPr>
    </w:p>
    <w:p w14:paraId="0E24501F">
      <w:pPr>
        <w:pStyle w:val="25"/>
        <w:ind w:firstLine="300"/>
        <w:rPr>
          <w:rFonts w:eastAsia="黑体"/>
          <w:color w:val="000000" w:themeColor="text1"/>
          <w:sz w:val="30"/>
          <w:highlight w:val="none"/>
        </w:rPr>
      </w:pPr>
    </w:p>
    <w:p w14:paraId="4DE954D0">
      <w:pPr>
        <w:rPr>
          <w:rFonts w:eastAsia="黑体"/>
          <w:color w:val="000000" w:themeColor="text1"/>
          <w:sz w:val="30"/>
          <w:highlight w:val="none"/>
        </w:rPr>
      </w:pPr>
    </w:p>
    <w:p w14:paraId="2D2326FD">
      <w:pPr>
        <w:pStyle w:val="25"/>
        <w:ind w:firstLine="210"/>
        <w:rPr>
          <w:color w:val="000000" w:themeColor="text1"/>
          <w:highlight w:val="none"/>
        </w:rPr>
        <w:sectPr>
          <w:footerReference r:id="rId5" w:type="default"/>
          <w:pgSz w:w="11906" w:h="16838"/>
          <w:pgMar w:top="1701" w:right="1531" w:bottom="1701" w:left="1531" w:header="851" w:footer="1077" w:gutter="0"/>
          <w:pgNumType w:start="1"/>
          <w:cols w:space="720" w:num="1"/>
          <w:docGrid w:linePitch="312" w:charSpace="0"/>
        </w:sectPr>
      </w:pPr>
    </w:p>
    <w:p w14:paraId="26DEAC51">
      <w:pPr>
        <w:pStyle w:val="23"/>
        <w:spacing w:before="0" w:beforeAutospacing="0" w:after="0" w:afterAutospacing="0" w:line="360" w:lineRule="auto"/>
        <w:jc w:val="center"/>
        <w:outlineLvl w:val="0"/>
        <w:rPr>
          <w:rFonts w:ascii="黑体" w:hAnsi="黑体" w:eastAsia="黑体"/>
          <w:snapToGrid w:val="0"/>
          <w:color w:val="000000" w:themeColor="text1"/>
          <w:sz w:val="30"/>
          <w:szCs w:val="30"/>
          <w:highlight w:val="none"/>
        </w:rPr>
      </w:pPr>
      <w:r>
        <w:rPr>
          <w:rFonts w:hint="eastAsia" w:ascii="黑体" w:hAnsi="黑体" w:eastAsia="黑体"/>
          <w:snapToGrid w:val="0"/>
          <w:color w:val="000000" w:themeColor="text1"/>
          <w:sz w:val="30"/>
          <w:szCs w:val="30"/>
          <w:highlight w:val="none"/>
        </w:rPr>
        <w:t>二、建设内容</w:t>
      </w:r>
    </w:p>
    <w:tbl>
      <w:tblPr>
        <w:tblStyle w:val="26"/>
        <w:tblW w:w="863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8044"/>
      </w:tblGrid>
      <w:tr w14:paraId="460645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93" w:hRule="atLeast"/>
        </w:trPr>
        <w:tc>
          <w:tcPr>
            <w:tcW w:w="588" w:type="dxa"/>
            <w:vAlign w:val="center"/>
          </w:tcPr>
          <w:p w14:paraId="5A312A8D">
            <w:pPr>
              <w:adjustRightInd w:val="0"/>
              <w:snapToGrid w:val="0"/>
              <w:jc w:val="center"/>
              <w:rPr>
                <w:rFonts w:ascii="宋体" w:hAnsi="宋体" w:cs="宋体"/>
                <w:color w:val="000000" w:themeColor="text1"/>
                <w:kern w:val="0"/>
                <w:szCs w:val="21"/>
                <w:highlight w:val="none"/>
              </w:rPr>
            </w:pPr>
            <w:r>
              <w:rPr>
                <w:rFonts w:hint="eastAsia" w:ascii="宋体" w:hAnsi="宋体" w:cs="宋体"/>
                <w:color w:val="000000" w:themeColor="text1"/>
                <w:kern w:val="0"/>
                <w:sz w:val="24"/>
                <w:highlight w:val="none"/>
              </w:rPr>
              <w:t>地理位置</w:t>
            </w:r>
          </w:p>
        </w:tc>
        <w:tc>
          <w:tcPr>
            <w:tcW w:w="8044" w:type="dxa"/>
            <w:vAlign w:val="center"/>
          </w:tcPr>
          <w:p w14:paraId="7616FB96">
            <w:pPr>
              <w:pStyle w:val="14"/>
              <w:widowControl w:val="0"/>
              <w:snapToGrid/>
              <w:spacing w:before="0" w:after="0" w:line="360" w:lineRule="auto"/>
              <w:ind w:right="0" w:firstLine="480" w:firstLineChars="200"/>
              <w:rPr>
                <w:color w:val="000000" w:themeColor="text1"/>
                <w:sz w:val="24"/>
                <w:szCs w:val="24"/>
                <w:highlight w:val="none"/>
              </w:rPr>
            </w:pPr>
            <w:r>
              <w:rPr>
                <w:color w:val="000000" w:themeColor="text1"/>
                <w:sz w:val="24"/>
                <w:szCs w:val="24"/>
                <w:highlight w:val="none"/>
              </w:rPr>
              <w:t>本项目位于内蒙古自治区鄂尔多斯市</w:t>
            </w:r>
            <w:r>
              <w:rPr>
                <w:rFonts w:hint="eastAsia"/>
                <w:color w:val="000000" w:themeColor="text1"/>
                <w:sz w:val="24"/>
                <w:szCs w:val="24"/>
                <w:highlight w:val="none"/>
              </w:rPr>
              <w:t>伊金霍洛旗纳林陶亥镇朱日根沟村三社富民煤矿矿界范围内</w:t>
            </w:r>
            <w:r>
              <w:rPr>
                <w:color w:val="000000" w:themeColor="text1"/>
                <w:sz w:val="24"/>
                <w:szCs w:val="24"/>
                <w:highlight w:val="none"/>
              </w:rPr>
              <w:t>。工程建设内容包括风井场地及</w:t>
            </w:r>
            <w:r>
              <w:rPr>
                <w:rFonts w:hint="eastAsia"/>
                <w:color w:val="000000" w:themeColor="text1"/>
                <w:sz w:val="24"/>
                <w:szCs w:val="24"/>
                <w:highlight w:val="none"/>
              </w:rPr>
              <w:t>其</w:t>
            </w:r>
            <w:r>
              <w:rPr>
                <w:color w:val="000000" w:themeColor="text1"/>
                <w:sz w:val="24"/>
                <w:szCs w:val="24"/>
                <w:highlight w:val="none"/>
              </w:rPr>
              <w:t>配套工程，占地面积</w:t>
            </w:r>
            <w:r>
              <w:rPr>
                <w:rFonts w:hint="eastAsia"/>
                <w:color w:val="000000" w:themeColor="text1"/>
                <w:sz w:val="24"/>
                <w:szCs w:val="24"/>
                <w:highlight w:val="none"/>
              </w:rPr>
              <w:t>6000m</w:t>
            </w:r>
            <w:r>
              <w:rPr>
                <w:rFonts w:hint="eastAsia"/>
                <w:color w:val="000000" w:themeColor="text1"/>
                <w:sz w:val="24"/>
                <w:szCs w:val="24"/>
                <w:highlight w:val="none"/>
                <w:vertAlign w:val="superscript"/>
              </w:rPr>
              <w:t>2</w:t>
            </w:r>
            <w:r>
              <w:rPr>
                <w:color w:val="000000" w:themeColor="text1"/>
                <w:sz w:val="24"/>
                <w:szCs w:val="24"/>
                <w:highlight w:val="none"/>
              </w:rPr>
              <w:t>。</w:t>
            </w:r>
          </w:p>
          <w:p w14:paraId="46FF7358">
            <w:pPr>
              <w:pStyle w:val="14"/>
              <w:widowControl w:val="0"/>
              <w:snapToGrid/>
              <w:spacing w:before="0" w:after="0" w:line="360" w:lineRule="auto"/>
              <w:ind w:right="0" w:firstLine="480" w:firstLineChars="200"/>
              <w:rPr>
                <w:color w:val="000000" w:themeColor="text1"/>
                <w:highlight w:val="none"/>
              </w:rPr>
            </w:pPr>
            <w:r>
              <w:rPr>
                <w:color w:val="000000" w:themeColor="text1"/>
                <w:sz w:val="24"/>
                <w:szCs w:val="24"/>
                <w:highlight w:val="none"/>
              </w:rPr>
              <w:t>项目地理位置图见附图</w:t>
            </w:r>
            <w:r>
              <w:rPr>
                <w:rFonts w:hint="eastAsia"/>
                <w:color w:val="000000" w:themeColor="text1"/>
                <w:sz w:val="24"/>
                <w:szCs w:val="24"/>
                <w:highlight w:val="none"/>
              </w:rPr>
              <w:t>2-1</w:t>
            </w:r>
            <w:r>
              <w:rPr>
                <w:color w:val="000000" w:themeColor="text1"/>
                <w:sz w:val="24"/>
                <w:szCs w:val="24"/>
                <w:highlight w:val="none"/>
              </w:rPr>
              <w:t>。</w:t>
            </w:r>
          </w:p>
          <w:p w14:paraId="31562DC6">
            <w:pPr>
              <w:pStyle w:val="14"/>
              <w:widowControl w:val="0"/>
              <w:snapToGrid/>
              <w:spacing w:before="0" w:after="0" w:line="240" w:lineRule="auto"/>
              <w:ind w:right="0"/>
              <w:jc w:val="center"/>
              <w:rPr>
                <w:color w:val="000000" w:themeColor="text1"/>
                <w:sz w:val="24"/>
                <w:szCs w:val="24"/>
                <w:highlight w:val="none"/>
              </w:rPr>
            </w:pPr>
            <w:r>
              <w:rPr>
                <w:rFonts w:hint="eastAsia"/>
                <w:color w:val="000000" w:themeColor="text1"/>
                <w:sz w:val="24"/>
                <w:szCs w:val="24"/>
                <w:highlight w:val="none"/>
              </w:rPr>
              <w:t>表2-1项目坐标</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4"/>
              <w:gridCol w:w="3128"/>
              <w:gridCol w:w="3323"/>
            </w:tblGrid>
            <w:tr w14:paraId="38E2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873" w:type="pct"/>
                  <w:noWrap/>
                  <w:vAlign w:val="bottom"/>
                </w:tcPr>
                <w:p w14:paraId="5054B5FA">
                  <w:pPr>
                    <w:jc w:val="center"/>
                    <w:rPr>
                      <w:color w:val="000000" w:themeColor="text1"/>
                      <w:szCs w:val="21"/>
                      <w:highlight w:val="none"/>
                    </w:rPr>
                  </w:pPr>
                  <w:r>
                    <w:rPr>
                      <w:color w:val="000000" w:themeColor="text1"/>
                      <w:szCs w:val="21"/>
                      <w:highlight w:val="none"/>
                    </w:rPr>
                    <w:t>序号</w:t>
                  </w:r>
                </w:p>
              </w:tc>
              <w:tc>
                <w:tcPr>
                  <w:tcW w:w="2001" w:type="pct"/>
                  <w:noWrap/>
                  <w:vAlign w:val="bottom"/>
                </w:tcPr>
                <w:p w14:paraId="10823421">
                  <w:pPr>
                    <w:jc w:val="center"/>
                    <w:rPr>
                      <w:color w:val="000000" w:themeColor="text1"/>
                      <w:szCs w:val="21"/>
                      <w:highlight w:val="none"/>
                    </w:rPr>
                  </w:pPr>
                  <w:r>
                    <w:rPr>
                      <w:color w:val="000000" w:themeColor="text1"/>
                      <w:szCs w:val="21"/>
                      <w:highlight w:val="none"/>
                    </w:rPr>
                    <w:t>X</w:t>
                  </w:r>
                </w:p>
              </w:tc>
              <w:tc>
                <w:tcPr>
                  <w:tcW w:w="2124" w:type="pct"/>
                  <w:noWrap/>
                  <w:vAlign w:val="bottom"/>
                </w:tcPr>
                <w:p w14:paraId="2528B574">
                  <w:pPr>
                    <w:jc w:val="center"/>
                    <w:rPr>
                      <w:color w:val="000000" w:themeColor="text1"/>
                      <w:szCs w:val="21"/>
                      <w:highlight w:val="none"/>
                    </w:rPr>
                  </w:pPr>
                  <w:r>
                    <w:rPr>
                      <w:color w:val="000000" w:themeColor="text1"/>
                      <w:szCs w:val="21"/>
                      <w:highlight w:val="none"/>
                    </w:rPr>
                    <w:t>Y</w:t>
                  </w:r>
                </w:p>
              </w:tc>
            </w:tr>
            <w:tr w14:paraId="5BF52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jc w:val="center"/>
              </w:trPr>
              <w:tc>
                <w:tcPr>
                  <w:tcW w:w="873" w:type="pct"/>
                  <w:noWrap/>
                  <w:vAlign w:val="bottom"/>
                </w:tcPr>
                <w:p w14:paraId="42B90D6F">
                  <w:pPr>
                    <w:numPr>
                      <w:ilvl w:val="0"/>
                      <w:numId w:val="2"/>
                    </w:numPr>
                    <w:jc w:val="center"/>
                    <w:rPr>
                      <w:color w:val="000000" w:themeColor="text1"/>
                      <w:szCs w:val="21"/>
                      <w:highlight w:val="none"/>
                    </w:rPr>
                  </w:pPr>
                </w:p>
              </w:tc>
              <w:tc>
                <w:tcPr>
                  <w:tcW w:w="3128" w:type="dxa"/>
                  <w:noWrap/>
                  <w:vAlign w:val="center"/>
                </w:tcPr>
                <w:p w14:paraId="10903A06">
                  <w:pPr>
                    <w:widowControl/>
                    <w:jc w:val="center"/>
                    <w:textAlignment w:val="center"/>
                    <w:rPr>
                      <w:color w:val="000000" w:themeColor="text1"/>
                      <w:szCs w:val="21"/>
                      <w:highlight w:val="none"/>
                    </w:rPr>
                  </w:pPr>
                  <w:r>
                    <w:rPr>
                      <w:color w:val="000000" w:themeColor="text1"/>
                      <w:kern w:val="0"/>
                      <w:szCs w:val="21"/>
                      <w:highlight w:val="none"/>
                    </w:rPr>
                    <w:t>4387242.8517</w:t>
                  </w:r>
                </w:p>
              </w:tc>
              <w:tc>
                <w:tcPr>
                  <w:tcW w:w="3323" w:type="dxa"/>
                  <w:noWrap/>
                  <w:vAlign w:val="center"/>
                </w:tcPr>
                <w:p w14:paraId="51FD078F">
                  <w:pPr>
                    <w:widowControl/>
                    <w:jc w:val="center"/>
                    <w:textAlignment w:val="center"/>
                    <w:rPr>
                      <w:color w:val="000000" w:themeColor="text1"/>
                      <w:szCs w:val="21"/>
                      <w:highlight w:val="none"/>
                    </w:rPr>
                  </w:pPr>
                  <w:r>
                    <w:rPr>
                      <w:color w:val="000000" w:themeColor="text1"/>
                      <w:kern w:val="0"/>
                      <w:szCs w:val="21"/>
                      <w:highlight w:val="none"/>
                    </w:rPr>
                    <w:t>37440748.8243</w:t>
                  </w:r>
                </w:p>
              </w:tc>
            </w:tr>
            <w:tr w14:paraId="6D11B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73" w:type="pct"/>
                  <w:noWrap/>
                  <w:vAlign w:val="bottom"/>
                </w:tcPr>
                <w:p w14:paraId="75E17106">
                  <w:pPr>
                    <w:numPr>
                      <w:ilvl w:val="0"/>
                      <w:numId w:val="2"/>
                    </w:numPr>
                    <w:jc w:val="center"/>
                    <w:rPr>
                      <w:color w:val="000000" w:themeColor="text1"/>
                      <w:szCs w:val="21"/>
                      <w:highlight w:val="none"/>
                    </w:rPr>
                  </w:pPr>
                </w:p>
              </w:tc>
              <w:tc>
                <w:tcPr>
                  <w:tcW w:w="3128" w:type="dxa"/>
                  <w:noWrap/>
                  <w:vAlign w:val="center"/>
                </w:tcPr>
                <w:p w14:paraId="2E8127C3">
                  <w:pPr>
                    <w:widowControl/>
                    <w:jc w:val="center"/>
                    <w:textAlignment w:val="center"/>
                    <w:rPr>
                      <w:color w:val="000000" w:themeColor="text1"/>
                      <w:szCs w:val="21"/>
                      <w:highlight w:val="none"/>
                    </w:rPr>
                  </w:pPr>
                  <w:r>
                    <w:rPr>
                      <w:color w:val="000000" w:themeColor="text1"/>
                      <w:kern w:val="0"/>
                      <w:szCs w:val="21"/>
                      <w:highlight w:val="none"/>
                    </w:rPr>
                    <w:t>4387226.2139</w:t>
                  </w:r>
                </w:p>
              </w:tc>
              <w:tc>
                <w:tcPr>
                  <w:tcW w:w="3323" w:type="dxa"/>
                  <w:noWrap/>
                  <w:vAlign w:val="center"/>
                </w:tcPr>
                <w:p w14:paraId="5289BBED">
                  <w:pPr>
                    <w:widowControl/>
                    <w:jc w:val="center"/>
                    <w:textAlignment w:val="center"/>
                    <w:rPr>
                      <w:color w:val="000000" w:themeColor="text1"/>
                      <w:szCs w:val="21"/>
                      <w:highlight w:val="none"/>
                      <w:lang w:eastAsia="en-US"/>
                    </w:rPr>
                  </w:pPr>
                  <w:r>
                    <w:rPr>
                      <w:color w:val="000000" w:themeColor="text1"/>
                      <w:kern w:val="0"/>
                      <w:szCs w:val="21"/>
                      <w:highlight w:val="none"/>
                    </w:rPr>
                    <w:t>37440810.3044</w:t>
                  </w:r>
                </w:p>
              </w:tc>
            </w:tr>
            <w:tr w14:paraId="7929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73" w:type="pct"/>
                  <w:noWrap/>
                  <w:vAlign w:val="bottom"/>
                </w:tcPr>
                <w:p w14:paraId="2C11CB72">
                  <w:pPr>
                    <w:numPr>
                      <w:ilvl w:val="0"/>
                      <w:numId w:val="2"/>
                    </w:numPr>
                    <w:jc w:val="center"/>
                    <w:rPr>
                      <w:color w:val="000000" w:themeColor="text1"/>
                      <w:szCs w:val="21"/>
                      <w:highlight w:val="none"/>
                    </w:rPr>
                  </w:pPr>
                </w:p>
              </w:tc>
              <w:tc>
                <w:tcPr>
                  <w:tcW w:w="3128" w:type="dxa"/>
                  <w:noWrap/>
                  <w:vAlign w:val="center"/>
                </w:tcPr>
                <w:p w14:paraId="2B93446C">
                  <w:pPr>
                    <w:widowControl/>
                    <w:jc w:val="center"/>
                    <w:textAlignment w:val="center"/>
                    <w:rPr>
                      <w:color w:val="000000" w:themeColor="text1"/>
                      <w:szCs w:val="21"/>
                      <w:highlight w:val="none"/>
                      <w:lang w:eastAsia="en-US"/>
                    </w:rPr>
                  </w:pPr>
                  <w:r>
                    <w:rPr>
                      <w:color w:val="000000" w:themeColor="text1"/>
                      <w:kern w:val="0"/>
                      <w:szCs w:val="21"/>
                      <w:highlight w:val="none"/>
                    </w:rPr>
                    <w:t>4387144.8944</w:t>
                  </w:r>
                </w:p>
              </w:tc>
              <w:tc>
                <w:tcPr>
                  <w:tcW w:w="3323" w:type="dxa"/>
                  <w:noWrap/>
                  <w:vAlign w:val="center"/>
                </w:tcPr>
                <w:p w14:paraId="05A80FE5">
                  <w:pPr>
                    <w:widowControl/>
                    <w:jc w:val="center"/>
                    <w:textAlignment w:val="center"/>
                    <w:rPr>
                      <w:color w:val="000000" w:themeColor="text1"/>
                      <w:szCs w:val="21"/>
                      <w:highlight w:val="none"/>
                      <w:lang w:eastAsia="en-US"/>
                    </w:rPr>
                  </w:pPr>
                  <w:r>
                    <w:rPr>
                      <w:color w:val="000000" w:themeColor="text1"/>
                      <w:kern w:val="0"/>
                      <w:szCs w:val="21"/>
                      <w:highlight w:val="none"/>
                    </w:rPr>
                    <w:t>37440753.5818</w:t>
                  </w:r>
                </w:p>
              </w:tc>
            </w:tr>
            <w:tr w14:paraId="3399E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73" w:type="pct"/>
                  <w:noWrap/>
                  <w:vAlign w:val="bottom"/>
                </w:tcPr>
                <w:p w14:paraId="3BF88178">
                  <w:pPr>
                    <w:numPr>
                      <w:ilvl w:val="0"/>
                      <w:numId w:val="2"/>
                    </w:numPr>
                    <w:jc w:val="center"/>
                    <w:rPr>
                      <w:color w:val="000000" w:themeColor="text1"/>
                      <w:szCs w:val="21"/>
                      <w:highlight w:val="none"/>
                    </w:rPr>
                  </w:pPr>
                </w:p>
              </w:tc>
              <w:tc>
                <w:tcPr>
                  <w:tcW w:w="3128" w:type="dxa"/>
                  <w:noWrap/>
                  <w:vAlign w:val="center"/>
                </w:tcPr>
                <w:p w14:paraId="59A2B200">
                  <w:pPr>
                    <w:widowControl/>
                    <w:jc w:val="center"/>
                    <w:textAlignment w:val="center"/>
                    <w:rPr>
                      <w:color w:val="000000" w:themeColor="text1"/>
                      <w:szCs w:val="21"/>
                      <w:highlight w:val="none"/>
                      <w:lang w:eastAsia="en-US"/>
                    </w:rPr>
                  </w:pPr>
                  <w:r>
                    <w:rPr>
                      <w:color w:val="000000" w:themeColor="text1"/>
                      <w:kern w:val="0"/>
                      <w:szCs w:val="21"/>
                      <w:highlight w:val="none"/>
                    </w:rPr>
                    <w:t>4387162.0298</w:t>
                  </w:r>
                </w:p>
              </w:tc>
              <w:tc>
                <w:tcPr>
                  <w:tcW w:w="3323" w:type="dxa"/>
                  <w:noWrap/>
                  <w:vAlign w:val="center"/>
                </w:tcPr>
                <w:p w14:paraId="1301F322">
                  <w:pPr>
                    <w:widowControl/>
                    <w:jc w:val="center"/>
                    <w:textAlignment w:val="center"/>
                    <w:rPr>
                      <w:color w:val="000000" w:themeColor="text1"/>
                      <w:szCs w:val="21"/>
                      <w:highlight w:val="none"/>
                      <w:lang w:eastAsia="en-US"/>
                    </w:rPr>
                  </w:pPr>
                  <w:r>
                    <w:rPr>
                      <w:color w:val="000000" w:themeColor="text1"/>
                      <w:kern w:val="0"/>
                      <w:szCs w:val="21"/>
                      <w:highlight w:val="none"/>
                    </w:rPr>
                    <w:t>37440690.9343</w:t>
                  </w:r>
                </w:p>
              </w:tc>
            </w:tr>
            <w:tr w14:paraId="04D8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73" w:type="pct"/>
                  <w:noWrap/>
                  <w:vAlign w:val="bottom"/>
                </w:tcPr>
                <w:p w14:paraId="6DC852C0">
                  <w:pPr>
                    <w:numPr>
                      <w:ilvl w:val="0"/>
                      <w:numId w:val="2"/>
                    </w:numPr>
                    <w:jc w:val="center"/>
                    <w:rPr>
                      <w:color w:val="000000" w:themeColor="text1"/>
                      <w:szCs w:val="21"/>
                      <w:highlight w:val="none"/>
                    </w:rPr>
                  </w:pPr>
                </w:p>
              </w:tc>
              <w:tc>
                <w:tcPr>
                  <w:tcW w:w="3128" w:type="dxa"/>
                  <w:noWrap/>
                  <w:vAlign w:val="center"/>
                </w:tcPr>
                <w:p w14:paraId="1BD0A7B3">
                  <w:pPr>
                    <w:widowControl/>
                    <w:jc w:val="center"/>
                    <w:textAlignment w:val="center"/>
                    <w:rPr>
                      <w:color w:val="000000" w:themeColor="text1"/>
                      <w:szCs w:val="21"/>
                      <w:highlight w:val="none"/>
                      <w:lang w:eastAsia="en-US"/>
                    </w:rPr>
                  </w:pPr>
                  <w:r>
                    <w:rPr>
                      <w:color w:val="000000" w:themeColor="text1"/>
                      <w:kern w:val="0"/>
                      <w:szCs w:val="21"/>
                      <w:highlight w:val="none"/>
                    </w:rPr>
                    <w:t>4387242.8517</w:t>
                  </w:r>
                </w:p>
              </w:tc>
              <w:tc>
                <w:tcPr>
                  <w:tcW w:w="3323" w:type="dxa"/>
                  <w:noWrap/>
                  <w:vAlign w:val="center"/>
                </w:tcPr>
                <w:p w14:paraId="295731D4">
                  <w:pPr>
                    <w:widowControl/>
                    <w:jc w:val="center"/>
                    <w:textAlignment w:val="center"/>
                    <w:rPr>
                      <w:color w:val="000000" w:themeColor="text1"/>
                      <w:szCs w:val="21"/>
                      <w:highlight w:val="none"/>
                      <w:lang w:eastAsia="en-US"/>
                    </w:rPr>
                  </w:pPr>
                  <w:r>
                    <w:rPr>
                      <w:color w:val="000000" w:themeColor="text1"/>
                      <w:kern w:val="0"/>
                      <w:szCs w:val="21"/>
                      <w:highlight w:val="none"/>
                    </w:rPr>
                    <w:t>37440748.8243</w:t>
                  </w:r>
                </w:p>
              </w:tc>
            </w:tr>
            <w:tr w14:paraId="4971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000" w:type="pct"/>
                  <w:gridSpan w:val="3"/>
                  <w:noWrap/>
                  <w:vAlign w:val="bottom"/>
                </w:tcPr>
                <w:p w14:paraId="2B30A293">
                  <w:pPr>
                    <w:widowControl/>
                    <w:textAlignment w:val="center"/>
                    <w:rPr>
                      <w:color w:val="000000" w:themeColor="text1"/>
                      <w:szCs w:val="21"/>
                      <w:highlight w:val="none"/>
                    </w:rPr>
                  </w:pPr>
                  <w:r>
                    <w:rPr>
                      <w:color w:val="000000" w:themeColor="text1"/>
                      <w:szCs w:val="21"/>
                      <w:highlight w:val="none"/>
                    </w:rPr>
                    <w:t>备注：大地2000坐标。</w:t>
                  </w:r>
                </w:p>
              </w:tc>
            </w:tr>
          </w:tbl>
          <w:p w14:paraId="6C9BD6D5">
            <w:pPr>
              <w:adjustRightInd w:val="0"/>
              <w:snapToGrid w:val="0"/>
              <w:rPr>
                <w:rFonts w:ascii="宋体" w:hAnsi="宋体" w:cs="宋体"/>
                <w:color w:val="000000" w:themeColor="text1"/>
                <w:kern w:val="0"/>
                <w:sz w:val="24"/>
                <w:highlight w:val="none"/>
              </w:rPr>
            </w:pPr>
            <w:r>
              <w:rPr>
                <w:rFonts w:hint="eastAsia"/>
                <w:color w:val="000000" w:themeColor="text1"/>
                <w:sz w:val="24"/>
                <w:highlight w:val="none"/>
              </w:rPr>
              <w:t>项目周边状况见下图：</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09"/>
              <w:gridCol w:w="3909"/>
            </w:tblGrid>
            <w:tr w14:paraId="04C30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4" w:type="dxa"/>
                </w:tcPr>
                <w:p w14:paraId="53866D05">
                  <w:pPr>
                    <w:adjustRightInd w:val="0"/>
                    <w:snapToGrid w:val="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drawing>
                      <wp:inline distT="0" distB="0" distL="114300" distR="114300">
                        <wp:extent cx="2339975" cy="1754505"/>
                        <wp:effectExtent l="0" t="0" r="3175" b="17145"/>
                        <wp:docPr id="60" name="图片 60" descr="ca19bc6c76d208ab79e988a9f11e41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ca19bc6c76d208ab79e988a9f11e418f"/>
                                <pic:cNvPicPr>
                                  <a:picLocks noChangeAspect="1"/>
                                </pic:cNvPicPr>
                              </pic:nvPicPr>
                              <pic:blipFill>
                                <a:blip r:embed="rId7" cstate="print"/>
                                <a:stretch>
                                  <a:fillRect/>
                                </a:stretch>
                              </pic:blipFill>
                              <pic:spPr>
                                <a:xfrm>
                                  <a:off x="0" y="0"/>
                                  <a:ext cx="2339975" cy="1754505"/>
                                </a:xfrm>
                                <a:prstGeom prst="rect">
                                  <a:avLst/>
                                </a:prstGeom>
                              </pic:spPr>
                            </pic:pic>
                          </a:graphicData>
                        </a:graphic>
                      </wp:inline>
                    </w:drawing>
                  </w:r>
                </w:p>
              </w:tc>
              <w:tc>
                <w:tcPr>
                  <w:tcW w:w="3914" w:type="dxa"/>
                </w:tcPr>
                <w:p w14:paraId="63611203">
                  <w:pPr>
                    <w:adjustRightInd w:val="0"/>
                    <w:snapToGrid w:val="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drawing>
                      <wp:inline distT="0" distB="0" distL="114300" distR="114300">
                        <wp:extent cx="2339975" cy="1754505"/>
                        <wp:effectExtent l="0" t="0" r="3175" b="17145"/>
                        <wp:docPr id="44" name="图片 44" descr="52c4f70c8d28f51cb0bec56ef4f5f3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52c4f70c8d28f51cb0bec56ef4f5f3fe"/>
                                <pic:cNvPicPr>
                                  <a:picLocks noChangeAspect="1"/>
                                </pic:cNvPicPr>
                              </pic:nvPicPr>
                              <pic:blipFill>
                                <a:blip r:embed="rId8" cstate="print"/>
                                <a:stretch>
                                  <a:fillRect/>
                                </a:stretch>
                              </pic:blipFill>
                              <pic:spPr>
                                <a:xfrm>
                                  <a:off x="0" y="0"/>
                                  <a:ext cx="2339975" cy="1754505"/>
                                </a:xfrm>
                                <a:prstGeom prst="rect">
                                  <a:avLst/>
                                </a:prstGeom>
                              </pic:spPr>
                            </pic:pic>
                          </a:graphicData>
                        </a:graphic>
                      </wp:inline>
                    </w:drawing>
                  </w:r>
                </w:p>
              </w:tc>
            </w:tr>
            <w:tr w14:paraId="6C1E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4" w:type="dxa"/>
                </w:tcPr>
                <w:p w14:paraId="67E43C9F">
                  <w:pPr>
                    <w:adjustRightInd w:val="0"/>
                    <w:snapToGrid w:val="0"/>
                    <w:jc w:val="center"/>
                    <w:rPr>
                      <w:rFonts w:ascii="宋体" w:hAnsi="宋体" w:cs="宋体"/>
                      <w:color w:val="000000" w:themeColor="text1"/>
                      <w:kern w:val="0"/>
                      <w:sz w:val="24"/>
                      <w:highlight w:val="none"/>
                    </w:rPr>
                  </w:pPr>
                  <w:r>
                    <w:rPr>
                      <w:rFonts w:hint="eastAsia" w:ascii="宋体" w:hAnsi="宋体" w:cs="宋体"/>
                      <w:color w:val="000000" w:themeColor="text1"/>
                      <w:kern w:val="0"/>
                      <w:sz w:val="24"/>
                      <w:highlight w:val="none"/>
                    </w:rPr>
                    <w:t>项目东侧</w:t>
                  </w:r>
                </w:p>
              </w:tc>
              <w:tc>
                <w:tcPr>
                  <w:tcW w:w="3914" w:type="dxa"/>
                </w:tcPr>
                <w:p w14:paraId="12612148">
                  <w:pPr>
                    <w:adjustRightInd w:val="0"/>
                    <w:snapToGrid w:val="0"/>
                    <w:jc w:val="center"/>
                    <w:rPr>
                      <w:rFonts w:ascii="宋体" w:hAnsi="宋体" w:cs="宋体"/>
                      <w:color w:val="000000" w:themeColor="text1"/>
                      <w:kern w:val="0"/>
                      <w:sz w:val="24"/>
                      <w:highlight w:val="none"/>
                    </w:rPr>
                  </w:pPr>
                  <w:r>
                    <w:rPr>
                      <w:rFonts w:hint="eastAsia" w:ascii="宋体" w:hAnsi="宋体" w:cs="宋体"/>
                      <w:color w:val="000000" w:themeColor="text1"/>
                      <w:kern w:val="0"/>
                      <w:sz w:val="24"/>
                      <w:highlight w:val="none"/>
                    </w:rPr>
                    <w:t>项目南侧</w:t>
                  </w:r>
                </w:p>
              </w:tc>
            </w:tr>
            <w:tr w14:paraId="7C4E9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4" w:type="dxa"/>
                </w:tcPr>
                <w:p w14:paraId="7048A466">
                  <w:pPr>
                    <w:adjustRightInd w:val="0"/>
                    <w:snapToGrid w:val="0"/>
                    <w:jc w:val="center"/>
                    <w:rPr>
                      <w:rFonts w:ascii="宋体" w:hAnsi="宋体" w:cs="宋体"/>
                      <w:color w:val="000000" w:themeColor="text1"/>
                      <w:kern w:val="0"/>
                      <w:sz w:val="24"/>
                      <w:highlight w:val="none"/>
                    </w:rPr>
                  </w:pPr>
                  <w:r>
                    <w:rPr>
                      <w:rFonts w:hint="eastAsia" w:ascii="宋体" w:hAnsi="宋体" w:cs="宋体"/>
                      <w:color w:val="000000" w:themeColor="text1"/>
                      <w:kern w:val="0"/>
                      <w:sz w:val="24"/>
                      <w:highlight w:val="none"/>
                    </w:rPr>
                    <w:drawing>
                      <wp:inline distT="0" distB="0" distL="114300" distR="114300">
                        <wp:extent cx="2339975" cy="1754505"/>
                        <wp:effectExtent l="0" t="0" r="3175" b="17145"/>
                        <wp:docPr id="61" name="图片 61" descr="14076feff8a6b6189473040b897bb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14076feff8a6b6189473040b897bb923"/>
                                <pic:cNvPicPr>
                                  <a:picLocks noChangeAspect="1"/>
                                </pic:cNvPicPr>
                              </pic:nvPicPr>
                              <pic:blipFill>
                                <a:blip r:embed="rId9" cstate="print"/>
                                <a:stretch>
                                  <a:fillRect/>
                                </a:stretch>
                              </pic:blipFill>
                              <pic:spPr>
                                <a:xfrm>
                                  <a:off x="0" y="0"/>
                                  <a:ext cx="2339975" cy="1754505"/>
                                </a:xfrm>
                                <a:prstGeom prst="rect">
                                  <a:avLst/>
                                </a:prstGeom>
                              </pic:spPr>
                            </pic:pic>
                          </a:graphicData>
                        </a:graphic>
                      </wp:inline>
                    </w:drawing>
                  </w:r>
                </w:p>
              </w:tc>
              <w:tc>
                <w:tcPr>
                  <w:tcW w:w="3914" w:type="dxa"/>
                </w:tcPr>
                <w:p w14:paraId="63927651">
                  <w:pPr>
                    <w:adjustRightInd w:val="0"/>
                    <w:snapToGrid w:val="0"/>
                    <w:jc w:val="center"/>
                    <w:rPr>
                      <w:rFonts w:ascii="宋体" w:hAnsi="宋体" w:cs="宋体"/>
                      <w:color w:val="000000" w:themeColor="text1"/>
                      <w:kern w:val="0"/>
                      <w:sz w:val="24"/>
                      <w:highlight w:val="none"/>
                    </w:rPr>
                  </w:pPr>
                  <w:r>
                    <w:rPr>
                      <w:rFonts w:hint="eastAsia" w:ascii="宋体" w:hAnsi="宋体" w:cs="宋体"/>
                      <w:color w:val="000000" w:themeColor="text1"/>
                      <w:kern w:val="0"/>
                      <w:sz w:val="24"/>
                      <w:highlight w:val="none"/>
                    </w:rPr>
                    <w:drawing>
                      <wp:inline distT="0" distB="0" distL="114300" distR="114300">
                        <wp:extent cx="2339975" cy="1754505"/>
                        <wp:effectExtent l="0" t="0" r="3175" b="17145"/>
                        <wp:docPr id="62" name="图片 62" descr="3916dc2c81203c52452c689c4d82e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3916dc2c81203c52452c689c4d82e529"/>
                                <pic:cNvPicPr>
                                  <a:picLocks noChangeAspect="1"/>
                                </pic:cNvPicPr>
                              </pic:nvPicPr>
                              <pic:blipFill>
                                <a:blip r:embed="rId10" cstate="print"/>
                                <a:stretch>
                                  <a:fillRect/>
                                </a:stretch>
                              </pic:blipFill>
                              <pic:spPr>
                                <a:xfrm>
                                  <a:off x="0" y="0"/>
                                  <a:ext cx="2339975" cy="1754505"/>
                                </a:xfrm>
                                <a:prstGeom prst="rect">
                                  <a:avLst/>
                                </a:prstGeom>
                              </pic:spPr>
                            </pic:pic>
                          </a:graphicData>
                        </a:graphic>
                      </wp:inline>
                    </w:drawing>
                  </w:r>
                </w:p>
              </w:tc>
            </w:tr>
            <w:tr w14:paraId="684B8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14" w:type="dxa"/>
                </w:tcPr>
                <w:p w14:paraId="4DE28C51">
                  <w:pPr>
                    <w:adjustRightInd w:val="0"/>
                    <w:snapToGrid w:val="0"/>
                    <w:jc w:val="center"/>
                    <w:rPr>
                      <w:rFonts w:ascii="宋体" w:hAnsi="宋体" w:cs="宋体"/>
                      <w:color w:val="000000" w:themeColor="text1"/>
                      <w:kern w:val="0"/>
                      <w:sz w:val="24"/>
                      <w:highlight w:val="none"/>
                    </w:rPr>
                  </w:pPr>
                  <w:r>
                    <w:rPr>
                      <w:rFonts w:hint="eastAsia" w:ascii="宋体" w:hAnsi="宋体" w:cs="宋体"/>
                      <w:color w:val="000000" w:themeColor="text1"/>
                      <w:kern w:val="0"/>
                      <w:sz w:val="24"/>
                      <w:highlight w:val="none"/>
                    </w:rPr>
                    <w:t>项目西侧</w:t>
                  </w:r>
                </w:p>
              </w:tc>
              <w:tc>
                <w:tcPr>
                  <w:tcW w:w="3914" w:type="dxa"/>
                </w:tcPr>
                <w:p w14:paraId="0B343C75">
                  <w:pPr>
                    <w:adjustRightInd w:val="0"/>
                    <w:snapToGrid w:val="0"/>
                    <w:jc w:val="center"/>
                    <w:rPr>
                      <w:rFonts w:ascii="宋体" w:hAnsi="宋体" w:cs="宋体"/>
                      <w:color w:val="000000" w:themeColor="text1"/>
                      <w:kern w:val="0"/>
                      <w:sz w:val="24"/>
                      <w:highlight w:val="none"/>
                    </w:rPr>
                  </w:pPr>
                  <w:r>
                    <w:rPr>
                      <w:rFonts w:hint="eastAsia" w:ascii="宋体" w:hAnsi="宋体" w:cs="宋体"/>
                      <w:color w:val="000000" w:themeColor="text1"/>
                      <w:kern w:val="0"/>
                      <w:sz w:val="24"/>
                      <w:highlight w:val="none"/>
                    </w:rPr>
                    <w:t>项目北侧</w:t>
                  </w:r>
                </w:p>
              </w:tc>
            </w:tr>
          </w:tbl>
          <w:p w14:paraId="17E2DB0D">
            <w:pPr>
              <w:adjustRightInd w:val="0"/>
              <w:snapToGrid w:val="0"/>
              <w:rPr>
                <w:rFonts w:ascii="宋体" w:hAnsi="宋体" w:cs="宋体"/>
                <w:color w:val="000000" w:themeColor="text1"/>
                <w:kern w:val="0"/>
                <w:szCs w:val="21"/>
                <w:highlight w:val="none"/>
              </w:rPr>
            </w:pPr>
          </w:p>
        </w:tc>
      </w:tr>
      <w:tr w14:paraId="0383BC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934" w:hRule="atLeast"/>
        </w:trPr>
        <w:tc>
          <w:tcPr>
            <w:tcW w:w="588" w:type="dxa"/>
            <w:vAlign w:val="center"/>
          </w:tcPr>
          <w:p w14:paraId="52E2F98B">
            <w:pPr>
              <w:adjustRightInd w:val="0"/>
              <w:snapToGrid w:val="0"/>
              <w:jc w:val="center"/>
              <w:rPr>
                <w:rFonts w:ascii="宋体" w:hAnsi="宋体" w:cs="宋体"/>
                <w:color w:val="000000" w:themeColor="text1"/>
                <w:kern w:val="0"/>
                <w:szCs w:val="21"/>
                <w:highlight w:val="none"/>
              </w:rPr>
            </w:pPr>
            <w:r>
              <w:rPr>
                <w:rFonts w:hint="eastAsia" w:ascii="宋体" w:hAnsi="宋体" w:cs="宋体"/>
                <w:color w:val="000000" w:themeColor="text1"/>
                <w:kern w:val="0"/>
                <w:sz w:val="24"/>
                <w:highlight w:val="none"/>
              </w:rPr>
              <w:t>项目组成及规模</w:t>
            </w:r>
          </w:p>
        </w:tc>
        <w:tc>
          <w:tcPr>
            <w:tcW w:w="8044" w:type="dxa"/>
            <w:vAlign w:val="center"/>
          </w:tcPr>
          <w:p w14:paraId="31FFBEE4">
            <w:pPr>
              <w:numPr>
                <w:ilvl w:val="0"/>
                <w:numId w:val="3"/>
              </w:numPr>
              <w:autoSpaceDE w:val="0"/>
              <w:autoSpaceDN w:val="0"/>
              <w:adjustRightInd w:val="0"/>
              <w:snapToGrid w:val="0"/>
              <w:spacing w:line="360" w:lineRule="auto"/>
              <w:ind w:left="0" w:firstLine="482" w:firstLineChars="200"/>
              <w:jc w:val="left"/>
              <w:rPr>
                <w:b/>
                <w:color w:val="000000" w:themeColor="text1"/>
                <w:sz w:val="24"/>
                <w:highlight w:val="none"/>
              </w:rPr>
            </w:pPr>
            <w:r>
              <w:rPr>
                <w:b/>
                <w:color w:val="000000" w:themeColor="text1"/>
                <w:sz w:val="24"/>
                <w:highlight w:val="none"/>
              </w:rPr>
              <w:t>工程概况</w:t>
            </w:r>
          </w:p>
          <w:p w14:paraId="7822CEA7">
            <w:pPr>
              <w:pStyle w:val="14"/>
              <w:widowControl w:val="0"/>
              <w:spacing w:before="0" w:after="0" w:line="360" w:lineRule="auto"/>
              <w:ind w:right="0" w:firstLine="482" w:firstLineChars="200"/>
              <w:rPr>
                <w:b/>
                <w:color w:val="000000" w:themeColor="text1"/>
                <w:sz w:val="24"/>
                <w:szCs w:val="24"/>
                <w:highlight w:val="none"/>
              </w:rPr>
            </w:pPr>
            <w:r>
              <w:rPr>
                <w:b/>
                <w:color w:val="000000" w:themeColor="text1"/>
                <w:sz w:val="24"/>
                <w:szCs w:val="24"/>
                <w:highlight w:val="none"/>
              </w:rPr>
              <w:t>1</w:t>
            </w:r>
            <w:r>
              <w:rPr>
                <w:rFonts w:hint="eastAsia"/>
                <w:b/>
                <w:color w:val="000000" w:themeColor="text1"/>
                <w:sz w:val="24"/>
                <w:szCs w:val="24"/>
                <w:highlight w:val="none"/>
              </w:rPr>
              <w:t>.</w:t>
            </w:r>
            <w:r>
              <w:rPr>
                <w:b/>
                <w:color w:val="000000" w:themeColor="text1"/>
                <w:sz w:val="24"/>
                <w:szCs w:val="24"/>
                <w:highlight w:val="none"/>
              </w:rPr>
              <w:t>项目背景</w:t>
            </w:r>
          </w:p>
          <w:p w14:paraId="72440F91">
            <w:pPr>
              <w:pStyle w:val="53"/>
              <w:spacing w:line="360" w:lineRule="auto"/>
              <w:ind w:firstLine="480"/>
              <w:rPr>
                <w:rFonts w:ascii="宋体" w:hAnsi="宋体" w:eastAsia="宋体" w:cs="宋体"/>
                <w:color w:val="000000" w:themeColor="text1"/>
                <w:kern w:val="0"/>
                <w:szCs w:val="24"/>
                <w:highlight w:val="none"/>
              </w:rPr>
            </w:pPr>
            <w:r>
              <w:rPr>
                <w:rFonts w:hint="eastAsia" w:ascii="宋体" w:hAnsi="宋体" w:eastAsia="宋体" w:cs="宋体"/>
                <w:color w:val="000000" w:themeColor="text1"/>
                <w:kern w:val="0"/>
                <w:szCs w:val="24"/>
                <w:highlight w:val="none"/>
              </w:rPr>
              <w:t>内蒙古汇能煤电集团富民煤炭有限责任公司煤矿（以下简称“富民煤矿”）隶属</w:t>
            </w:r>
            <w:r>
              <w:rPr>
                <w:rFonts w:ascii="Times New Roman" w:hAnsi="Times New Roman" w:eastAsia="宋体" w:cs="Times New Roman"/>
                <w:color w:val="000000" w:themeColor="text1"/>
                <w:kern w:val="0"/>
                <w:szCs w:val="24"/>
                <w:highlight w:val="none"/>
              </w:rPr>
              <w:t>于内蒙古汇能煤电集团富民煤炭有限责任公司，富民煤矿井田位于四道柳找煤区3～5线间之间，地处内蒙古自治区鄂尔多斯市准格尔旗与伊金霍洛旗境内，其行政区划隶属于准格尔旗准格尔召镇。井田位于四道柳找煤区3～5线间之间，井田面积12.5292km</w:t>
            </w:r>
            <w:r>
              <w:rPr>
                <w:rFonts w:ascii="Times New Roman" w:hAnsi="Times New Roman" w:eastAsia="宋体" w:cs="Times New Roman"/>
                <w:color w:val="000000" w:themeColor="text1"/>
                <w:kern w:val="0"/>
                <w:szCs w:val="24"/>
                <w:highlight w:val="none"/>
                <w:vertAlign w:val="superscript"/>
              </w:rPr>
              <w:t>2</w:t>
            </w:r>
            <w:r>
              <w:rPr>
                <w:rFonts w:ascii="Times New Roman" w:hAnsi="Times New Roman" w:eastAsia="宋体" w:cs="Times New Roman"/>
                <w:color w:val="000000" w:themeColor="text1"/>
                <w:kern w:val="0"/>
                <w:szCs w:val="24"/>
                <w:highlight w:val="none"/>
              </w:rPr>
              <w:t>，共由21个拐点圈定，开采方式为井工开采，地理坐标为：E110°16′50″～E110°20′00″，N39°35′30″～N39°38′29″，2006年7月31日，鄂尔多斯市环境保护局以“鄂环监发〔2006〕150号”文对《内蒙古汇能煤电集团有限公司富民（原裕民）煤炭有限责任公司整合项目（1.2Mt/a）环境影响报告表》予以批复；2008年10月30日，鄂尔多斯市环境保护局以“鄂环监发〔2008〕429号”文对《内蒙古汇能煤电集团富民煤炭有限责任公司（1.2Mt/a）煤矿技术改造项目竣工环境保护验收意见》予以批复</w:t>
            </w:r>
            <w:r>
              <w:rPr>
                <w:rFonts w:hint="eastAsia" w:ascii="Times New Roman" w:hAnsi="Times New Roman" w:eastAsia="宋体" w:cs="Times New Roman"/>
                <w:color w:val="000000" w:themeColor="text1"/>
                <w:kern w:val="0"/>
                <w:szCs w:val="24"/>
                <w:highlight w:val="none"/>
              </w:rPr>
              <w:t>；2023年5月26日取得了由鄂尔多斯市生态环境局出具的关于《内蒙古汇能煤电集团富民煤炭有限责任公司煤矿180万t/a改扩建项目环境影响报告书》的批复（鄂环审字〔2023〕109号文），2023年12月23日对该项目进行自主验收。</w:t>
            </w:r>
            <w:r>
              <w:rPr>
                <w:rFonts w:ascii="Times New Roman" w:hAnsi="Times New Roman" w:eastAsia="宋体" w:cs="Times New Roman"/>
                <w:color w:val="000000" w:themeColor="text1"/>
                <w:kern w:val="0"/>
                <w:szCs w:val="24"/>
                <w:highlight w:val="none"/>
              </w:rPr>
              <w:t>富民煤矿核定生产能力1.80Mt/a。</w:t>
            </w:r>
          </w:p>
          <w:p w14:paraId="00450461">
            <w:pPr>
              <w:pStyle w:val="53"/>
              <w:spacing w:line="360" w:lineRule="auto"/>
              <w:ind w:firstLine="480"/>
              <w:rPr>
                <w:rFonts w:ascii="Times New Roman" w:hAnsi="Times New Roman" w:eastAsia="宋体" w:cs="Times New Roman"/>
                <w:color w:val="000000" w:themeColor="text1"/>
                <w:kern w:val="0"/>
                <w:szCs w:val="24"/>
                <w:highlight w:val="none"/>
              </w:rPr>
            </w:pPr>
            <w:r>
              <w:rPr>
                <w:rFonts w:ascii="Times New Roman" w:hAnsi="Times New Roman" w:eastAsia="宋体" w:cs="Times New Roman"/>
                <w:color w:val="000000" w:themeColor="text1"/>
                <w:kern w:val="0"/>
                <w:szCs w:val="24"/>
                <w:highlight w:val="none"/>
              </w:rPr>
              <w:t>目前</w:t>
            </w:r>
            <w:r>
              <w:rPr>
                <w:rFonts w:hint="eastAsia" w:ascii="Times New Roman" w:hAnsi="Times New Roman" w:eastAsia="宋体" w:cs="Times New Roman"/>
                <w:color w:val="000000" w:themeColor="text1"/>
                <w:kern w:val="0"/>
                <w:szCs w:val="24"/>
                <w:highlight w:val="none"/>
              </w:rPr>
              <w:t>主斜井、一副井、二副井担任进风任务，</w:t>
            </w:r>
            <w:r>
              <w:rPr>
                <w:rFonts w:ascii="Times New Roman" w:hAnsi="Times New Roman" w:eastAsia="宋体" w:cs="Times New Roman"/>
                <w:color w:val="000000" w:themeColor="text1"/>
                <w:kern w:val="0"/>
                <w:szCs w:val="24"/>
                <w:highlight w:val="none"/>
              </w:rPr>
              <w:t>回风斜井担负全矿井的回风任务，兼做安全出口，但井筒净宽3.50m，净断面仅10.06m</w:t>
            </w:r>
            <w:r>
              <w:rPr>
                <w:rFonts w:ascii="Times New Roman" w:hAnsi="Times New Roman" w:eastAsia="宋体" w:cs="Times New Roman"/>
                <w:color w:val="000000" w:themeColor="text1"/>
                <w:kern w:val="0"/>
                <w:szCs w:val="24"/>
                <w:highlight w:val="none"/>
                <w:vertAlign w:val="superscript"/>
              </w:rPr>
              <w:t>2</w:t>
            </w:r>
            <w:r>
              <w:rPr>
                <w:rFonts w:ascii="Times New Roman" w:hAnsi="Times New Roman" w:eastAsia="宋体" w:cs="Times New Roman"/>
                <w:color w:val="000000" w:themeColor="text1"/>
                <w:kern w:val="0"/>
                <w:szCs w:val="24"/>
                <w:highlight w:val="none"/>
              </w:rPr>
              <w:t>，断面偏小，通风阻力大。为了适应现有的技术标准、政策、规范，同时进一步提高矿井通风系统安全可靠性(尤其是回风井)，杜绝事故隐患，拟新建</w:t>
            </w:r>
            <w:r>
              <w:rPr>
                <w:rFonts w:ascii="Times New Roman" w:hAnsi="Times New Roman" w:cs="Times New Roman"/>
                <w:color w:val="000000" w:themeColor="text1"/>
                <w:highlight w:val="none"/>
              </w:rPr>
              <w:t>回风立井，建成后现有回风斜井服务矿井二水平5-1煤一、二、三盘区与6-1一盘区回风，</w:t>
            </w:r>
            <w:r>
              <w:rPr>
                <w:rFonts w:hint="eastAsia"/>
                <w:color w:val="000000" w:themeColor="text1"/>
                <w:highlight w:val="none"/>
              </w:rPr>
              <w:t>本次新建</w:t>
            </w:r>
            <w:r>
              <w:rPr>
                <w:rFonts w:ascii="Times New Roman" w:hAnsi="Times New Roman" w:cs="Times New Roman"/>
                <w:color w:val="000000" w:themeColor="text1"/>
                <w:highlight w:val="none"/>
              </w:rPr>
              <w:t>回风立井服务矿井二水平6-1煤二、</w:t>
            </w:r>
            <w:r>
              <w:rPr>
                <w:rFonts w:hint="eastAsia" w:ascii="宋体" w:hAnsi="宋体" w:cs="宋体"/>
                <w:color w:val="000000" w:themeColor="text1"/>
                <w:highlight w:val="none"/>
              </w:rPr>
              <w:t>三盘区回风，形成高效、安全、稳定的“三进二回”通风系统，本项目不涉及新增</w:t>
            </w:r>
            <w:r>
              <w:rPr>
                <w:rFonts w:hint="eastAsia"/>
                <w:color w:val="000000" w:themeColor="text1"/>
                <w:highlight w:val="none"/>
              </w:rPr>
              <w:t>矿井</w:t>
            </w:r>
            <w:r>
              <w:rPr>
                <w:rFonts w:hint="eastAsia" w:ascii="宋体" w:hAnsi="宋体" w:cs="宋体"/>
                <w:color w:val="000000" w:themeColor="text1"/>
                <w:highlight w:val="none"/>
              </w:rPr>
              <w:t>生产能力</w:t>
            </w:r>
            <w:r>
              <w:rPr>
                <w:rFonts w:hint="eastAsia" w:ascii="宋体" w:hAnsi="宋体" w:cs="宋体"/>
                <w:color w:val="000000" w:themeColor="text1"/>
                <w:highlight w:val="none"/>
                <w:lang w:eastAsia="zh-CN"/>
              </w:rPr>
              <w:t>，</w:t>
            </w:r>
            <w:r>
              <w:rPr>
                <w:rFonts w:hint="eastAsia"/>
                <w:color w:val="000000" w:themeColor="text1"/>
                <w:szCs w:val="21"/>
                <w:highlight w:val="none"/>
                <w:lang w:val="en-US" w:eastAsia="zh-CN"/>
              </w:rPr>
              <w:t>由于三水开采已包含在“内蒙古汇能煤电集团富民煤炭有限责任公司煤矿180万t/a改扩建项目”，该项目已竣工，</w:t>
            </w:r>
            <w:r>
              <w:rPr>
                <w:rFonts w:hint="eastAsia"/>
                <w:color w:val="0000FF"/>
                <w:szCs w:val="21"/>
                <w:highlight w:val="none"/>
                <w:lang w:val="en-US" w:eastAsia="zh-CN"/>
              </w:rPr>
              <w:t>三水平延升属于该项目工程内容，并已通过竣工环保验收，故本次环评只包括</w:t>
            </w:r>
            <w:r>
              <w:rPr>
                <w:bCs/>
                <w:color w:val="0000FF"/>
                <w:sz w:val="21"/>
                <w:szCs w:val="21"/>
                <w:highlight w:val="none"/>
              </w:rPr>
              <w:t>新增井筒</w:t>
            </w:r>
            <w:r>
              <w:rPr>
                <w:rFonts w:hint="eastAsia"/>
                <w:bCs/>
                <w:color w:val="0000FF"/>
                <w:sz w:val="21"/>
                <w:szCs w:val="21"/>
                <w:highlight w:val="none"/>
                <w:lang w:val="en-US" w:eastAsia="zh-CN"/>
              </w:rPr>
              <w:t>内容</w:t>
            </w:r>
            <w:r>
              <w:rPr>
                <w:rFonts w:ascii="Times New Roman" w:hAnsi="Times New Roman" w:eastAsia="宋体" w:cs="Times New Roman"/>
                <w:color w:val="0000FF"/>
                <w:kern w:val="0"/>
                <w:szCs w:val="24"/>
                <w:highlight w:val="none"/>
              </w:rPr>
              <w:t>。</w:t>
            </w:r>
          </w:p>
          <w:p w14:paraId="2A93FD89">
            <w:pPr>
              <w:pStyle w:val="53"/>
              <w:spacing w:line="360" w:lineRule="auto"/>
              <w:ind w:firstLine="480"/>
              <w:rPr>
                <w:rFonts w:ascii="宋体" w:hAnsi="宋体" w:eastAsia="宋体" w:cs="宋体"/>
                <w:color w:val="000000" w:themeColor="text1"/>
                <w:highlight w:val="none"/>
              </w:rPr>
            </w:pPr>
            <w:r>
              <w:rPr>
                <w:rFonts w:hint="eastAsia" w:ascii="宋体" w:hAnsi="宋体" w:eastAsia="宋体" w:cs="宋体"/>
                <w:color w:val="000000" w:themeColor="text1"/>
                <w:highlight w:val="none"/>
              </w:rPr>
              <w:t>建设单位委托内蒙古煤矿设计研究院有限责任公司编制完成了《内蒙古汇能煤电集团富民煤炭有限责任公司煤矿改建项目(新增井筒及三水平延深)初步设计》</w:t>
            </w:r>
            <w:r>
              <w:rPr>
                <w:rFonts w:ascii="Times New Roman" w:hAnsi="Times New Roman" w:eastAsia="宋体" w:cs="Times New Roman"/>
                <w:color w:val="000000" w:themeColor="text1"/>
                <w:highlight w:val="none"/>
              </w:rPr>
              <w:t>，</w:t>
            </w:r>
            <w:r>
              <w:rPr>
                <w:rFonts w:hint="eastAsia" w:ascii="Times New Roman" w:hAnsi="Times New Roman" w:eastAsia="宋体" w:cs="Times New Roman"/>
                <w:color w:val="000000" w:themeColor="text1"/>
                <w:highlight w:val="none"/>
              </w:rPr>
              <w:t>目前已通过评审，鄂尔多斯市能源局正在拟批复阶段</w:t>
            </w:r>
            <w:r>
              <w:rPr>
                <w:rFonts w:ascii="Times New Roman" w:hAnsi="Times New Roman" w:eastAsia="宋体" w:cs="Times New Roman"/>
                <w:color w:val="000000" w:themeColor="text1"/>
                <w:highlight w:val="none"/>
              </w:rPr>
              <w:t>。</w:t>
            </w:r>
          </w:p>
          <w:p w14:paraId="5D2FFD9E">
            <w:pPr>
              <w:pStyle w:val="32"/>
              <w:spacing w:line="360" w:lineRule="auto"/>
              <w:ind w:firstLine="480" w:firstLineChars="200"/>
              <w:rPr>
                <w:rFonts w:ascii="Times New Roman" w:cs="Times New Roman"/>
                <w:color w:val="000000" w:themeColor="text1"/>
                <w:highlight w:val="none"/>
              </w:rPr>
            </w:pPr>
            <w:r>
              <w:rPr>
                <w:rFonts w:ascii="Times New Roman" w:cs="Times New Roman"/>
                <w:color w:val="000000" w:themeColor="text1"/>
                <w:highlight w:val="none"/>
              </w:rPr>
              <w:t>对照</w:t>
            </w:r>
            <w:r>
              <w:rPr>
                <w:rStyle w:val="31"/>
                <w:rFonts w:ascii="Times New Roman" w:cs="Times New Roman"/>
                <w:color w:val="000000" w:themeColor="text1"/>
                <w:sz w:val="24"/>
                <w:highlight w:val="none"/>
              </w:rPr>
              <w:t>《建设项目分类管理名录》</w:t>
            </w:r>
            <w:r>
              <w:rPr>
                <w:rStyle w:val="31"/>
                <w:rFonts w:hint="eastAsia" w:ascii="Times New Roman" w:cs="Times New Roman"/>
                <w:color w:val="000000" w:themeColor="text1"/>
                <w:sz w:val="24"/>
                <w:highlight w:val="none"/>
              </w:rPr>
              <w:t>（</w:t>
            </w:r>
            <w:r>
              <w:rPr>
                <w:rStyle w:val="31"/>
                <w:rFonts w:ascii="Times New Roman" w:cs="Times New Roman"/>
                <w:color w:val="000000" w:themeColor="text1"/>
                <w:sz w:val="24"/>
                <w:highlight w:val="none"/>
              </w:rPr>
              <w:t>2021版）</w:t>
            </w:r>
            <w:r>
              <w:rPr>
                <w:rStyle w:val="31"/>
                <w:rFonts w:hint="eastAsia" w:ascii="Times New Roman" w:cs="Times New Roman"/>
                <w:color w:val="000000" w:themeColor="text1"/>
                <w:sz w:val="24"/>
                <w:highlight w:val="none"/>
              </w:rPr>
              <w:t>，</w:t>
            </w:r>
            <w:r>
              <w:rPr>
                <w:rFonts w:ascii="Times New Roman" w:cs="Times New Roman"/>
                <w:color w:val="000000" w:themeColor="text1"/>
                <w:highlight w:val="none"/>
              </w:rPr>
              <w:t>本项目属于</w:t>
            </w:r>
            <w:r>
              <w:rPr>
                <w:rFonts w:hint="eastAsia" w:ascii="Times New Roman" w:cs="Times New Roman"/>
                <w:color w:val="000000" w:themeColor="text1"/>
                <w:highlight w:val="none"/>
              </w:rPr>
              <w:t>“</w:t>
            </w:r>
            <w:r>
              <w:rPr>
                <w:rStyle w:val="31"/>
                <w:rFonts w:ascii="Times New Roman" w:cs="Times New Roman"/>
                <w:color w:val="000000" w:themeColor="text1"/>
                <w:sz w:val="24"/>
                <w:highlight w:val="none"/>
              </w:rPr>
              <w:t>四、煤炭开采和洗选业06</w:t>
            </w:r>
            <w:r>
              <w:rPr>
                <w:rFonts w:hint="eastAsia" w:ascii="Times New Roman" w:cs="Times New Roman"/>
                <w:color w:val="000000" w:themeColor="text1"/>
                <w:highlight w:val="none"/>
              </w:rPr>
              <w:t>”中的</w:t>
            </w:r>
            <w:r>
              <w:rPr>
                <w:rStyle w:val="31"/>
                <w:rFonts w:hint="eastAsia" w:ascii="Times New Roman" w:cs="Times New Roman"/>
                <w:color w:val="000000" w:themeColor="text1"/>
                <w:sz w:val="24"/>
                <w:highlight w:val="none"/>
              </w:rPr>
              <w:t>“</w:t>
            </w:r>
            <w:r>
              <w:rPr>
                <w:rStyle w:val="31"/>
                <w:rFonts w:ascii="Times New Roman" w:cs="Times New Roman"/>
                <w:color w:val="000000" w:themeColor="text1"/>
                <w:sz w:val="24"/>
                <w:highlight w:val="none"/>
              </w:rPr>
              <w:t>煤炭洗选、配煤；煤炭储存、集运；风井场地、瓦斯抽放站；矿区修复治理工程</w:t>
            </w:r>
            <w:r>
              <w:rPr>
                <w:rStyle w:val="31"/>
                <w:rFonts w:hint="eastAsia" w:ascii="Times New Roman" w:cs="Times New Roman"/>
                <w:color w:val="000000" w:themeColor="text1"/>
                <w:sz w:val="24"/>
                <w:highlight w:val="none"/>
              </w:rPr>
              <w:t>”，</w:t>
            </w:r>
            <w:r>
              <w:rPr>
                <w:rFonts w:ascii="Times New Roman" w:cs="Times New Roman"/>
                <w:color w:val="000000" w:themeColor="text1"/>
                <w:highlight w:val="none"/>
              </w:rPr>
              <w:t>需编制环境影响报告表。建设方委托内蒙古金绿环保服务有限公司进行本次环评工作，我公司根据相关导则、标准及行业规范要求编制了《</w:t>
            </w:r>
            <w:r>
              <w:rPr>
                <w:rFonts w:hint="eastAsia" w:hAnsi="宋体"/>
                <w:color w:val="000000" w:themeColor="text1"/>
                <w:highlight w:val="none"/>
              </w:rPr>
              <w:t>内蒙古汇能煤电集团富民煤炭有限责任公司煤矿新增井筒项目</w:t>
            </w:r>
            <w:r>
              <w:rPr>
                <w:rFonts w:ascii="Times New Roman" w:cs="Times New Roman"/>
                <w:color w:val="000000" w:themeColor="text1"/>
                <w:highlight w:val="none"/>
              </w:rPr>
              <w:t>环境影响评价报告表》。现报告已编制完成，呈生态环境保护主管部门审查。</w:t>
            </w:r>
          </w:p>
          <w:p w14:paraId="19E7F001">
            <w:pPr>
              <w:pStyle w:val="14"/>
              <w:spacing w:before="0" w:after="0" w:line="360" w:lineRule="auto"/>
              <w:ind w:right="0" w:firstLine="482" w:firstLineChars="200"/>
              <w:rPr>
                <w:b/>
                <w:color w:val="000000" w:themeColor="text1"/>
                <w:sz w:val="24"/>
                <w:szCs w:val="24"/>
                <w:highlight w:val="none"/>
              </w:rPr>
            </w:pPr>
            <w:r>
              <w:rPr>
                <w:b/>
                <w:color w:val="000000" w:themeColor="text1"/>
                <w:sz w:val="24"/>
                <w:szCs w:val="24"/>
                <w:highlight w:val="none"/>
              </w:rPr>
              <w:t>2</w:t>
            </w:r>
            <w:r>
              <w:rPr>
                <w:rFonts w:hint="eastAsia"/>
                <w:b/>
                <w:color w:val="000000" w:themeColor="text1"/>
                <w:sz w:val="24"/>
                <w:szCs w:val="24"/>
                <w:highlight w:val="none"/>
              </w:rPr>
              <w:t>.</w:t>
            </w:r>
            <w:r>
              <w:rPr>
                <w:b/>
                <w:color w:val="000000" w:themeColor="text1"/>
                <w:sz w:val="24"/>
                <w:szCs w:val="24"/>
                <w:highlight w:val="none"/>
              </w:rPr>
              <w:t>项目基本情况</w:t>
            </w:r>
          </w:p>
          <w:p w14:paraId="641A3998">
            <w:pPr>
              <w:spacing w:line="360" w:lineRule="auto"/>
              <w:ind w:firstLine="480"/>
              <w:rPr>
                <w:color w:val="000000" w:themeColor="text1"/>
                <w:sz w:val="24"/>
                <w:highlight w:val="none"/>
              </w:rPr>
            </w:pPr>
            <w:r>
              <w:rPr>
                <w:bCs/>
                <w:color w:val="000000" w:themeColor="text1"/>
                <w:sz w:val="24"/>
                <w:highlight w:val="none"/>
              </w:rPr>
              <w:t>项目名称：内蒙古汇能煤电集团富民煤炭有限责任公司煤矿改建项目(新增井筒及</w:t>
            </w:r>
            <w:bookmarkStart w:id="2" w:name="OLE_LINK1"/>
            <w:r>
              <w:rPr>
                <w:bCs/>
                <w:color w:val="000000" w:themeColor="text1"/>
                <w:sz w:val="24"/>
                <w:highlight w:val="none"/>
              </w:rPr>
              <w:t>三水平延深</w:t>
            </w:r>
            <w:bookmarkEnd w:id="2"/>
            <w:r>
              <w:rPr>
                <w:bCs/>
                <w:color w:val="000000" w:themeColor="text1"/>
                <w:sz w:val="24"/>
                <w:highlight w:val="none"/>
              </w:rPr>
              <w:t>)</w:t>
            </w:r>
          </w:p>
          <w:p w14:paraId="7E39754A">
            <w:pPr>
              <w:spacing w:line="360" w:lineRule="auto"/>
              <w:ind w:firstLine="480"/>
              <w:rPr>
                <w:bCs/>
                <w:color w:val="000000" w:themeColor="text1"/>
                <w:sz w:val="24"/>
                <w:highlight w:val="none"/>
              </w:rPr>
            </w:pPr>
            <w:r>
              <w:rPr>
                <w:bCs/>
                <w:color w:val="000000" w:themeColor="text1"/>
                <w:sz w:val="24"/>
                <w:highlight w:val="none"/>
              </w:rPr>
              <w:t>建设单位：</w:t>
            </w:r>
            <w:r>
              <w:rPr>
                <w:color w:val="000000" w:themeColor="text1"/>
                <w:sz w:val="24"/>
                <w:highlight w:val="none"/>
              </w:rPr>
              <w:t>内蒙古汇能煤电集团富民煤炭有限责任公司</w:t>
            </w:r>
          </w:p>
          <w:p w14:paraId="40C393D6">
            <w:pPr>
              <w:adjustRightInd w:val="0"/>
              <w:snapToGrid w:val="0"/>
              <w:spacing w:line="360" w:lineRule="auto"/>
              <w:ind w:firstLine="480" w:firstLineChars="200"/>
              <w:jc w:val="left"/>
              <w:rPr>
                <w:bCs/>
                <w:color w:val="000000" w:themeColor="text1"/>
                <w:sz w:val="24"/>
                <w:highlight w:val="none"/>
              </w:rPr>
            </w:pPr>
            <w:r>
              <w:rPr>
                <w:bCs/>
                <w:color w:val="000000" w:themeColor="text1"/>
                <w:sz w:val="24"/>
                <w:highlight w:val="none"/>
              </w:rPr>
              <w:t>建设地点：</w:t>
            </w:r>
            <w:r>
              <w:rPr>
                <w:rFonts w:hint="eastAsia"/>
                <w:color w:val="000000" w:themeColor="text1"/>
                <w:kern w:val="0"/>
                <w:sz w:val="24"/>
                <w:highlight w:val="none"/>
              </w:rPr>
              <w:t>伊金霍洛旗纳林陶亥镇朱日根沟村三社</w:t>
            </w:r>
            <w:r>
              <w:rPr>
                <w:rFonts w:hint="eastAsia"/>
                <w:color w:val="000000" w:themeColor="text1"/>
                <w:sz w:val="24"/>
                <w:highlight w:val="none"/>
              </w:rPr>
              <w:t>富民煤矿矿界范围内</w:t>
            </w:r>
          </w:p>
          <w:p w14:paraId="48B4468B">
            <w:pPr>
              <w:widowControl/>
              <w:spacing w:line="360" w:lineRule="auto"/>
              <w:ind w:firstLine="480" w:firstLineChars="200"/>
              <w:rPr>
                <w:bCs/>
                <w:color w:val="000000" w:themeColor="text1"/>
                <w:sz w:val="24"/>
                <w:highlight w:val="none"/>
              </w:rPr>
            </w:pPr>
            <w:r>
              <w:rPr>
                <w:rFonts w:hint="eastAsia"/>
                <w:bCs/>
                <w:color w:val="000000" w:themeColor="text1"/>
                <w:sz w:val="24"/>
                <w:highlight w:val="none"/>
              </w:rPr>
              <w:t>占地面积：本项目</w:t>
            </w:r>
            <w:r>
              <w:rPr>
                <w:rFonts w:hint="eastAsia"/>
                <w:color w:val="000000" w:themeColor="text1"/>
                <w:sz w:val="24"/>
                <w:highlight w:val="none"/>
              </w:rPr>
              <w:t>占地面积6000m</w:t>
            </w:r>
            <w:r>
              <w:rPr>
                <w:rFonts w:hint="eastAsia"/>
                <w:color w:val="000000" w:themeColor="text1"/>
                <w:sz w:val="24"/>
                <w:highlight w:val="none"/>
                <w:vertAlign w:val="superscript"/>
              </w:rPr>
              <w:t>2</w:t>
            </w:r>
            <w:r>
              <w:rPr>
                <w:rFonts w:hint="eastAsia"/>
                <w:color w:val="000000" w:themeColor="text1"/>
                <w:sz w:val="24"/>
                <w:highlight w:val="none"/>
              </w:rPr>
              <w:t>，全部为永久用地。</w:t>
            </w:r>
          </w:p>
          <w:p w14:paraId="0B049EED">
            <w:pPr>
              <w:spacing w:line="360" w:lineRule="auto"/>
              <w:ind w:firstLine="480"/>
              <w:rPr>
                <w:bCs/>
                <w:color w:val="000000" w:themeColor="text1"/>
                <w:sz w:val="24"/>
                <w:highlight w:val="none"/>
              </w:rPr>
            </w:pPr>
            <w:r>
              <w:rPr>
                <w:bCs/>
                <w:color w:val="000000" w:themeColor="text1"/>
                <w:sz w:val="24"/>
                <w:highlight w:val="none"/>
              </w:rPr>
              <w:t>建设性质：新建</w:t>
            </w:r>
          </w:p>
          <w:p w14:paraId="321F6587">
            <w:pPr>
              <w:spacing w:line="360" w:lineRule="auto"/>
              <w:ind w:firstLine="480"/>
              <w:rPr>
                <w:bCs/>
                <w:color w:val="000000" w:themeColor="text1"/>
                <w:sz w:val="24"/>
                <w:highlight w:val="none"/>
              </w:rPr>
            </w:pPr>
            <w:r>
              <w:rPr>
                <w:bCs/>
                <w:color w:val="000000" w:themeColor="text1"/>
                <w:sz w:val="24"/>
                <w:highlight w:val="none"/>
              </w:rPr>
              <w:t>投资规模</w:t>
            </w:r>
            <w:r>
              <w:rPr>
                <w:rFonts w:hint="eastAsia"/>
                <w:bCs/>
                <w:color w:val="000000" w:themeColor="text1"/>
                <w:sz w:val="24"/>
                <w:highlight w:val="none"/>
              </w:rPr>
              <w:t>：</w:t>
            </w:r>
            <w:r>
              <w:rPr>
                <w:bCs/>
                <w:color w:val="000000" w:themeColor="text1"/>
                <w:sz w:val="24"/>
                <w:highlight w:val="none"/>
              </w:rPr>
              <w:t>总投资为</w:t>
            </w:r>
            <w:r>
              <w:rPr>
                <w:rFonts w:hint="eastAsia"/>
                <w:color w:val="000000" w:themeColor="text1"/>
                <w:sz w:val="24"/>
                <w:highlight w:val="none"/>
              </w:rPr>
              <w:t>42000</w:t>
            </w:r>
            <w:r>
              <w:rPr>
                <w:bCs/>
                <w:color w:val="000000" w:themeColor="text1"/>
                <w:sz w:val="24"/>
                <w:highlight w:val="none"/>
              </w:rPr>
              <w:t>万元，其中环保投资</w:t>
            </w:r>
            <w:r>
              <w:rPr>
                <w:rFonts w:hint="eastAsia"/>
                <w:bCs/>
                <w:color w:val="000000" w:themeColor="text1"/>
                <w:sz w:val="24"/>
                <w:highlight w:val="none"/>
              </w:rPr>
              <w:t>117</w:t>
            </w:r>
            <w:r>
              <w:rPr>
                <w:bCs/>
                <w:color w:val="000000" w:themeColor="text1"/>
                <w:sz w:val="24"/>
                <w:highlight w:val="none"/>
              </w:rPr>
              <w:t>万元，占总投资额的</w:t>
            </w:r>
            <w:r>
              <w:rPr>
                <w:rFonts w:hint="eastAsia"/>
                <w:bCs/>
                <w:color w:val="000000" w:themeColor="text1"/>
                <w:sz w:val="24"/>
                <w:highlight w:val="none"/>
              </w:rPr>
              <w:t>0.28</w:t>
            </w:r>
            <w:r>
              <w:rPr>
                <w:bCs/>
                <w:color w:val="000000" w:themeColor="text1"/>
                <w:sz w:val="24"/>
                <w:highlight w:val="none"/>
              </w:rPr>
              <w:t>%。</w:t>
            </w:r>
          </w:p>
          <w:p w14:paraId="3DF61D2A">
            <w:pPr>
              <w:pStyle w:val="14"/>
              <w:spacing w:before="0" w:after="0" w:line="360" w:lineRule="auto"/>
              <w:ind w:right="0" w:firstLine="482" w:firstLineChars="200"/>
              <w:rPr>
                <w:b/>
                <w:color w:val="000000" w:themeColor="text1"/>
                <w:sz w:val="24"/>
                <w:szCs w:val="24"/>
                <w:highlight w:val="none"/>
              </w:rPr>
            </w:pPr>
            <w:r>
              <w:rPr>
                <w:b/>
                <w:color w:val="000000" w:themeColor="text1"/>
                <w:sz w:val="24"/>
                <w:szCs w:val="24"/>
                <w:highlight w:val="none"/>
              </w:rPr>
              <w:t>3</w:t>
            </w:r>
            <w:r>
              <w:rPr>
                <w:rFonts w:hint="eastAsia"/>
                <w:b/>
                <w:color w:val="000000" w:themeColor="text1"/>
                <w:sz w:val="24"/>
                <w:szCs w:val="24"/>
                <w:highlight w:val="none"/>
              </w:rPr>
              <w:t>.</w:t>
            </w:r>
            <w:r>
              <w:rPr>
                <w:b/>
                <w:color w:val="000000" w:themeColor="text1"/>
                <w:sz w:val="24"/>
                <w:szCs w:val="24"/>
                <w:highlight w:val="none"/>
              </w:rPr>
              <w:t>建设内容</w:t>
            </w:r>
            <w:r>
              <w:rPr>
                <w:rFonts w:hint="eastAsia"/>
                <w:b/>
                <w:color w:val="000000" w:themeColor="text1"/>
                <w:sz w:val="24"/>
                <w:szCs w:val="24"/>
                <w:highlight w:val="none"/>
              </w:rPr>
              <w:t>及规模</w:t>
            </w:r>
          </w:p>
          <w:p w14:paraId="78DDBC56">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工程建设内容包括风井场地及其配套工程，占地面积6000m</w:t>
            </w:r>
            <w:r>
              <w:rPr>
                <w:rFonts w:hint="eastAsia"/>
                <w:color w:val="000000" w:themeColor="text1"/>
                <w:sz w:val="24"/>
                <w:highlight w:val="none"/>
                <w:vertAlign w:val="superscript"/>
              </w:rPr>
              <w:t>2</w:t>
            </w:r>
            <w:r>
              <w:rPr>
                <w:rFonts w:hint="eastAsia"/>
                <w:color w:val="000000" w:themeColor="text1"/>
                <w:sz w:val="24"/>
                <w:highlight w:val="none"/>
              </w:rPr>
              <w:t>。本项目工程组成见表2-2。</w:t>
            </w:r>
          </w:p>
          <w:p w14:paraId="484BB70A">
            <w:pPr>
              <w:jc w:val="center"/>
              <w:rPr>
                <w:color w:val="000000" w:themeColor="text1"/>
                <w:sz w:val="24"/>
                <w:highlight w:val="none"/>
              </w:rPr>
            </w:pPr>
            <w:r>
              <w:rPr>
                <w:rFonts w:hint="eastAsia"/>
                <w:color w:val="000000" w:themeColor="text1"/>
                <w:sz w:val="24"/>
                <w:highlight w:val="none"/>
              </w:rPr>
              <w:t>表2-2</w:t>
            </w:r>
            <w:r>
              <w:rPr>
                <w:color w:val="000000" w:themeColor="text1"/>
                <w:sz w:val="24"/>
                <w:highlight w:val="none"/>
              </w:rPr>
              <w:t xml:space="preserve">  工程组成一览表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771"/>
              <w:gridCol w:w="6193"/>
              <w:gridCol w:w="428"/>
            </w:tblGrid>
            <w:tr w14:paraId="5CE7C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272" w:type="pct"/>
                  <w:vAlign w:val="center"/>
                </w:tcPr>
                <w:p w14:paraId="3E711D4A">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分类</w:t>
                  </w:r>
                </w:p>
              </w:tc>
              <w:tc>
                <w:tcPr>
                  <w:tcW w:w="493" w:type="pct"/>
                  <w:vAlign w:val="center"/>
                </w:tcPr>
                <w:p w14:paraId="49740C66">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工程</w:t>
                  </w:r>
                </w:p>
                <w:p w14:paraId="4ED44C7C">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名称</w:t>
                  </w:r>
                </w:p>
              </w:tc>
              <w:tc>
                <w:tcPr>
                  <w:tcW w:w="3961" w:type="pct"/>
                  <w:vAlign w:val="center"/>
                </w:tcPr>
                <w:p w14:paraId="3154CDF2">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主要建设内容</w:t>
                  </w:r>
                </w:p>
              </w:tc>
              <w:tc>
                <w:tcPr>
                  <w:tcW w:w="273" w:type="pct"/>
                  <w:vAlign w:val="center"/>
                </w:tcPr>
                <w:p w14:paraId="2D10E789">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备注</w:t>
                  </w:r>
                </w:p>
              </w:tc>
            </w:tr>
            <w:tr w14:paraId="50B9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272" w:type="pct"/>
                  <w:vAlign w:val="center"/>
                </w:tcPr>
                <w:p w14:paraId="6D55DA90">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主体</w:t>
                  </w:r>
                </w:p>
                <w:p w14:paraId="67EF837E">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工程</w:t>
                  </w:r>
                </w:p>
              </w:tc>
              <w:tc>
                <w:tcPr>
                  <w:tcW w:w="493" w:type="pct"/>
                  <w:vAlign w:val="center"/>
                </w:tcPr>
                <w:p w14:paraId="49F35E65">
                  <w:pPr>
                    <w:tabs>
                      <w:tab w:val="left" w:pos="1260"/>
                    </w:tabs>
                    <w:adjustRightInd w:val="0"/>
                    <w:snapToGrid w:val="0"/>
                    <w:jc w:val="center"/>
                    <w:rPr>
                      <w:color w:val="000000" w:themeColor="text1"/>
                      <w:szCs w:val="21"/>
                      <w:highlight w:val="none"/>
                    </w:rPr>
                  </w:pPr>
                  <w:r>
                    <w:rPr>
                      <w:snapToGrid w:val="0"/>
                      <w:color w:val="000000" w:themeColor="text1"/>
                      <w:szCs w:val="21"/>
                      <w:highlight w:val="none"/>
                    </w:rPr>
                    <w:t>回风立井</w:t>
                  </w:r>
                </w:p>
              </w:tc>
              <w:tc>
                <w:tcPr>
                  <w:tcW w:w="3961" w:type="pct"/>
                  <w:vAlign w:val="center"/>
                </w:tcPr>
                <w:p w14:paraId="392560E4">
                  <w:pPr>
                    <w:tabs>
                      <w:tab w:val="left" w:pos="1260"/>
                    </w:tabs>
                    <w:adjustRightInd w:val="0"/>
                    <w:snapToGrid w:val="0"/>
                    <w:ind w:firstLine="420" w:firstLineChars="200"/>
                    <w:rPr>
                      <w:snapToGrid w:val="0"/>
                      <w:color w:val="000000" w:themeColor="text1"/>
                      <w:szCs w:val="21"/>
                      <w:highlight w:val="none"/>
                    </w:rPr>
                  </w:pPr>
                  <w:r>
                    <w:rPr>
                      <w:rFonts w:hint="eastAsia"/>
                      <w:snapToGrid w:val="0"/>
                      <w:color w:val="000000" w:themeColor="text1"/>
                      <w:szCs w:val="21"/>
                      <w:highlight w:val="none"/>
                    </w:rPr>
                    <w:t>服务矿井二水平6-1煤二、三盘区回风</w:t>
                  </w:r>
                  <w:r>
                    <w:rPr>
                      <w:snapToGrid w:val="0"/>
                      <w:color w:val="000000" w:themeColor="text1"/>
                      <w:szCs w:val="21"/>
                      <w:highlight w:val="none"/>
                    </w:rPr>
                    <w:t>。</w:t>
                  </w:r>
                  <w:r>
                    <w:rPr>
                      <w:rFonts w:hint="eastAsia"/>
                      <w:snapToGrid w:val="0"/>
                      <w:color w:val="000000" w:themeColor="text1"/>
                      <w:szCs w:val="21"/>
                      <w:highlight w:val="none"/>
                    </w:rPr>
                    <w:t>井口坐标：X=4387155.695、Y=37440733.714，</w:t>
                  </w:r>
                  <w:r>
                    <w:rPr>
                      <w:snapToGrid w:val="0"/>
                      <w:color w:val="000000" w:themeColor="text1"/>
                      <w:szCs w:val="21"/>
                      <w:highlight w:val="none"/>
                    </w:rPr>
                    <w:t>回风立井井口标高+1</w:t>
                  </w:r>
                  <w:r>
                    <w:rPr>
                      <w:rFonts w:hint="eastAsia"/>
                      <w:snapToGrid w:val="0"/>
                      <w:color w:val="000000" w:themeColor="text1"/>
                      <w:szCs w:val="21"/>
                      <w:highlight w:val="none"/>
                    </w:rPr>
                    <w:t>381</w:t>
                  </w:r>
                  <w:r>
                    <w:rPr>
                      <w:snapToGrid w:val="0"/>
                      <w:color w:val="000000" w:themeColor="text1"/>
                      <w:szCs w:val="21"/>
                      <w:highlight w:val="none"/>
                    </w:rPr>
                    <w:t>m，井底标高</w:t>
                  </w:r>
                  <w:r>
                    <w:rPr>
                      <w:rFonts w:hint="eastAsia"/>
                      <w:snapToGrid w:val="0"/>
                      <w:color w:val="000000" w:themeColor="text1"/>
                      <w:szCs w:val="21"/>
                      <w:highlight w:val="none"/>
                    </w:rPr>
                    <w:t>+1284</w:t>
                  </w:r>
                  <w:r>
                    <w:rPr>
                      <w:snapToGrid w:val="0"/>
                      <w:color w:val="000000" w:themeColor="text1"/>
                      <w:szCs w:val="21"/>
                      <w:highlight w:val="none"/>
                    </w:rPr>
                    <w:t>m，落底在6-1煤中，井筒垂深约</w:t>
                  </w:r>
                  <w:r>
                    <w:rPr>
                      <w:rFonts w:hint="eastAsia"/>
                      <w:snapToGrid w:val="0"/>
                      <w:color w:val="000000" w:themeColor="text1"/>
                      <w:szCs w:val="21"/>
                      <w:highlight w:val="none"/>
                    </w:rPr>
                    <w:t>97</w:t>
                  </w:r>
                  <w:r>
                    <w:rPr>
                      <w:snapToGrid w:val="0"/>
                      <w:color w:val="000000" w:themeColor="text1"/>
                      <w:szCs w:val="21"/>
                      <w:highlight w:val="none"/>
                    </w:rPr>
                    <w:t>m</w:t>
                  </w:r>
                  <w:r>
                    <w:rPr>
                      <w:rFonts w:hint="eastAsia"/>
                      <w:snapToGrid w:val="0"/>
                      <w:color w:val="000000" w:themeColor="text1"/>
                      <w:szCs w:val="21"/>
                      <w:highlight w:val="none"/>
                    </w:rPr>
                    <w:t>，净直径为5.5m，净断面积23.75m</w:t>
                  </w:r>
                  <w:r>
                    <w:rPr>
                      <w:rFonts w:hint="eastAsia"/>
                      <w:snapToGrid w:val="0"/>
                      <w:color w:val="000000" w:themeColor="text1"/>
                      <w:szCs w:val="21"/>
                      <w:highlight w:val="none"/>
                      <w:vertAlign w:val="superscript"/>
                    </w:rPr>
                    <w:t>2</w:t>
                  </w:r>
                  <w:r>
                    <w:rPr>
                      <w:snapToGrid w:val="0"/>
                      <w:color w:val="000000" w:themeColor="text1"/>
                      <w:szCs w:val="21"/>
                      <w:highlight w:val="none"/>
                    </w:rPr>
                    <w:t>。</w:t>
                  </w:r>
                </w:p>
                <w:p w14:paraId="0D245C8A">
                  <w:pPr>
                    <w:tabs>
                      <w:tab w:val="left" w:pos="1260"/>
                    </w:tabs>
                    <w:adjustRightInd w:val="0"/>
                    <w:snapToGrid w:val="0"/>
                    <w:ind w:firstLine="420" w:firstLineChars="200"/>
                    <w:rPr>
                      <w:snapToGrid w:val="0"/>
                      <w:color w:val="000000" w:themeColor="text1"/>
                      <w:szCs w:val="21"/>
                      <w:highlight w:val="none"/>
                    </w:rPr>
                  </w:pPr>
                  <w:r>
                    <w:rPr>
                      <w:snapToGrid w:val="0"/>
                      <w:color w:val="000000" w:themeColor="text1"/>
                      <w:szCs w:val="21"/>
                      <w:highlight w:val="none"/>
                    </w:rPr>
                    <w:t>回风立井表土段采用钢筋混凝土</w:t>
                  </w:r>
                  <w:r>
                    <w:rPr>
                      <w:rFonts w:hint="eastAsia"/>
                      <w:snapToGrid w:val="0"/>
                      <w:color w:val="000000" w:themeColor="text1"/>
                      <w:szCs w:val="21"/>
                      <w:highlight w:val="none"/>
                      <w:lang w:eastAsia="zh-CN"/>
                    </w:rPr>
                    <w:t>圆形</w:t>
                  </w:r>
                  <w:r>
                    <w:rPr>
                      <w:snapToGrid w:val="0"/>
                      <w:color w:val="000000" w:themeColor="text1"/>
                      <w:szCs w:val="21"/>
                      <w:highlight w:val="none"/>
                    </w:rPr>
                    <w:t>支护，基岩段采用混凝土</w:t>
                  </w:r>
                  <w:r>
                    <w:rPr>
                      <w:rFonts w:hint="eastAsia"/>
                      <w:snapToGrid w:val="0"/>
                      <w:color w:val="000000" w:themeColor="text1"/>
                      <w:szCs w:val="21"/>
                      <w:highlight w:val="none"/>
                      <w:lang w:eastAsia="zh-CN"/>
                    </w:rPr>
                    <w:t>圆形</w:t>
                  </w:r>
                  <w:r>
                    <w:rPr>
                      <w:snapToGrid w:val="0"/>
                      <w:color w:val="000000" w:themeColor="text1"/>
                      <w:szCs w:val="21"/>
                      <w:highlight w:val="none"/>
                    </w:rPr>
                    <w:t>支护，</w:t>
                  </w:r>
                  <w:r>
                    <w:rPr>
                      <w:rFonts w:hint="eastAsia"/>
                      <w:snapToGrid w:val="0"/>
                      <w:color w:val="000000" w:themeColor="text1"/>
                      <w:szCs w:val="21"/>
                      <w:highlight w:val="none"/>
                    </w:rPr>
                    <w:t>新建安全行人出口50m，风硐50m</w:t>
                  </w:r>
                  <w:r>
                    <w:rPr>
                      <w:snapToGrid w:val="0"/>
                      <w:color w:val="000000" w:themeColor="text1"/>
                      <w:szCs w:val="21"/>
                      <w:highlight w:val="none"/>
                    </w:rPr>
                    <w:t>。</w:t>
                  </w:r>
                </w:p>
                <w:p w14:paraId="7B0B5B74">
                  <w:pPr>
                    <w:tabs>
                      <w:tab w:val="left" w:pos="1260"/>
                    </w:tabs>
                    <w:adjustRightInd w:val="0"/>
                    <w:snapToGrid w:val="0"/>
                    <w:ind w:firstLine="420" w:firstLineChars="200"/>
                    <w:rPr>
                      <w:snapToGrid w:val="0"/>
                      <w:color w:val="000000" w:themeColor="text1"/>
                      <w:szCs w:val="21"/>
                      <w:highlight w:val="none"/>
                    </w:rPr>
                  </w:pPr>
                  <w:r>
                    <w:rPr>
                      <w:snapToGrid w:val="0"/>
                      <w:color w:val="000000" w:themeColor="text1"/>
                      <w:szCs w:val="21"/>
                      <w:highlight w:val="none"/>
                    </w:rPr>
                    <w:t>在回风立井5-1煤处沿5-1煤向东掘进6-1煤三盘区集中回风巷150m，与5-1煤三盘区回风斜巷南端沟通，5-1煤三盘区回风斜巷北端通过6-1煤三盘区回风斜巷与6-1煤三盘区回风大巷，形成6-1煤三盘区回风系统。</w:t>
                  </w:r>
                </w:p>
                <w:p w14:paraId="1A5AA3A2">
                  <w:pPr>
                    <w:tabs>
                      <w:tab w:val="left" w:pos="1260"/>
                    </w:tabs>
                    <w:adjustRightInd w:val="0"/>
                    <w:snapToGrid w:val="0"/>
                    <w:ind w:firstLine="420" w:firstLineChars="200"/>
                    <w:rPr>
                      <w:snapToGrid w:val="0"/>
                      <w:color w:val="000000" w:themeColor="text1"/>
                      <w:szCs w:val="21"/>
                      <w:highlight w:val="none"/>
                    </w:rPr>
                  </w:pPr>
                  <w:r>
                    <w:rPr>
                      <w:snapToGrid w:val="0"/>
                      <w:color w:val="000000" w:themeColor="text1"/>
                      <w:szCs w:val="21"/>
                      <w:highlight w:val="none"/>
                    </w:rPr>
                    <w:t>在回风立井落底6-1号煤处，沿6-1煤向北掘进6-1煤二盘区集中回风巷57m，与6-1煤二盘区回风大巷西端沟通，形成6-1煤二盘区回风系统</w:t>
                  </w:r>
                  <w:r>
                    <w:rPr>
                      <w:rFonts w:hint="eastAsia"/>
                      <w:snapToGrid w:val="0"/>
                      <w:color w:val="000000" w:themeColor="text1"/>
                      <w:szCs w:val="21"/>
                      <w:highlight w:val="none"/>
                    </w:rPr>
                    <w:t>，井筒内布置玻璃钢梯子间，兼做矿井安全出口</w:t>
                  </w:r>
                  <w:r>
                    <w:rPr>
                      <w:snapToGrid w:val="0"/>
                      <w:color w:val="000000" w:themeColor="text1"/>
                      <w:szCs w:val="21"/>
                      <w:highlight w:val="none"/>
                    </w:rPr>
                    <w:t>。</w:t>
                  </w:r>
                </w:p>
              </w:tc>
              <w:tc>
                <w:tcPr>
                  <w:tcW w:w="273" w:type="pct"/>
                  <w:vAlign w:val="center"/>
                </w:tcPr>
                <w:p w14:paraId="66A1868F">
                  <w:pPr>
                    <w:adjustRightInd w:val="0"/>
                    <w:snapToGrid w:val="0"/>
                    <w:rPr>
                      <w:color w:val="000000" w:themeColor="text1"/>
                      <w:szCs w:val="21"/>
                      <w:highlight w:val="none"/>
                    </w:rPr>
                  </w:pPr>
                  <w:r>
                    <w:rPr>
                      <w:color w:val="000000" w:themeColor="text1"/>
                      <w:szCs w:val="21"/>
                      <w:highlight w:val="none"/>
                    </w:rPr>
                    <w:t>新建</w:t>
                  </w:r>
                </w:p>
              </w:tc>
            </w:tr>
            <w:tr w14:paraId="41E9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2" w:type="pct"/>
                  <w:vMerge w:val="restart"/>
                  <w:vAlign w:val="center"/>
                </w:tcPr>
                <w:p w14:paraId="3EEE822D">
                  <w:pPr>
                    <w:tabs>
                      <w:tab w:val="left" w:pos="1260"/>
                    </w:tabs>
                    <w:adjustRightInd w:val="0"/>
                    <w:snapToGrid w:val="0"/>
                    <w:jc w:val="center"/>
                    <w:rPr>
                      <w:color w:val="000000" w:themeColor="text1"/>
                      <w:szCs w:val="21"/>
                      <w:highlight w:val="none"/>
                    </w:rPr>
                  </w:pPr>
                  <w:r>
                    <w:rPr>
                      <w:color w:val="000000" w:themeColor="text1"/>
                      <w:szCs w:val="21"/>
                      <w:highlight w:val="none"/>
                    </w:rPr>
                    <w:t>辅助工程</w:t>
                  </w:r>
                </w:p>
              </w:tc>
              <w:tc>
                <w:tcPr>
                  <w:tcW w:w="493" w:type="pct"/>
                  <w:vAlign w:val="center"/>
                </w:tcPr>
                <w:p w14:paraId="7E9667F8">
                  <w:pPr>
                    <w:tabs>
                      <w:tab w:val="left" w:pos="1260"/>
                    </w:tabs>
                    <w:adjustRightInd w:val="0"/>
                    <w:snapToGrid w:val="0"/>
                    <w:jc w:val="center"/>
                    <w:rPr>
                      <w:snapToGrid w:val="0"/>
                      <w:color w:val="000000" w:themeColor="text1"/>
                      <w:szCs w:val="21"/>
                      <w:highlight w:val="none"/>
                    </w:rPr>
                  </w:pPr>
                  <w:r>
                    <w:rPr>
                      <w:snapToGrid w:val="0"/>
                      <w:color w:val="000000" w:themeColor="text1"/>
                      <w:szCs w:val="21"/>
                      <w:highlight w:val="none"/>
                    </w:rPr>
                    <w:t>通风</w:t>
                  </w:r>
                  <w:r>
                    <w:rPr>
                      <w:rFonts w:hint="eastAsia"/>
                      <w:snapToGrid w:val="0"/>
                      <w:color w:val="000000" w:themeColor="text1"/>
                      <w:szCs w:val="21"/>
                      <w:highlight w:val="none"/>
                    </w:rPr>
                    <w:t>设备</w:t>
                  </w:r>
                </w:p>
              </w:tc>
              <w:tc>
                <w:tcPr>
                  <w:tcW w:w="3961" w:type="pct"/>
                  <w:vAlign w:val="center"/>
                </w:tcPr>
                <w:p w14:paraId="760C3C55">
                  <w:pPr>
                    <w:tabs>
                      <w:tab w:val="left" w:pos="1260"/>
                    </w:tabs>
                    <w:adjustRightInd w:val="0"/>
                    <w:snapToGrid w:val="0"/>
                    <w:ind w:firstLine="420" w:firstLineChars="200"/>
                    <w:rPr>
                      <w:snapToGrid w:val="0"/>
                      <w:color w:val="000000" w:themeColor="text1"/>
                      <w:szCs w:val="21"/>
                      <w:highlight w:val="none"/>
                    </w:rPr>
                  </w:pPr>
                  <w:r>
                    <w:rPr>
                      <w:snapToGrid w:val="0"/>
                      <w:color w:val="000000" w:themeColor="text1"/>
                      <w:szCs w:val="21"/>
                      <w:highlight w:val="none"/>
                      <w:lang w:val="zh-CN"/>
                    </w:rPr>
                    <w:t>选用</w:t>
                  </w:r>
                  <w:r>
                    <w:rPr>
                      <w:snapToGrid w:val="0"/>
                      <w:color w:val="000000" w:themeColor="text1"/>
                      <w:szCs w:val="21"/>
                      <w:highlight w:val="none"/>
                    </w:rPr>
                    <w:t>FBCDZ-8-№25型矿用防爆抽出式对旋轴流主通风机</w:t>
                  </w:r>
                  <w:r>
                    <w:rPr>
                      <w:snapToGrid w:val="0"/>
                      <w:color w:val="000000" w:themeColor="text1"/>
                      <w:szCs w:val="21"/>
                      <w:highlight w:val="none"/>
                      <w:lang w:val="zh-CN"/>
                    </w:rPr>
                    <w:t>2台，1台工作、1台备用，电机功率：</w:t>
                  </w:r>
                  <w:r>
                    <w:rPr>
                      <w:snapToGrid w:val="0"/>
                      <w:color w:val="000000" w:themeColor="text1"/>
                      <w:szCs w:val="21"/>
                      <w:highlight w:val="none"/>
                    </w:rPr>
                    <w:t>2×185</w:t>
                  </w:r>
                  <w:r>
                    <w:rPr>
                      <w:snapToGrid w:val="0"/>
                      <w:color w:val="000000" w:themeColor="text1"/>
                      <w:szCs w:val="21"/>
                      <w:highlight w:val="none"/>
                      <w:lang w:val="zh-CN"/>
                    </w:rPr>
                    <w:t>kW，电压等级</w:t>
                  </w:r>
                  <w:r>
                    <w:rPr>
                      <w:snapToGrid w:val="0"/>
                      <w:color w:val="000000" w:themeColor="text1"/>
                      <w:szCs w:val="21"/>
                      <w:highlight w:val="none"/>
                    </w:rPr>
                    <w:t>380</w:t>
                  </w:r>
                  <w:r>
                    <w:rPr>
                      <w:snapToGrid w:val="0"/>
                      <w:color w:val="000000" w:themeColor="text1"/>
                      <w:szCs w:val="21"/>
                      <w:highlight w:val="none"/>
                      <w:lang w:val="zh-CN"/>
                    </w:rPr>
                    <w:t>V。反风方式为反转反风，通风机设在线监测系统。</w:t>
                  </w:r>
                  <w:r>
                    <w:rPr>
                      <w:snapToGrid w:val="0"/>
                      <w:color w:val="000000" w:themeColor="text1"/>
                      <w:szCs w:val="21"/>
                      <w:highlight w:val="none"/>
                    </w:rPr>
                    <w:t>井口设有防爆盖、安全出口，出口通道设了2道联锁的正、反向风门。</w:t>
                  </w:r>
                </w:p>
              </w:tc>
              <w:tc>
                <w:tcPr>
                  <w:tcW w:w="273" w:type="pct"/>
                  <w:vAlign w:val="center"/>
                </w:tcPr>
                <w:p w14:paraId="0B66A94B">
                  <w:pPr>
                    <w:adjustRightInd w:val="0"/>
                    <w:snapToGrid w:val="0"/>
                    <w:rPr>
                      <w:color w:val="000000" w:themeColor="text1"/>
                      <w:szCs w:val="21"/>
                      <w:highlight w:val="none"/>
                    </w:rPr>
                  </w:pPr>
                  <w:r>
                    <w:rPr>
                      <w:color w:val="000000" w:themeColor="text1"/>
                      <w:szCs w:val="21"/>
                      <w:highlight w:val="none"/>
                    </w:rPr>
                    <w:t>新建</w:t>
                  </w:r>
                </w:p>
              </w:tc>
            </w:tr>
            <w:tr w14:paraId="10E23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72" w:type="pct"/>
                  <w:vMerge w:val="continue"/>
                  <w:vAlign w:val="center"/>
                </w:tcPr>
                <w:p w14:paraId="58382727">
                  <w:pPr>
                    <w:tabs>
                      <w:tab w:val="left" w:pos="1260"/>
                    </w:tabs>
                    <w:adjustRightInd w:val="0"/>
                    <w:snapToGrid w:val="0"/>
                    <w:jc w:val="center"/>
                    <w:rPr>
                      <w:color w:val="000000" w:themeColor="text1"/>
                      <w:szCs w:val="21"/>
                      <w:highlight w:val="none"/>
                    </w:rPr>
                  </w:pPr>
                </w:p>
              </w:tc>
              <w:tc>
                <w:tcPr>
                  <w:tcW w:w="493" w:type="pct"/>
                  <w:vAlign w:val="center"/>
                </w:tcPr>
                <w:p w14:paraId="654250E7">
                  <w:pPr>
                    <w:tabs>
                      <w:tab w:val="left" w:pos="1260"/>
                    </w:tabs>
                    <w:adjustRightInd w:val="0"/>
                    <w:snapToGrid w:val="0"/>
                    <w:jc w:val="center"/>
                    <w:rPr>
                      <w:color w:val="000000" w:themeColor="text1"/>
                      <w:szCs w:val="21"/>
                      <w:highlight w:val="none"/>
                    </w:rPr>
                  </w:pPr>
                  <w:r>
                    <w:rPr>
                      <w:snapToGrid w:val="0"/>
                      <w:color w:val="000000" w:themeColor="text1"/>
                      <w:szCs w:val="21"/>
                      <w:highlight w:val="none"/>
                    </w:rPr>
                    <w:t>电气集控中心</w:t>
                  </w:r>
                </w:p>
              </w:tc>
              <w:tc>
                <w:tcPr>
                  <w:tcW w:w="3961" w:type="pct"/>
                  <w:vAlign w:val="center"/>
                </w:tcPr>
                <w:p w14:paraId="26196FA4">
                  <w:pPr>
                    <w:pStyle w:val="54"/>
                    <w:spacing w:line="240" w:lineRule="auto"/>
                    <w:ind w:firstLine="0" w:firstLineChars="0"/>
                    <w:jc w:val="center"/>
                    <w:rPr>
                      <w:rFonts w:ascii="Times New Roman" w:hAnsi="Times New Roman" w:eastAsia="宋体" w:cs="Times New Roman"/>
                      <w:color w:val="000000" w:themeColor="text1"/>
                      <w:sz w:val="21"/>
                      <w:highlight w:val="none"/>
                    </w:rPr>
                  </w:pPr>
                  <w:r>
                    <w:rPr>
                      <w:rFonts w:hint="eastAsia" w:ascii="Times New Roman" w:hAnsi="Times New Roman" w:eastAsia="宋体" w:cs="Times New Roman"/>
                      <w:color w:val="000000" w:themeColor="text1"/>
                      <w:sz w:val="21"/>
                      <w:highlight w:val="none"/>
                    </w:rPr>
                    <w:t>依托煤矿现有集控中心。</w:t>
                  </w:r>
                </w:p>
              </w:tc>
              <w:tc>
                <w:tcPr>
                  <w:tcW w:w="273" w:type="pct"/>
                  <w:vAlign w:val="center"/>
                </w:tcPr>
                <w:p w14:paraId="5008A93C">
                  <w:pPr>
                    <w:adjustRightInd w:val="0"/>
                    <w:snapToGrid w:val="0"/>
                    <w:rPr>
                      <w:color w:val="000000" w:themeColor="text1"/>
                      <w:szCs w:val="21"/>
                      <w:highlight w:val="none"/>
                    </w:rPr>
                  </w:pPr>
                  <w:r>
                    <w:rPr>
                      <w:rFonts w:hint="eastAsia"/>
                      <w:color w:val="000000" w:themeColor="text1"/>
                      <w:szCs w:val="21"/>
                      <w:highlight w:val="none"/>
                    </w:rPr>
                    <w:t>依托</w:t>
                  </w:r>
                </w:p>
              </w:tc>
            </w:tr>
            <w:tr w14:paraId="405BA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72" w:type="pct"/>
                  <w:vMerge w:val="restart"/>
                  <w:vAlign w:val="center"/>
                </w:tcPr>
                <w:p w14:paraId="4E6E67C7">
                  <w:pPr>
                    <w:jc w:val="center"/>
                    <w:rPr>
                      <w:color w:val="000000" w:themeColor="text1"/>
                      <w:szCs w:val="21"/>
                      <w:highlight w:val="none"/>
                    </w:rPr>
                  </w:pPr>
                  <w:r>
                    <w:rPr>
                      <w:color w:val="000000" w:themeColor="text1"/>
                      <w:szCs w:val="21"/>
                      <w:highlight w:val="none"/>
                    </w:rPr>
                    <w:t>储运工程</w:t>
                  </w:r>
                </w:p>
              </w:tc>
              <w:tc>
                <w:tcPr>
                  <w:tcW w:w="493" w:type="pct"/>
                  <w:vAlign w:val="center"/>
                </w:tcPr>
                <w:p w14:paraId="4A737FA7">
                  <w:pPr>
                    <w:tabs>
                      <w:tab w:val="left" w:pos="1260"/>
                    </w:tabs>
                    <w:adjustRightInd w:val="0"/>
                    <w:snapToGrid w:val="0"/>
                    <w:jc w:val="center"/>
                    <w:rPr>
                      <w:color w:val="000000" w:themeColor="text1"/>
                      <w:szCs w:val="21"/>
                      <w:highlight w:val="none"/>
                    </w:rPr>
                  </w:pPr>
                  <w:r>
                    <w:rPr>
                      <w:color w:val="000000" w:themeColor="text1"/>
                      <w:szCs w:val="21"/>
                      <w:highlight w:val="none"/>
                    </w:rPr>
                    <w:t>场外道路</w:t>
                  </w:r>
                </w:p>
              </w:tc>
              <w:tc>
                <w:tcPr>
                  <w:tcW w:w="3961" w:type="pct"/>
                  <w:vAlign w:val="center"/>
                </w:tcPr>
                <w:p w14:paraId="01FAACC3">
                  <w:pPr>
                    <w:tabs>
                      <w:tab w:val="left" w:pos="1260"/>
                    </w:tabs>
                    <w:adjustRightInd w:val="0"/>
                    <w:snapToGrid w:val="0"/>
                    <w:jc w:val="center"/>
                    <w:rPr>
                      <w:color w:val="000000" w:themeColor="text1"/>
                      <w:szCs w:val="21"/>
                      <w:highlight w:val="none"/>
                    </w:rPr>
                  </w:pPr>
                  <w:r>
                    <w:rPr>
                      <w:rFonts w:hint="eastAsia"/>
                      <w:color w:val="000000" w:themeColor="text1"/>
                      <w:szCs w:val="21"/>
                      <w:highlight w:val="none"/>
                    </w:rPr>
                    <w:t>依托</w:t>
                  </w:r>
                  <w:r>
                    <w:rPr>
                      <w:rFonts w:hint="eastAsia"/>
                      <w:color w:val="000000" w:themeColor="text1"/>
                      <w:highlight w:val="none"/>
                    </w:rPr>
                    <w:t>煤矿</w:t>
                  </w:r>
                  <w:r>
                    <w:rPr>
                      <w:rFonts w:hint="eastAsia"/>
                      <w:color w:val="000000" w:themeColor="text1"/>
                      <w:highlight w:val="none"/>
                      <w:lang w:val="en-US" w:eastAsia="zh-CN"/>
                    </w:rPr>
                    <w:t>巡检</w:t>
                  </w:r>
                  <w:r>
                    <w:rPr>
                      <w:rFonts w:hint="eastAsia"/>
                      <w:color w:val="000000" w:themeColor="text1"/>
                      <w:highlight w:val="none"/>
                    </w:rPr>
                    <w:t>道路及乡村道路</w:t>
                  </w:r>
                  <w:r>
                    <w:rPr>
                      <w:rFonts w:hint="eastAsia"/>
                      <w:color w:val="000000" w:themeColor="text1"/>
                      <w:szCs w:val="21"/>
                      <w:highlight w:val="none"/>
                    </w:rPr>
                    <w:t>。</w:t>
                  </w:r>
                </w:p>
              </w:tc>
              <w:tc>
                <w:tcPr>
                  <w:tcW w:w="273" w:type="pct"/>
                  <w:vAlign w:val="center"/>
                </w:tcPr>
                <w:p w14:paraId="70194493">
                  <w:pPr>
                    <w:adjustRightInd w:val="0"/>
                    <w:snapToGrid w:val="0"/>
                    <w:rPr>
                      <w:color w:val="000000" w:themeColor="text1"/>
                      <w:szCs w:val="21"/>
                      <w:highlight w:val="none"/>
                    </w:rPr>
                  </w:pPr>
                  <w:r>
                    <w:rPr>
                      <w:rFonts w:hint="eastAsia"/>
                      <w:color w:val="000000" w:themeColor="text1"/>
                      <w:szCs w:val="21"/>
                      <w:highlight w:val="none"/>
                    </w:rPr>
                    <w:t>依托</w:t>
                  </w:r>
                </w:p>
              </w:tc>
            </w:tr>
            <w:tr w14:paraId="4453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72" w:type="pct"/>
                  <w:vMerge w:val="continue"/>
                  <w:vAlign w:val="center"/>
                </w:tcPr>
                <w:p w14:paraId="101C3C73">
                  <w:pPr>
                    <w:jc w:val="center"/>
                    <w:rPr>
                      <w:color w:val="000000" w:themeColor="text1"/>
                      <w:szCs w:val="21"/>
                      <w:highlight w:val="none"/>
                    </w:rPr>
                  </w:pPr>
                </w:p>
              </w:tc>
              <w:tc>
                <w:tcPr>
                  <w:tcW w:w="493" w:type="pct"/>
                  <w:vAlign w:val="center"/>
                </w:tcPr>
                <w:p w14:paraId="70299C4F">
                  <w:pPr>
                    <w:tabs>
                      <w:tab w:val="left" w:pos="1260"/>
                    </w:tabs>
                    <w:adjustRightInd w:val="0"/>
                    <w:snapToGrid w:val="0"/>
                    <w:jc w:val="center"/>
                    <w:rPr>
                      <w:color w:val="000000" w:themeColor="text1"/>
                      <w:szCs w:val="21"/>
                      <w:highlight w:val="none"/>
                    </w:rPr>
                  </w:pPr>
                  <w:r>
                    <w:rPr>
                      <w:color w:val="000000" w:themeColor="text1"/>
                      <w:szCs w:val="21"/>
                      <w:highlight w:val="none"/>
                    </w:rPr>
                    <w:t>场内道路</w:t>
                  </w:r>
                </w:p>
              </w:tc>
              <w:tc>
                <w:tcPr>
                  <w:tcW w:w="3961" w:type="pct"/>
                  <w:vAlign w:val="center"/>
                </w:tcPr>
                <w:p w14:paraId="60FC39BF">
                  <w:pPr>
                    <w:tabs>
                      <w:tab w:val="left" w:pos="1260"/>
                    </w:tabs>
                    <w:adjustRightInd w:val="0"/>
                    <w:snapToGrid w:val="0"/>
                    <w:ind w:firstLine="420" w:firstLineChars="200"/>
                    <w:rPr>
                      <w:color w:val="000000" w:themeColor="text1"/>
                      <w:szCs w:val="21"/>
                      <w:highlight w:val="none"/>
                    </w:rPr>
                  </w:pPr>
                  <w:r>
                    <w:rPr>
                      <w:snapToGrid w:val="0"/>
                      <w:color w:val="000000" w:themeColor="text1"/>
                      <w:szCs w:val="21"/>
                      <w:highlight w:val="none"/>
                    </w:rPr>
                    <w:t>施工期间风井工业场地内道路采用砂石路面，施工结束后改建为</w:t>
                  </w:r>
                  <w:r>
                    <w:rPr>
                      <w:rFonts w:hint="eastAsia"/>
                      <w:snapToGrid w:val="0"/>
                      <w:color w:val="000000" w:themeColor="text1"/>
                      <w:szCs w:val="21"/>
                      <w:highlight w:val="none"/>
                      <w:lang w:eastAsia="zh-CN"/>
                    </w:rPr>
                    <w:t>厂</w:t>
                  </w:r>
                  <w:r>
                    <w:rPr>
                      <w:rFonts w:hint="eastAsia"/>
                      <w:snapToGrid w:val="0"/>
                      <w:color w:val="000000" w:themeColor="text1"/>
                      <w:szCs w:val="21"/>
                      <w:highlight w:val="none"/>
                    </w:rPr>
                    <w:t>内</w:t>
                  </w:r>
                  <w:r>
                    <w:rPr>
                      <w:snapToGrid w:val="0"/>
                      <w:color w:val="000000" w:themeColor="text1"/>
                      <w:szCs w:val="21"/>
                      <w:highlight w:val="none"/>
                    </w:rPr>
                    <w:t>永久性道路</w:t>
                  </w:r>
                  <w:r>
                    <w:rPr>
                      <w:rFonts w:hint="eastAsia"/>
                      <w:snapToGrid w:val="0"/>
                      <w:color w:val="000000" w:themeColor="text1"/>
                      <w:szCs w:val="21"/>
                      <w:highlight w:val="none"/>
                    </w:rPr>
                    <w:t>，</w:t>
                  </w:r>
                  <w:r>
                    <w:rPr>
                      <w:snapToGrid w:val="0"/>
                      <w:color w:val="000000" w:themeColor="text1"/>
                      <w:szCs w:val="21"/>
                      <w:highlight w:val="none"/>
                    </w:rPr>
                    <w:t>宽度为4.0m，长度</w:t>
                  </w:r>
                  <w:r>
                    <w:rPr>
                      <w:rFonts w:hint="eastAsia"/>
                      <w:snapToGrid w:val="0"/>
                      <w:color w:val="000000" w:themeColor="text1"/>
                      <w:szCs w:val="21"/>
                      <w:highlight w:val="none"/>
                    </w:rPr>
                    <w:t>约200</w:t>
                  </w:r>
                  <w:r>
                    <w:rPr>
                      <w:snapToGrid w:val="0"/>
                      <w:color w:val="000000" w:themeColor="text1"/>
                      <w:szCs w:val="21"/>
                      <w:highlight w:val="none"/>
                    </w:rPr>
                    <w:t>m。</w:t>
                  </w:r>
                  <w:r>
                    <w:rPr>
                      <w:rFonts w:hint="eastAsia"/>
                      <w:color w:val="000000" w:themeColor="text1"/>
                      <w:szCs w:val="21"/>
                      <w:highlight w:val="none"/>
                    </w:rPr>
                    <w:t>道路采用15cm厚天然砂砾垫层，20cm厚水泥(5%)稳定碎石基层及20cm厚C25混凝土面层</w:t>
                  </w:r>
                  <w:r>
                    <w:rPr>
                      <w:snapToGrid w:val="0"/>
                      <w:color w:val="000000" w:themeColor="text1"/>
                      <w:szCs w:val="21"/>
                      <w:highlight w:val="none"/>
                    </w:rPr>
                    <w:t>。</w:t>
                  </w:r>
                </w:p>
              </w:tc>
              <w:tc>
                <w:tcPr>
                  <w:tcW w:w="273" w:type="pct"/>
                  <w:vAlign w:val="center"/>
                </w:tcPr>
                <w:p w14:paraId="43F7EB7C">
                  <w:pPr>
                    <w:adjustRightInd w:val="0"/>
                    <w:snapToGrid w:val="0"/>
                    <w:rPr>
                      <w:color w:val="000000" w:themeColor="text1"/>
                      <w:szCs w:val="21"/>
                      <w:highlight w:val="none"/>
                    </w:rPr>
                  </w:pPr>
                  <w:r>
                    <w:rPr>
                      <w:color w:val="000000" w:themeColor="text1"/>
                      <w:szCs w:val="21"/>
                      <w:highlight w:val="none"/>
                    </w:rPr>
                    <w:t>新建</w:t>
                  </w:r>
                </w:p>
              </w:tc>
            </w:tr>
            <w:tr w14:paraId="45A83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72" w:type="pct"/>
                  <w:vMerge w:val="restart"/>
                  <w:vAlign w:val="center"/>
                </w:tcPr>
                <w:p w14:paraId="535A5160">
                  <w:pPr>
                    <w:jc w:val="center"/>
                    <w:rPr>
                      <w:color w:val="000000" w:themeColor="text1"/>
                      <w:szCs w:val="21"/>
                      <w:highlight w:val="none"/>
                    </w:rPr>
                  </w:pPr>
                  <w:r>
                    <w:rPr>
                      <w:rFonts w:hint="eastAsia"/>
                      <w:color w:val="000000" w:themeColor="text1"/>
                      <w:szCs w:val="21"/>
                      <w:highlight w:val="none"/>
                    </w:rPr>
                    <w:t>临时工程</w:t>
                  </w:r>
                </w:p>
              </w:tc>
              <w:tc>
                <w:tcPr>
                  <w:tcW w:w="493" w:type="pct"/>
                  <w:vAlign w:val="center"/>
                </w:tcPr>
                <w:p w14:paraId="789131D9">
                  <w:pPr>
                    <w:tabs>
                      <w:tab w:val="left" w:pos="1260"/>
                    </w:tabs>
                    <w:adjustRightInd w:val="0"/>
                    <w:snapToGrid w:val="0"/>
                    <w:jc w:val="center"/>
                    <w:rPr>
                      <w:snapToGrid w:val="0"/>
                      <w:color w:val="000000" w:themeColor="text1"/>
                      <w:szCs w:val="21"/>
                      <w:highlight w:val="none"/>
                    </w:rPr>
                  </w:pPr>
                  <w:r>
                    <w:rPr>
                      <w:rFonts w:hint="eastAsia"/>
                      <w:snapToGrid w:val="0"/>
                      <w:color w:val="000000" w:themeColor="text1"/>
                      <w:szCs w:val="21"/>
                      <w:highlight w:val="none"/>
                    </w:rPr>
                    <w:t>施工生产区</w:t>
                  </w:r>
                </w:p>
              </w:tc>
              <w:tc>
                <w:tcPr>
                  <w:tcW w:w="3961" w:type="pct"/>
                  <w:vAlign w:val="center"/>
                </w:tcPr>
                <w:p w14:paraId="6AA3E6BF">
                  <w:pPr>
                    <w:tabs>
                      <w:tab w:val="left" w:pos="1260"/>
                    </w:tabs>
                    <w:adjustRightInd w:val="0"/>
                    <w:snapToGrid w:val="0"/>
                    <w:ind w:firstLine="420" w:firstLineChars="200"/>
                    <w:rPr>
                      <w:snapToGrid w:val="0"/>
                      <w:color w:val="000000" w:themeColor="text1"/>
                      <w:szCs w:val="21"/>
                      <w:highlight w:val="none"/>
                    </w:rPr>
                  </w:pPr>
                  <w:r>
                    <w:rPr>
                      <w:rFonts w:hint="eastAsia"/>
                      <w:snapToGrid w:val="0"/>
                      <w:color w:val="000000" w:themeColor="text1"/>
                      <w:szCs w:val="21"/>
                      <w:highlight w:val="none"/>
                    </w:rPr>
                    <w:t>施工生产区位于项目永久用地范围内，设有临时表土堆场、材料堆场等，总面积为0.10hm</w:t>
                  </w:r>
                  <w:r>
                    <w:rPr>
                      <w:rFonts w:hint="eastAsia"/>
                      <w:snapToGrid w:val="0"/>
                      <w:color w:val="000000" w:themeColor="text1"/>
                      <w:szCs w:val="21"/>
                      <w:highlight w:val="none"/>
                      <w:vertAlign w:val="superscript"/>
                    </w:rPr>
                    <w:t>2</w:t>
                  </w:r>
                  <w:r>
                    <w:rPr>
                      <w:rFonts w:hint="eastAsia"/>
                      <w:snapToGrid w:val="0"/>
                      <w:color w:val="000000" w:themeColor="text1"/>
                      <w:szCs w:val="21"/>
                      <w:highlight w:val="none"/>
                    </w:rPr>
                    <w:t>；施工生产区在施工结束后作为风井工业场地硬化绿化区。本项目外购商品混凝土及成品沥青，不设置混凝土和沥青拌合站。</w:t>
                  </w:r>
                </w:p>
              </w:tc>
              <w:tc>
                <w:tcPr>
                  <w:tcW w:w="273" w:type="pct"/>
                  <w:vAlign w:val="center"/>
                </w:tcPr>
                <w:p w14:paraId="39EED7E4">
                  <w:pPr>
                    <w:adjustRightInd w:val="0"/>
                    <w:snapToGrid w:val="0"/>
                    <w:rPr>
                      <w:color w:val="000000" w:themeColor="text1"/>
                      <w:szCs w:val="21"/>
                      <w:highlight w:val="none"/>
                    </w:rPr>
                  </w:pPr>
                  <w:r>
                    <w:rPr>
                      <w:rFonts w:hint="eastAsia"/>
                      <w:color w:val="000000" w:themeColor="text1"/>
                      <w:szCs w:val="21"/>
                      <w:highlight w:val="none"/>
                    </w:rPr>
                    <w:t>新建</w:t>
                  </w:r>
                </w:p>
              </w:tc>
            </w:tr>
            <w:tr w14:paraId="1F476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272" w:type="pct"/>
                  <w:vMerge w:val="continue"/>
                  <w:vAlign w:val="center"/>
                </w:tcPr>
                <w:p w14:paraId="298F2A63">
                  <w:pPr>
                    <w:jc w:val="center"/>
                    <w:rPr>
                      <w:color w:val="000000" w:themeColor="text1"/>
                      <w:szCs w:val="21"/>
                      <w:highlight w:val="none"/>
                    </w:rPr>
                  </w:pPr>
                </w:p>
              </w:tc>
              <w:tc>
                <w:tcPr>
                  <w:tcW w:w="493" w:type="pct"/>
                  <w:vAlign w:val="center"/>
                </w:tcPr>
                <w:p w14:paraId="1696D177">
                  <w:pPr>
                    <w:tabs>
                      <w:tab w:val="left" w:pos="1260"/>
                    </w:tabs>
                    <w:adjustRightInd w:val="0"/>
                    <w:snapToGrid w:val="0"/>
                    <w:jc w:val="center"/>
                    <w:rPr>
                      <w:snapToGrid w:val="0"/>
                      <w:color w:val="000000" w:themeColor="text1"/>
                      <w:szCs w:val="21"/>
                      <w:highlight w:val="none"/>
                    </w:rPr>
                  </w:pPr>
                  <w:r>
                    <w:rPr>
                      <w:rFonts w:hint="eastAsia"/>
                      <w:snapToGrid w:val="0"/>
                      <w:color w:val="000000" w:themeColor="text1"/>
                      <w:szCs w:val="21"/>
                      <w:highlight w:val="none"/>
                    </w:rPr>
                    <w:t>施工生活区</w:t>
                  </w:r>
                </w:p>
              </w:tc>
              <w:tc>
                <w:tcPr>
                  <w:tcW w:w="3961" w:type="pct"/>
                  <w:vAlign w:val="center"/>
                </w:tcPr>
                <w:p w14:paraId="0ED34B49">
                  <w:pPr>
                    <w:tabs>
                      <w:tab w:val="left" w:pos="1260"/>
                    </w:tabs>
                    <w:adjustRightInd w:val="0"/>
                    <w:snapToGrid w:val="0"/>
                    <w:jc w:val="center"/>
                    <w:rPr>
                      <w:snapToGrid w:val="0"/>
                      <w:color w:val="000000" w:themeColor="text1"/>
                      <w:szCs w:val="21"/>
                      <w:highlight w:val="none"/>
                    </w:rPr>
                  </w:pPr>
                  <w:r>
                    <w:rPr>
                      <w:rFonts w:hint="eastAsia"/>
                      <w:snapToGrid w:val="0"/>
                      <w:color w:val="000000" w:themeColor="text1"/>
                      <w:szCs w:val="21"/>
                      <w:highlight w:val="none"/>
                    </w:rPr>
                    <w:t>施工生活区依托煤矿工业场地办公生活区，不新增临时占地。</w:t>
                  </w:r>
                </w:p>
              </w:tc>
              <w:tc>
                <w:tcPr>
                  <w:tcW w:w="273" w:type="pct"/>
                  <w:vAlign w:val="center"/>
                </w:tcPr>
                <w:p w14:paraId="1F7F44EB">
                  <w:pPr>
                    <w:adjustRightInd w:val="0"/>
                    <w:snapToGrid w:val="0"/>
                    <w:rPr>
                      <w:color w:val="000000" w:themeColor="text1"/>
                      <w:szCs w:val="21"/>
                      <w:highlight w:val="none"/>
                    </w:rPr>
                  </w:pPr>
                  <w:r>
                    <w:rPr>
                      <w:rFonts w:hint="eastAsia"/>
                      <w:color w:val="000000" w:themeColor="text1"/>
                      <w:szCs w:val="21"/>
                      <w:highlight w:val="none"/>
                    </w:rPr>
                    <w:t>依托</w:t>
                  </w:r>
                </w:p>
              </w:tc>
            </w:tr>
            <w:tr w14:paraId="437D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272" w:type="pct"/>
                  <w:vMerge w:val="restart"/>
                  <w:vAlign w:val="center"/>
                </w:tcPr>
                <w:p w14:paraId="3FD135B6">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公用工程</w:t>
                  </w:r>
                </w:p>
              </w:tc>
              <w:tc>
                <w:tcPr>
                  <w:tcW w:w="493" w:type="pct"/>
                  <w:vAlign w:val="center"/>
                </w:tcPr>
                <w:p w14:paraId="0FD400D9">
                  <w:pPr>
                    <w:tabs>
                      <w:tab w:val="left" w:pos="1260"/>
                    </w:tabs>
                    <w:adjustRightInd w:val="0"/>
                    <w:snapToGrid w:val="0"/>
                    <w:jc w:val="center"/>
                    <w:rPr>
                      <w:color w:val="000000" w:themeColor="text1"/>
                      <w:szCs w:val="21"/>
                      <w:highlight w:val="none"/>
                    </w:rPr>
                  </w:pPr>
                  <w:r>
                    <w:rPr>
                      <w:color w:val="000000" w:themeColor="text1"/>
                      <w:szCs w:val="21"/>
                      <w:highlight w:val="none"/>
                    </w:rPr>
                    <w:t>供电工程</w:t>
                  </w:r>
                </w:p>
              </w:tc>
              <w:tc>
                <w:tcPr>
                  <w:tcW w:w="3961" w:type="pct"/>
                  <w:vAlign w:val="center"/>
                </w:tcPr>
                <w:p w14:paraId="7920993C">
                  <w:pPr>
                    <w:pStyle w:val="35"/>
                    <w:spacing w:line="240" w:lineRule="auto"/>
                    <w:ind w:firstLine="420"/>
                    <w:rPr>
                      <w:color w:val="000000" w:themeColor="text1"/>
                      <w:szCs w:val="21"/>
                      <w:highlight w:val="none"/>
                    </w:rPr>
                  </w:pPr>
                  <w:r>
                    <w:rPr>
                      <w:color w:val="000000" w:themeColor="text1"/>
                      <w:szCs w:val="21"/>
                      <w:highlight w:val="none"/>
                    </w:rPr>
                    <w:t>回风立井场地</w:t>
                  </w:r>
                  <w:r>
                    <w:rPr>
                      <w:rFonts w:hint="eastAsia"/>
                      <w:color w:val="000000" w:themeColor="text1"/>
                      <w:szCs w:val="21"/>
                      <w:highlight w:val="none"/>
                    </w:rPr>
                    <w:t>新建1座</w:t>
                  </w:r>
                  <w:r>
                    <w:rPr>
                      <w:color w:val="000000" w:themeColor="text1"/>
                      <w:szCs w:val="21"/>
                      <w:highlight w:val="none"/>
                    </w:rPr>
                    <w:t>10kV</w:t>
                  </w:r>
                  <w:r>
                    <w:rPr>
                      <w:rFonts w:hint="eastAsia"/>
                      <w:color w:val="000000" w:themeColor="text1"/>
                      <w:szCs w:val="21"/>
                      <w:highlight w:val="none"/>
                    </w:rPr>
                    <w:t>变电所，建筑面积155.8m</w:t>
                  </w:r>
                  <w:r>
                    <w:rPr>
                      <w:rFonts w:hint="eastAsia"/>
                      <w:color w:val="000000" w:themeColor="text1"/>
                      <w:szCs w:val="21"/>
                      <w:highlight w:val="none"/>
                      <w:vertAlign w:val="superscript"/>
                    </w:rPr>
                    <w:t>2</w:t>
                  </w:r>
                  <w:r>
                    <w:rPr>
                      <w:color w:val="000000" w:themeColor="text1"/>
                      <w:szCs w:val="21"/>
                      <w:highlight w:val="none"/>
                    </w:rPr>
                    <w:t>，变电所包括10kV配电室和10/0.4kV变配电室</w:t>
                  </w:r>
                  <w:r>
                    <w:rPr>
                      <w:rFonts w:hint="eastAsia"/>
                      <w:color w:val="000000" w:themeColor="text1"/>
                      <w:szCs w:val="21"/>
                      <w:highlight w:val="none"/>
                    </w:rPr>
                    <w:t>，10kV配电室设2台所用变柜SCB18-80kVA，10KV/0.4kV型变压器两台，正常运行时、一台工作、一台备用、室内布置；10/0.4kV变配电室室内安装SCBH17-500 10/0.4 500kVA 型变压器柜2台</w:t>
                  </w:r>
                  <w:r>
                    <w:rPr>
                      <w:color w:val="000000" w:themeColor="text1"/>
                      <w:szCs w:val="21"/>
                      <w:highlight w:val="none"/>
                    </w:rPr>
                    <w:t>。</w:t>
                  </w:r>
                </w:p>
              </w:tc>
              <w:tc>
                <w:tcPr>
                  <w:tcW w:w="273" w:type="pct"/>
                  <w:vAlign w:val="center"/>
                </w:tcPr>
                <w:p w14:paraId="2CE9648D">
                  <w:pPr>
                    <w:pStyle w:val="35"/>
                    <w:spacing w:line="240" w:lineRule="auto"/>
                    <w:ind w:firstLine="0" w:firstLineChars="0"/>
                    <w:rPr>
                      <w:color w:val="000000" w:themeColor="text1"/>
                      <w:szCs w:val="21"/>
                      <w:highlight w:val="none"/>
                    </w:rPr>
                  </w:pPr>
                  <w:r>
                    <w:rPr>
                      <w:color w:val="000000" w:themeColor="text1"/>
                      <w:szCs w:val="21"/>
                      <w:highlight w:val="none"/>
                    </w:rPr>
                    <w:t>新建</w:t>
                  </w:r>
                </w:p>
              </w:tc>
            </w:tr>
            <w:tr w14:paraId="4804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2" w:type="pct"/>
                  <w:vMerge w:val="continue"/>
                  <w:vAlign w:val="center"/>
                </w:tcPr>
                <w:p w14:paraId="074B19DA">
                  <w:pPr>
                    <w:pStyle w:val="16"/>
                    <w:tabs>
                      <w:tab w:val="left" w:pos="1260"/>
                    </w:tabs>
                    <w:adjustRightInd w:val="0"/>
                    <w:snapToGrid w:val="0"/>
                    <w:jc w:val="center"/>
                    <w:rPr>
                      <w:rFonts w:ascii="Times New Roman" w:hAnsi="Times New Roman" w:cs="Times New Roman"/>
                      <w:color w:val="000000" w:themeColor="text1"/>
                      <w:highlight w:val="none"/>
                    </w:rPr>
                  </w:pPr>
                </w:p>
              </w:tc>
              <w:tc>
                <w:tcPr>
                  <w:tcW w:w="493" w:type="pct"/>
                  <w:vAlign w:val="center"/>
                </w:tcPr>
                <w:p w14:paraId="3A9A0E50">
                  <w:pPr>
                    <w:tabs>
                      <w:tab w:val="left" w:pos="1260"/>
                    </w:tabs>
                    <w:adjustRightInd w:val="0"/>
                    <w:snapToGrid w:val="0"/>
                    <w:jc w:val="center"/>
                    <w:rPr>
                      <w:color w:val="000000" w:themeColor="text1"/>
                      <w:szCs w:val="21"/>
                      <w:highlight w:val="none"/>
                    </w:rPr>
                  </w:pPr>
                  <w:r>
                    <w:rPr>
                      <w:color w:val="000000" w:themeColor="text1"/>
                      <w:szCs w:val="21"/>
                      <w:highlight w:val="none"/>
                    </w:rPr>
                    <w:t>供水工程</w:t>
                  </w:r>
                </w:p>
              </w:tc>
              <w:tc>
                <w:tcPr>
                  <w:tcW w:w="3961" w:type="pct"/>
                  <w:vAlign w:val="center"/>
                </w:tcPr>
                <w:p w14:paraId="5852BA62">
                  <w:pPr>
                    <w:widowControl/>
                    <w:ind w:firstLine="420" w:firstLineChars="200"/>
                    <w:rPr>
                      <w:color w:val="000000" w:themeColor="text1"/>
                      <w:szCs w:val="21"/>
                      <w:highlight w:val="none"/>
                    </w:rPr>
                  </w:pPr>
                  <w:r>
                    <w:rPr>
                      <w:color w:val="000000" w:themeColor="text1"/>
                      <w:szCs w:val="21"/>
                      <w:highlight w:val="none"/>
                    </w:rPr>
                    <w:t>生活</w:t>
                  </w:r>
                  <w:r>
                    <w:rPr>
                      <w:rFonts w:hint="eastAsia"/>
                      <w:color w:val="000000" w:themeColor="text1"/>
                      <w:szCs w:val="21"/>
                      <w:highlight w:val="none"/>
                    </w:rPr>
                    <w:t>用水取依托富民煤矿，不新增生活用水</w:t>
                  </w:r>
                  <w:r>
                    <w:rPr>
                      <w:color w:val="000000" w:themeColor="text1"/>
                      <w:szCs w:val="21"/>
                      <w:highlight w:val="none"/>
                    </w:rPr>
                    <w:t>；生产给水采用</w:t>
                  </w:r>
                  <w:r>
                    <w:rPr>
                      <w:rFonts w:hint="eastAsia"/>
                      <w:color w:val="000000" w:themeColor="text1"/>
                      <w:szCs w:val="21"/>
                      <w:highlight w:val="none"/>
                    </w:rPr>
                    <w:t>富民</w:t>
                  </w:r>
                  <w:r>
                    <w:rPr>
                      <w:color w:val="000000" w:themeColor="text1"/>
                      <w:szCs w:val="21"/>
                      <w:highlight w:val="none"/>
                    </w:rPr>
                    <w:t>工业场地</w:t>
                  </w:r>
                  <w:r>
                    <w:rPr>
                      <w:rFonts w:hint="eastAsia"/>
                      <w:color w:val="000000" w:themeColor="text1"/>
                      <w:szCs w:val="21"/>
                      <w:highlight w:val="none"/>
                    </w:rPr>
                    <w:t>矿井</w:t>
                  </w:r>
                  <w:r>
                    <w:rPr>
                      <w:color w:val="000000" w:themeColor="text1"/>
                      <w:szCs w:val="21"/>
                      <w:highlight w:val="none"/>
                    </w:rPr>
                    <w:t>水处理站处理后</w:t>
                  </w:r>
                  <w:r>
                    <w:rPr>
                      <w:rFonts w:hint="eastAsia"/>
                      <w:color w:val="000000" w:themeColor="text1"/>
                      <w:szCs w:val="21"/>
                      <w:highlight w:val="none"/>
                    </w:rPr>
                    <w:t>产出中</w:t>
                  </w:r>
                  <w:r>
                    <w:rPr>
                      <w:color w:val="000000" w:themeColor="text1"/>
                      <w:szCs w:val="21"/>
                      <w:highlight w:val="none"/>
                    </w:rPr>
                    <w:t>水，</w:t>
                  </w:r>
                  <w:r>
                    <w:rPr>
                      <w:rFonts w:hint="eastAsia"/>
                      <w:color w:val="000000" w:themeColor="text1"/>
                      <w:szCs w:val="21"/>
                      <w:highlight w:val="none"/>
                    </w:rPr>
                    <w:t>由</w:t>
                  </w:r>
                  <w:r>
                    <w:rPr>
                      <w:color w:val="000000" w:themeColor="text1"/>
                      <w:szCs w:val="21"/>
                      <w:highlight w:val="none"/>
                    </w:rPr>
                    <w:t>水车从煤矿工业场地拉水。</w:t>
                  </w:r>
                </w:p>
              </w:tc>
              <w:tc>
                <w:tcPr>
                  <w:tcW w:w="273" w:type="pct"/>
                  <w:vAlign w:val="center"/>
                </w:tcPr>
                <w:p w14:paraId="54D1FFAA">
                  <w:pPr>
                    <w:tabs>
                      <w:tab w:val="left" w:pos="1260"/>
                    </w:tabs>
                    <w:adjustRightInd w:val="0"/>
                    <w:snapToGrid w:val="0"/>
                    <w:rPr>
                      <w:color w:val="000000" w:themeColor="text1"/>
                      <w:szCs w:val="21"/>
                      <w:highlight w:val="none"/>
                    </w:rPr>
                  </w:pPr>
                  <w:r>
                    <w:rPr>
                      <w:rFonts w:hint="eastAsia"/>
                      <w:color w:val="000000" w:themeColor="text1"/>
                      <w:szCs w:val="21"/>
                      <w:highlight w:val="none"/>
                    </w:rPr>
                    <w:t>依托</w:t>
                  </w:r>
                </w:p>
              </w:tc>
            </w:tr>
            <w:tr w14:paraId="00D1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272" w:type="pct"/>
                  <w:vMerge w:val="continue"/>
                  <w:vAlign w:val="center"/>
                </w:tcPr>
                <w:p w14:paraId="731D605F">
                  <w:pPr>
                    <w:pStyle w:val="16"/>
                    <w:tabs>
                      <w:tab w:val="left" w:pos="1260"/>
                    </w:tabs>
                    <w:adjustRightInd w:val="0"/>
                    <w:snapToGrid w:val="0"/>
                    <w:jc w:val="center"/>
                    <w:rPr>
                      <w:rFonts w:ascii="Times New Roman" w:hAnsi="Times New Roman" w:cs="Times New Roman"/>
                      <w:color w:val="000000" w:themeColor="text1"/>
                      <w:highlight w:val="none"/>
                    </w:rPr>
                  </w:pPr>
                </w:p>
              </w:tc>
              <w:tc>
                <w:tcPr>
                  <w:tcW w:w="493" w:type="pct"/>
                  <w:vAlign w:val="center"/>
                </w:tcPr>
                <w:p w14:paraId="6B56A7F6">
                  <w:pPr>
                    <w:tabs>
                      <w:tab w:val="left" w:pos="1260"/>
                    </w:tabs>
                    <w:adjustRightInd w:val="0"/>
                    <w:snapToGrid w:val="0"/>
                    <w:jc w:val="center"/>
                    <w:rPr>
                      <w:color w:val="000000" w:themeColor="text1"/>
                      <w:szCs w:val="21"/>
                      <w:highlight w:val="none"/>
                    </w:rPr>
                  </w:pPr>
                  <w:r>
                    <w:rPr>
                      <w:color w:val="000000" w:themeColor="text1"/>
                      <w:szCs w:val="21"/>
                      <w:highlight w:val="none"/>
                    </w:rPr>
                    <w:t>供暖</w:t>
                  </w:r>
                </w:p>
              </w:tc>
              <w:tc>
                <w:tcPr>
                  <w:tcW w:w="3961" w:type="pct"/>
                  <w:vAlign w:val="center"/>
                </w:tcPr>
                <w:p w14:paraId="3621BAE1">
                  <w:pPr>
                    <w:widowControl/>
                    <w:jc w:val="center"/>
                    <w:rPr>
                      <w:color w:val="000000" w:themeColor="text1"/>
                      <w:szCs w:val="21"/>
                      <w:highlight w:val="none"/>
                    </w:rPr>
                  </w:pPr>
                  <w:r>
                    <w:rPr>
                      <w:rFonts w:hint="eastAsia"/>
                      <w:color w:val="000000" w:themeColor="text1"/>
                      <w:szCs w:val="21"/>
                      <w:highlight w:val="none"/>
                    </w:rPr>
                    <w:t>项目区无人值守，无需供暖</w:t>
                  </w:r>
                  <w:r>
                    <w:rPr>
                      <w:color w:val="000000" w:themeColor="text1"/>
                      <w:szCs w:val="21"/>
                      <w:highlight w:val="none"/>
                    </w:rPr>
                    <w:t>。</w:t>
                  </w:r>
                </w:p>
              </w:tc>
              <w:tc>
                <w:tcPr>
                  <w:tcW w:w="273" w:type="pct"/>
                  <w:vAlign w:val="center"/>
                </w:tcPr>
                <w:p w14:paraId="33577606">
                  <w:pPr>
                    <w:tabs>
                      <w:tab w:val="left" w:pos="1260"/>
                    </w:tabs>
                    <w:adjustRightInd w:val="0"/>
                    <w:snapToGrid w:val="0"/>
                    <w:rPr>
                      <w:color w:val="000000" w:themeColor="text1"/>
                      <w:szCs w:val="21"/>
                      <w:highlight w:val="none"/>
                    </w:rPr>
                  </w:pPr>
                  <w:r>
                    <w:rPr>
                      <w:color w:val="000000" w:themeColor="text1"/>
                      <w:szCs w:val="21"/>
                      <w:highlight w:val="none"/>
                    </w:rPr>
                    <w:t>新建</w:t>
                  </w:r>
                </w:p>
              </w:tc>
            </w:tr>
            <w:tr w14:paraId="3FED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272" w:type="pct"/>
                  <w:vMerge w:val="restart"/>
                  <w:vAlign w:val="center"/>
                </w:tcPr>
                <w:p w14:paraId="49DB58A0">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环保</w:t>
                  </w:r>
                </w:p>
                <w:p w14:paraId="241EC0F9">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工程</w:t>
                  </w:r>
                </w:p>
              </w:tc>
              <w:tc>
                <w:tcPr>
                  <w:tcW w:w="493" w:type="pct"/>
                  <w:vAlign w:val="center"/>
                </w:tcPr>
                <w:p w14:paraId="33391943">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废气</w:t>
                  </w:r>
                </w:p>
              </w:tc>
              <w:tc>
                <w:tcPr>
                  <w:tcW w:w="3961" w:type="pct"/>
                  <w:vAlign w:val="center"/>
                </w:tcPr>
                <w:p w14:paraId="48D79D2E">
                  <w:pPr>
                    <w:adjustRightInd w:val="0"/>
                    <w:snapToGrid w:val="0"/>
                    <w:rPr>
                      <w:color w:val="000000" w:themeColor="text1"/>
                      <w:szCs w:val="21"/>
                      <w:highlight w:val="none"/>
                    </w:rPr>
                  </w:pPr>
                  <w:r>
                    <w:rPr>
                      <w:rFonts w:hint="eastAsia"/>
                      <w:color w:val="000000" w:themeColor="text1"/>
                      <w:szCs w:val="21"/>
                      <w:highlight w:val="none"/>
                    </w:rPr>
                    <w:t>施工期道路运输产生的扬尘，采取道路洒水等抑尘措施；运营期通风过程中带出的少量粉尘</w:t>
                  </w:r>
                  <w:r>
                    <w:rPr>
                      <w:color w:val="000000" w:themeColor="text1"/>
                      <w:szCs w:val="21"/>
                      <w:highlight w:val="none"/>
                    </w:rPr>
                    <w:t>，</w:t>
                  </w:r>
                  <w:r>
                    <w:rPr>
                      <w:rFonts w:hint="eastAsia"/>
                      <w:color w:val="000000" w:themeColor="text1"/>
                      <w:szCs w:val="21"/>
                      <w:highlight w:val="none"/>
                    </w:rPr>
                    <w:t>通过项目区采取</w:t>
                  </w:r>
                  <w:r>
                    <w:rPr>
                      <w:color w:val="000000" w:themeColor="text1"/>
                      <w:szCs w:val="21"/>
                      <w:highlight w:val="none"/>
                    </w:rPr>
                    <w:t>洒水抑尘，道路两旁进行绿化</w:t>
                  </w:r>
                  <w:r>
                    <w:rPr>
                      <w:rFonts w:hint="eastAsia"/>
                      <w:color w:val="000000" w:themeColor="text1"/>
                      <w:szCs w:val="21"/>
                      <w:highlight w:val="none"/>
                    </w:rPr>
                    <w:t>的措施</w:t>
                  </w:r>
                  <w:r>
                    <w:rPr>
                      <w:color w:val="000000" w:themeColor="text1"/>
                      <w:szCs w:val="21"/>
                      <w:highlight w:val="none"/>
                    </w:rPr>
                    <w:t>。</w:t>
                  </w:r>
                </w:p>
              </w:tc>
              <w:tc>
                <w:tcPr>
                  <w:tcW w:w="273" w:type="pct"/>
                  <w:vAlign w:val="center"/>
                </w:tcPr>
                <w:p w14:paraId="2C698DB4">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w:t>
                  </w:r>
                </w:p>
              </w:tc>
            </w:tr>
            <w:tr w14:paraId="7DDB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272" w:type="pct"/>
                  <w:vMerge w:val="continue"/>
                  <w:vAlign w:val="center"/>
                </w:tcPr>
                <w:p w14:paraId="76C31A67">
                  <w:pPr>
                    <w:pStyle w:val="16"/>
                    <w:tabs>
                      <w:tab w:val="left" w:pos="1260"/>
                    </w:tabs>
                    <w:adjustRightInd w:val="0"/>
                    <w:snapToGrid w:val="0"/>
                    <w:jc w:val="center"/>
                    <w:rPr>
                      <w:rFonts w:ascii="Times New Roman" w:hAnsi="Times New Roman" w:cs="Times New Roman"/>
                      <w:color w:val="000000" w:themeColor="text1"/>
                      <w:highlight w:val="none"/>
                    </w:rPr>
                  </w:pPr>
                </w:p>
              </w:tc>
              <w:tc>
                <w:tcPr>
                  <w:tcW w:w="493" w:type="pct"/>
                  <w:vAlign w:val="center"/>
                </w:tcPr>
                <w:p w14:paraId="7D88AB14">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废水</w:t>
                  </w:r>
                </w:p>
              </w:tc>
              <w:tc>
                <w:tcPr>
                  <w:tcW w:w="3961" w:type="pct"/>
                  <w:vAlign w:val="center"/>
                </w:tcPr>
                <w:p w14:paraId="37F25777">
                  <w:pPr>
                    <w:adjustRightInd w:val="0"/>
                    <w:snapToGrid w:val="0"/>
                    <w:jc w:val="center"/>
                    <w:rPr>
                      <w:color w:val="000000" w:themeColor="text1"/>
                      <w:szCs w:val="21"/>
                      <w:highlight w:val="none"/>
                    </w:rPr>
                  </w:pPr>
                  <w:r>
                    <w:rPr>
                      <w:rFonts w:hint="eastAsia"/>
                      <w:color w:val="000000" w:themeColor="text1"/>
                      <w:szCs w:val="21"/>
                      <w:highlight w:val="none"/>
                    </w:rPr>
                    <w:t>施工期施工人员生活区污水依托煤矿工业场地办公生活区，掘进过程中产生的掘进废水定期收集后，拉运至煤矿工业场地矿井水处理站处理；</w:t>
                  </w:r>
                  <w:r>
                    <w:rPr>
                      <w:color w:val="000000" w:themeColor="text1"/>
                      <w:szCs w:val="21"/>
                      <w:highlight w:val="none"/>
                    </w:rPr>
                    <w:t>本项目</w:t>
                  </w:r>
                  <w:r>
                    <w:rPr>
                      <w:rFonts w:hint="eastAsia"/>
                      <w:color w:val="000000" w:themeColor="text1"/>
                      <w:szCs w:val="21"/>
                      <w:highlight w:val="none"/>
                    </w:rPr>
                    <w:t>运营期</w:t>
                  </w:r>
                  <w:r>
                    <w:rPr>
                      <w:color w:val="000000" w:themeColor="text1"/>
                      <w:szCs w:val="21"/>
                      <w:highlight w:val="none"/>
                    </w:rPr>
                    <w:t>不新增生活污水</w:t>
                  </w:r>
                  <w:r>
                    <w:rPr>
                      <w:rFonts w:hint="eastAsia"/>
                      <w:color w:val="000000" w:themeColor="text1"/>
                      <w:szCs w:val="21"/>
                      <w:highlight w:val="none"/>
                    </w:rPr>
                    <w:t>及生产废水</w:t>
                  </w:r>
                  <w:r>
                    <w:rPr>
                      <w:color w:val="000000" w:themeColor="text1"/>
                      <w:szCs w:val="21"/>
                      <w:highlight w:val="none"/>
                    </w:rPr>
                    <w:t>。</w:t>
                  </w:r>
                </w:p>
              </w:tc>
              <w:tc>
                <w:tcPr>
                  <w:tcW w:w="273" w:type="pct"/>
                  <w:vAlign w:val="center"/>
                </w:tcPr>
                <w:p w14:paraId="14940A82">
                  <w:pPr>
                    <w:adjustRightInd w:val="0"/>
                    <w:snapToGrid w:val="0"/>
                    <w:jc w:val="center"/>
                    <w:rPr>
                      <w:color w:val="000000" w:themeColor="text1"/>
                      <w:szCs w:val="21"/>
                      <w:highlight w:val="none"/>
                    </w:rPr>
                  </w:pPr>
                  <w:r>
                    <w:rPr>
                      <w:color w:val="000000" w:themeColor="text1"/>
                      <w:szCs w:val="21"/>
                      <w:highlight w:val="none"/>
                    </w:rPr>
                    <w:t>/</w:t>
                  </w:r>
                </w:p>
              </w:tc>
            </w:tr>
            <w:tr w14:paraId="15AB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72" w:type="pct"/>
                  <w:vMerge w:val="continue"/>
                  <w:vAlign w:val="center"/>
                </w:tcPr>
                <w:p w14:paraId="456F1129">
                  <w:pPr>
                    <w:pStyle w:val="16"/>
                    <w:tabs>
                      <w:tab w:val="left" w:pos="1260"/>
                    </w:tabs>
                    <w:adjustRightInd w:val="0"/>
                    <w:snapToGrid w:val="0"/>
                    <w:jc w:val="center"/>
                    <w:rPr>
                      <w:rFonts w:ascii="Times New Roman" w:hAnsi="Times New Roman" w:cs="Times New Roman"/>
                      <w:color w:val="000000" w:themeColor="text1"/>
                      <w:highlight w:val="none"/>
                    </w:rPr>
                  </w:pPr>
                </w:p>
              </w:tc>
              <w:tc>
                <w:tcPr>
                  <w:tcW w:w="493" w:type="pct"/>
                  <w:vAlign w:val="center"/>
                </w:tcPr>
                <w:p w14:paraId="05E295A4">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噪声</w:t>
                  </w:r>
                </w:p>
              </w:tc>
              <w:tc>
                <w:tcPr>
                  <w:tcW w:w="3961" w:type="pct"/>
                  <w:vAlign w:val="center"/>
                </w:tcPr>
                <w:p w14:paraId="0264E20B">
                  <w:pPr>
                    <w:rPr>
                      <w:color w:val="000000" w:themeColor="text1"/>
                      <w:szCs w:val="21"/>
                      <w:highlight w:val="none"/>
                    </w:rPr>
                  </w:pPr>
                  <w:r>
                    <w:rPr>
                      <w:rFonts w:hint="eastAsia"/>
                      <w:color w:val="000000" w:themeColor="text1"/>
                      <w:szCs w:val="21"/>
                      <w:highlight w:val="none"/>
                    </w:rPr>
                    <w:t>本项目施工过程中产生的施工噪声经选用低噪声施工机械，合理安排施工时间等措施后对周边环境影响较小；运营期</w:t>
                  </w:r>
                  <w:r>
                    <w:rPr>
                      <w:color w:val="000000" w:themeColor="text1"/>
                      <w:szCs w:val="21"/>
                      <w:highlight w:val="none"/>
                    </w:rPr>
                    <w:t>选用低噪声设备，风机</w:t>
                  </w:r>
                  <w:r>
                    <w:rPr>
                      <w:rFonts w:hint="eastAsia"/>
                      <w:color w:val="000000" w:themeColor="text1"/>
                      <w:szCs w:val="21"/>
                      <w:highlight w:val="none"/>
                    </w:rPr>
                    <w:t>等设备</w:t>
                  </w:r>
                  <w:r>
                    <w:rPr>
                      <w:color w:val="000000" w:themeColor="text1"/>
                      <w:szCs w:val="21"/>
                      <w:highlight w:val="none"/>
                    </w:rPr>
                    <w:t>进、出气口安装消声器，设置隔声罩</w:t>
                  </w:r>
                  <w:r>
                    <w:rPr>
                      <w:rFonts w:hint="eastAsia"/>
                      <w:color w:val="000000" w:themeColor="text1"/>
                      <w:szCs w:val="21"/>
                      <w:highlight w:val="none"/>
                    </w:rPr>
                    <w:t>，</w:t>
                  </w:r>
                  <w:r>
                    <w:rPr>
                      <w:color w:val="000000" w:themeColor="text1"/>
                      <w:szCs w:val="21"/>
                      <w:highlight w:val="none"/>
                    </w:rPr>
                    <w:t>并设置减振基础。道路两旁进行绿化、加强路面管理。加强进入本项目区车辆的运输管理，</w:t>
                  </w:r>
                  <w:r>
                    <w:rPr>
                      <w:rFonts w:hint="eastAsia"/>
                      <w:color w:val="000000" w:themeColor="text1"/>
                      <w:szCs w:val="21"/>
                      <w:highlight w:val="none"/>
                    </w:rPr>
                    <w:t>车辆</w:t>
                  </w:r>
                  <w:r>
                    <w:rPr>
                      <w:color w:val="000000" w:themeColor="text1"/>
                      <w:szCs w:val="21"/>
                      <w:highlight w:val="none"/>
                    </w:rPr>
                    <w:t>限速，禁止鸣笛</w:t>
                  </w:r>
                  <w:r>
                    <w:rPr>
                      <w:rFonts w:hint="eastAsia"/>
                      <w:color w:val="000000" w:themeColor="text1"/>
                      <w:szCs w:val="21"/>
                      <w:highlight w:val="none"/>
                    </w:rPr>
                    <w:t>。</w:t>
                  </w:r>
                </w:p>
              </w:tc>
              <w:tc>
                <w:tcPr>
                  <w:tcW w:w="273" w:type="pct"/>
                  <w:vAlign w:val="center"/>
                </w:tcPr>
                <w:p w14:paraId="0445611C">
                  <w:pPr>
                    <w:adjustRightInd w:val="0"/>
                    <w:snapToGrid w:val="0"/>
                    <w:jc w:val="center"/>
                    <w:rPr>
                      <w:color w:val="000000" w:themeColor="text1"/>
                      <w:szCs w:val="21"/>
                      <w:highlight w:val="none"/>
                    </w:rPr>
                  </w:pPr>
                  <w:r>
                    <w:rPr>
                      <w:color w:val="000000" w:themeColor="text1"/>
                      <w:szCs w:val="21"/>
                      <w:highlight w:val="none"/>
                    </w:rPr>
                    <w:t>/</w:t>
                  </w:r>
                </w:p>
              </w:tc>
            </w:tr>
            <w:tr w14:paraId="2019F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72" w:type="pct"/>
                  <w:vMerge w:val="continue"/>
                  <w:vAlign w:val="center"/>
                </w:tcPr>
                <w:p w14:paraId="2F83F61A">
                  <w:pPr>
                    <w:pStyle w:val="16"/>
                    <w:tabs>
                      <w:tab w:val="left" w:pos="1260"/>
                    </w:tabs>
                    <w:adjustRightInd w:val="0"/>
                    <w:snapToGrid w:val="0"/>
                    <w:jc w:val="center"/>
                    <w:rPr>
                      <w:rFonts w:ascii="Times New Roman" w:hAnsi="Times New Roman" w:cs="Times New Roman"/>
                      <w:color w:val="000000" w:themeColor="text1"/>
                      <w:highlight w:val="none"/>
                    </w:rPr>
                  </w:pPr>
                </w:p>
              </w:tc>
              <w:tc>
                <w:tcPr>
                  <w:tcW w:w="493" w:type="pct"/>
                  <w:vAlign w:val="center"/>
                </w:tcPr>
                <w:p w14:paraId="623F1809">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固废</w:t>
                  </w:r>
                </w:p>
              </w:tc>
              <w:tc>
                <w:tcPr>
                  <w:tcW w:w="3961" w:type="pct"/>
                  <w:vAlign w:val="center"/>
                </w:tcPr>
                <w:p w14:paraId="380EAD7E">
                  <w:pPr>
                    <w:rPr>
                      <w:color w:val="000000" w:themeColor="text1"/>
                      <w:szCs w:val="21"/>
                      <w:highlight w:val="none"/>
                    </w:rPr>
                  </w:pPr>
                  <w:r>
                    <w:rPr>
                      <w:color w:val="000000" w:themeColor="text1"/>
                      <w:szCs w:val="21"/>
                      <w:highlight w:val="none"/>
                    </w:rPr>
                    <w:t>施工过</w:t>
                  </w:r>
                  <w:r>
                    <w:rPr>
                      <w:rFonts w:hint="eastAsia"/>
                      <w:color w:val="000000" w:themeColor="text1"/>
                      <w:szCs w:val="21"/>
                      <w:highlight w:val="none"/>
                      <w:lang w:eastAsia="zh-CN"/>
                    </w:rPr>
                    <w:t>程中</w:t>
                  </w:r>
                  <w:r>
                    <w:rPr>
                      <w:color w:val="000000" w:themeColor="text1"/>
                      <w:szCs w:val="21"/>
                      <w:highlight w:val="none"/>
                    </w:rPr>
                    <w:t>产生的废土石拉运至公沟煤矿外排土场，生活垃圾</w:t>
                  </w:r>
                  <w:r>
                    <w:rPr>
                      <w:rFonts w:hint="eastAsia"/>
                      <w:color w:val="000000" w:themeColor="text1"/>
                      <w:szCs w:val="21"/>
                      <w:highlight w:val="none"/>
                    </w:rPr>
                    <w:t>依托煤矿工业场地办公生活区现有</w:t>
                  </w:r>
                  <w:r>
                    <w:rPr>
                      <w:color w:val="000000" w:themeColor="text1"/>
                      <w:szCs w:val="21"/>
                      <w:highlight w:val="none"/>
                    </w:rPr>
                    <w:t>垃圾桶</w:t>
                  </w:r>
                  <w:r>
                    <w:rPr>
                      <w:rFonts w:hint="eastAsia"/>
                      <w:color w:val="000000" w:themeColor="text1"/>
                      <w:szCs w:val="21"/>
                      <w:highlight w:val="none"/>
                    </w:rPr>
                    <w:t>；</w:t>
                  </w:r>
                  <w:r>
                    <w:rPr>
                      <w:color w:val="000000" w:themeColor="text1"/>
                      <w:szCs w:val="21"/>
                      <w:highlight w:val="none"/>
                    </w:rPr>
                    <w:t>本项目</w:t>
                  </w:r>
                  <w:r>
                    <w:rPr>
                      <w:rFonts w:hint="eastAsia"/>
                      <w:color w:val="000000" w:themeColor="text1"/>
                      <w:szCs w:val="21"/>
                      <w:highlight w:val="none"/>
                    </w:rPr>
                    <w:t>运营期</w:t>
                  </w:r>
                  <w:r>
                    <w:rPr>
                      <w:color w:val="000000" w:themeColor="text1"/>
                      <w:szCs w:val="21"/>
                      <w:highlight w:val="none"/>
                    </w:rPr>
                    <w:t>无新增生活垃圾。</w:t>
                  </w:r>
                  <w:r>
                    <w:rPr>
                      <w:rFonts w:hint="eastAsia"/>
                      <w:color w:val="000000" w:themeColor="text1"/>
                      <w:szCs w:val="21"/>
                      <w:highlight w:val="none"/>
                    </w:rPr>
                    <w:t>运营期设备维修产生的废机油暂存于煤矿现有危废库内，定期交由有资质单位处置。</w:t>
                  </w:r>
                </w:p>
              </w:tc>
              <w:tc>
                <w:tcPr>
                  <w:tcW w:w="273" w:type="pct"/>
                  <w:vAlign w:val="center"/>
                </w:tcPr>
                <w:p w14:paraId="7361E37B">
                  <w:pPr>
                    <w:adjustRightInd w:val="0"/>
                    <w:snapToGrid w:val="0"/>
                    <w:rPr>
                      <w:color w:val="000000" w:themeColor="text1"/>
                      <w:szCs w:val="21"/>
                      <w:highlight w:val="none"/>
                    </w:rPr>
                  </w:pPr>
                  <w:r>
                    <w:rPr>
                      <w:rFonts w:hint="eastAsia"/>
                      <w:color w:val="000000" w:themeColor="text1"/>
                      <w:szCs w:val="21"/>
                      <w:highlight w:val="none"/>
                    </w:rPr>
                    <w:t>依托</w:t>
                  </w:r>
                </w:p>
              </w:tc>
            </w:tr>
            <w:tr w14:paraId="196AF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72" w:type="pct"/>
                  <w:vMerge w:val="continue"/>
                  <w:vAlign w:val="center"/>
                </w:tcPr>
                <w:p w14:paraId="31DB8ED1">
                  <w:pPr>
                    <w:pStyle w:val="16"/>
                    <w:tabs>
                      <w:tab w:val="left" w:pos="1260"/>
                    </w:tabs>
                    <w:adjustRightInd w:val="0"/>
                    <w:snapToGrid w:val="0"/>
                    <w:jc w:val="center"/>
                    <w:rPr>
                      <w:rFonts w:ascii="Times New Roman" w:hAnsi="Times New Roman" w:cs="Times New Roman"/>
                      <w:color w:val="000000" w:themeColor="text1"/>
                      <w:highlight w:val="none"/>
                    </w:rPr>
                  </w:pPr>
                </w:p>
              </w:tc>
              <w:tc>
                <w:tcPr>
                  <w:tcW w:w="493" w:type="pct"/>
                  <w:vAlign w:val="center"/>
                </w:tcPr>
                <w:p w14:paraId="03D19775">
                  <w:pPr>
                    <w:pStyle w:val="16"/>
                    <w:tabs>
                      <w:tab w:val="left" w:pos="1260"/>
                    </w:tabs>
                    <w:adjustRightInd w:val="0"/>
                    <w:snapToGrid w:val="0"/>
                    <w:jc w:val="center"/>
                    <w:rPr>
                      <w:rFonts w:ascii="Times New Roman" w:hAnsi="Times New Roman" w:cs="Times New Roman"/>
                      <w:color w:val="000000" w:themeColor="text1"/>
                      <w:highlight w:val="none"/>
                    </w:rPr>
                  </w:pPr>
                  <w:r>
                    <w:rPr>
                      <w:rFonts w:ascii="Times New Roman" w:hAnsi="Times New Roman" w:cs="Times New Roman"/>
                      <w:color w:val="000000" w:themeColor="text1"/>
                      <w:highlight w:val="none"/>
                    </w:rPr>
                    <w:t>生态环境</w:t>
                  </w:r>
                </w:p>
              </w:tc>
              <w:tc>
                <w:tcPr>
                  <w:tcW w:w="3961" w:type="pct"/>
                  <w:vAlign w:val="center"/>
                </w:tcPr>
                <w:p w14:paraId="4420812B">
                  <w:pPr>
                    <w:pStyle w:val="16"/>
                    <w:tabs>
                      <w:tab w:val="left" w:pos="1260"/>
                    </w:tabs>
                    <w:adjustRightInd w:val="0"/>
                    <w:snapToGrid w:val="0"/>
                    <w:rPr>
                      <w:rFonts w:ascii="Times New Roman" w:hAnsi="Times New Roman" w:cs="Times New Roman"/>
                      <w:color w:val="000000" w:themeColor="text1"/>
                      <w:highlight w:val="none"/>
                    </w:rPr>
                  </w:pPr>
                  <w:r>
                    <w:rPr>
                      <w:rFonts w:hint="eastAsia" w:ascii="Times New Roman" w:hAnsi="Times New Roman" w:cs="Times New Roman"/>
                      <w:color w:val="000000" w:themeColor="text1"/>
                      <w:highlight w:val="none"/>
                    </w:rPr>
                    <w:t>在</w:t>
                  </w:r>
                  <w:r>
                    <w:rPr>
                      <w:rFonts w:ascii="Times New Roman" w:hAnsi="Times New Roman" w:cs="Times New Roman"/>
                      <w:color w:val="000000" w:themeColor="text1"/>
                      <w:highlight w:val="none"/>
                    </w:rPr>
                    <w:t>施工前</w:t>
                  </w:r>
                  <w:r>
                    <w:rPr>
                      <w:rFonts w:hint="eastAsia" w:ascii="Times New Roman" w:hAnsi="Times New Roman" w:cs="Times New Roman"/>
                      <w:color w:val="000000" w:themeColor="text1"/>
                      <w:highlight w:val="none"/>
                    </w:rPr>
                    <w:t>进行</w:t>
                  </w:r>
                  <w:r>
                    <w:rPr>
                      <w:rFonts w:ascii="Times New Roman" w:hAnsi="Times New Roman" w:cs="Times New Roman"/>
                      <w:color w:val="000000" w:themeColor="text1"/>
                      <w:highlight w:val="none"/>
                    </w:rPr>
                    <w:t>表土剥离</w:t>
                  </w:r>
                  <w:r>
                    <w:rPr>
                      <w:rFonts w:hint="eastAsia" w:ascii="Times New Roman" w:hAnsi="Times New Roman" w:cs="Times New Roman"/>
                      <w:color w:val="000000" w:themeColor="text1"/>
                      <w:highlight w:val="none"/>
                    </w:rPr>
                    <w:t>，将风井场地剥离的表土就近集中堆放于附近绿化硬化空地。表土剥离后，</w:t>
                  </w:r>
                  <w:r>
                    <w:rPr>
                      <w:rFonts w:hint="eastAsia"/>
                      <w:color w:val="000000" w:themeColor="text1"/>
                      <w:highlight w:val="none"/>
                      <w:lang w:val="en-US" w:eastAsia="zh-CN"/>
                    </w:rPr>
                    <w:t>暂存至风井厂区空地，后期用于</w:t>
                  </w:r>
                  <w:r>
                    <w:rPr>
                      <w:rFonts w:hint="eastAsia" w:ascii="Times New Roman" w:hAnsi="Times New Roman" w:cs="Times New Roman"/>
                      <w:color w:val="000000" w:themeColor="text1"/>
                      <w:highlight w:val="none"/>
                    </w:rPr>
                    <w:t>对</w:t>
                  </w:r>
                  <w:r>
                    <w:rPr>
                      <w:rFonts w:ascii="Times New Roman" w:hAnsi="Times New Roman" w:cs="Times New Roman"/>
                      <w:color w:val="000000" w:themeColor="text1"/>
                      <w:highlight w:val="none"/>
                    </w:rPr>
                    <w:t>风井场地植树种草绿化，绿化面积为3</w:t>
                  </w:r>
                  <w:r>
                    <w:rPr>
                      <w:rFonts w:hint="eastAsia" w:ascii="Times New Roman" w:hAnsi="Times New Roman" w:cs="Times New Roman"/>
                      <w:color w:val="000000" w:themeColor="text1"/>
                      <w:highlight w:val="none"/>
                    </w:rPr>
                    <w:t>00</w:t>
                  </w:r>
                  <w:r>
                    <w:rPr>
                      <w:rFonts w:ascii="Times New Roman" w:hAnsi="Times New Roman" w:cs="Times New Roman"/>
                      <w:color w:val="000000" w:themeColor="text1"/>
                      <w:highlight w:val="none"/>
                    </w:rPr>
                    <w:t>0m</w:t>
                  </w:r>
                  <w:r>
                    <w:rPr>
                      <w:rFonts w:ascii="Times New Roman" w:hAnsi="Times New Roman" w:cs="Times New Roman"/>
                      <w:color w:val="000000" w:themeColor="text1"/>
                      <w:highlight w:val="none"/>
                      <w:vertAlign w:val="superscript"/>
                    </w:rPr>
                    <w:t>2</w:t>
                  </w:r>
                  <w:r>
                    <w:rPr>
                      <w:rFonts w:ascii="Times New Roman" w:hAnsi="Times New Roman" w:cs="Times New Roman"/>
                      <w:color w:val="000000" w:themeColor="text1"/>
                      <w:highlight w:val="none"/>
                    </w:rPr>
                    <w:t>；栽植</w:t>
                  </w:r>
                  <w:r>
                    <w:rPr>
                      <w:rFonts w:hint="eastAsia" w:ascii="Times New Roman" w:hAnsi="Times New Roman" w:cs="Times New Roman"/>
                      <w:color w:val="000000" w:themeColor="text1"/>
                      <w:highlight w:val="none"/>
                    </w:rPr>
                    <w:t>种类主要为松树、高羊茅草</w:t>
                  </w:r>
                  <w:r>
                    <w:rPr>
                      <w:rFonts w:ascii="Times New Roman" w:hAnsi="Times New Roman" w:cs="Times New Roman"/>
                      <w:color w:val="000000" w:themeColor="text1"/>
                      <w:highlight w:val="none"/>
                    </w:rPr>
                    <w:t>。</w:t>
                  </w:r>
                </w:p>
              </w:tc>
              <w:tc>
                <w:tcPr>
                  <w:tcW w:w="273" w:type="pct"/>
                  <w:vAlign w:val="center"/>
                </w:tcPr>
                <w:p w14:paraId="5C4AEED7">
                  <w:pPr>
                    <w:adjustRightInd w:val="0"/>
                    <w:snapToGrid w:val="0"/>
                    <w:jc w:val="center"/>
                    <w:rPr>
                      <w:color w:val="000000" w:themeColor="text1"/>
                      <w:szCs w:val="21"/>
                      <w:highlight w:val="none"/>
                    </w:rPr>
                  </w:pPr>
                  <w:r>
                    <w:rPr>
                      <w:color w:val="000000" w:themeColor="text1"/>
                      <w:szCs w:val="21"/>
                      <w:highlight w:val="none"/>
                    </w:rPr>
                    <w:t>/</w:t>
                  </w:r>
                </w:p>
              </w:tc>
            </w:tr>
            <w:tr w14:paraId="6C60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272" w:type="pct"/>
                  <w:vMerge w:val="continue"/>
                  <w:vAlign w:val="center"/>
                </w:tcPr>
                <w:p w14:paraId="17DB02D2">
                  <w:pPr>
                    <w:pStyle w:val="16"/>
                    <w:tabs>
                      <w:tab w:val="left" w:pos="1260"/>
                    </w:tabs>
                    <w:adjustRightInd w:val="0"/>
                    <w:snapToGrid w:val="0"/>
                    <w:jc w:val="center"/>
                    <w:rPr>
                      <w:rFonts w:ascii="Times New Roman" w:hAnsi="Times New Roman" w:cs="Times New Roman"/>
                      <w:color w:val="000000" w:themeColor="text1"/>
                      <w:highlight w:val="none"/>
                    </w:rPr>
                  </w:pPr>
                </w:p>
              </w:tc>
              <w:tc>
                <w:tcPr>
                  <w:tcW w:w="493" w:type="pct"/>
                  <w:vAlign w:val="center"/>
                </w:tcPr>
                <w:p w14:paraId="62DA68A1">
                  <w:pPr>
                    <w:pStyle w:val="16"/>
                    <w:tabs>
                      <w:tab w:val="left" w:pos="1260"/>
                    </w:tabs>
                    <w:adjustRightInd w:val="0"/>
                    <w:snapToGrid w:val="0"/>
                    <w:jc w:val="center"/>
                    <w:rPr>
                      <w:rFonts w:ascii="Times New Roman" w:hAnsi="Times New Roman" w:cs="Times New Roman"/>
                      <w:color w:val="000000" w:themeColor="text1"/>
                      <w:highlight w:val="none"/>
                    </w:rPr>
                  </w:pPr>
                  <w:r>
                    <w:rPr>
                      <w:rFonts w:hint="eastAsia" w:ascii="Times New Roman" w:hAnsi="Times New Roman" w:cs="Times New Roman"/>
                      <w:color w:val="000000" w:themeColor="text1"/>
                      <w:highlight w:val="none"/>
                    </w:rPr>
                    <w:t>防渗措施</w:t>
                  </w:r>
                </w:p>
              </w:tc>
              <w:tc>
                <w:tcPr>
                  <w:tcW w:w="3961" w:type="pct"/>
                  <w:vAlign w:val="center"/>
                </w:tcPr>
                <w:p w14:paraId="6C83912A">
                  <w:pPr>
                    <w:pStyle w:val="16"/>
                    <w:tabs>
                      <w:tab w:val="left" w:pos="1260"/>
                    </w:tabs>
                    <w:adjustRightInd w:val="0"/>
                    <w:snapToGrid w:val="0"/>
                    <w:rPr>
                      <w:rFonts w:ascii="Times New Roman" w:hAnsi="Times New Roman" w:cs="Times New Roman"/>
                      <w:color w:val="000000" w:themeColor="text1"/>
                      <w:highlight w:val="none"/>
                    </w:rPr>
                  </w:pPr>
                  <w:r>
                    <w:rPr>
                      <w:rFonts w:hint="eastAsia" w:ascii="Times New Roman" w:hAnsi="Times New Roman" w:cs="Times New Roman"/>
                      <w:color w:val="000000" w:themeColor="text1"/>
                      <w:highlight w:val="none"/>
                    </w:rPr>
                    <w:t>风井场地</w:t>
                  </w:r>
                  <w:r>
                    <w:rPr>
                      <w:rFonts w:hint="eastAsia" w:ascii="Times New Roman" w:hAnsi="Times New Roman" w:cs="Times New Roman"/>
                      <w:color w:val="000000" w:themeColor="text1"/>
                      <w:highlight w:val="none"/>
                      <w:lang w:val="en-US" w:eastAsia="zh-CN"/>
                    </w:rPr>
                    <w:t>除风井口、构筑物、绿化占地及道路占地外均</w:t>
                  </w:r>
                  <w:r>
                    <w:rPr>
                      <w:rFonts w:hint="eastAsia" w:ascii="Times New Roman" w:hAnsi="Times New Roman" w:cs="Times New Roman"/>
                      <w:color w:val="000000" w:themeColor="text1"/>
                      <w:highlight w:val="none"/>
                    </w:rPr>
                    <w:t>进行简单防渗，防渗结构为水泥硬化</w:t>
                  </w:r>
                  <w:r>
                    <w:rPr>
                      <w:rFonts w:hint="eastAsia" w:ascii="Times New Roman" w:hAnsi="Times New Roman" w:cs="Times New Roman"/>
                      <w:color w:val="000000" w:themeColor="text1"/>
                      <w:highlight w:val="none"/>
                      <w:lang w:eastAsia="zh-CN"/>
                    </w:rPr>
                    <w:t>，</w:t>
                  </w:r>
                  <w:r>
                    <w:rPr>
                      <w:rFonts w:hint="eastAsia" w:ascii="Times New Roman" w:hAnsi="Times New Roman" w:cs="Times New Roman"/>
                      <w:color w:val="000000" w:themeColor="text1"/>
                      <w:highlight w:val="none"/>
                      <w:lang w:val="en-US" w:eastAsia="zh-CN"/>
                    </w:rPr>
                    <w:t>硬化面积约1800m</w:t>
                  </w:r>
                  <w:r>
                    <w:rPr>
                      <w:rFonts w:hint="eastAsia" w:ascii="Times New Roman" w:hAnsi="Times New Roman" w:cs="Times New Roman"/>
                      <w:color w:val="000000" w:themeColor="text1"/>
                      <w:highlight w:val="none"/>
                      <w:vertAlign w:val="superscript"/>
                      <w:lang w:val="en-US" w:eastAsia="zh-CN"/>
                    </w:rPr>
                    <w:t>2</w:t>
                  </w:r>
                  <w:r>
                    <w:rPr>
                      <w:rFonts w:hint="eastAsia" w:ascii="Times New Roman" w:hAnsi="Times New Roman" w:cs="Times New Roman"/>
                      <w:color w:val="000000" w:themeColor="text1"/>
                      <w:highlight w:val="none"/>
                    </w:rPr>
                    <w:t>。</w:t>
                  </w:r>
                </w:p>
              </w:tc>
              <w:tc>
                <w:tcPr>
                  <w:tcW w:w="273" w:type="pct"/>
                  <w:vAlign w:val="center"/>
                </w:tcPr>
                <w:p w14:paraId="590EB13A">
                  <w:pPr>
                    <w:adjustRightInd w:val="0"/>
                    <w:snapToGrid w:val="0"/>
                    <w:rPr>
                      <w:color w:val="000000" w:themeColor="text1"/>
                      <w:szCs w:val="21"/>
                      <w:highlight w:val="none"/>
                    </w:rPr>
                  </w:pPr>
                  <w:r>
                    <w:rPr>
                      <w:rFonts w:hint="eastAsia"/>
                      <w:color w:val="000000" w:themeColor="text1"/>
                      <w:szCs w:val="21"/>
                      <w:highlight w:val="none"/>
                    </w:rPr>
                    <w:t>新建</w:t>
                  </w:r>
                </w:p>
              </w:tc>
            </w:tr>
            <w:tr w14:paraId="0B57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272" w:type="pct"/>
                  <w:vMerge w:val="restart"/>
                  <w:vAlign w:val="center"/>
                </w:tcPr>
                <w:p w14:paraId="20CEA13D">
                  <w:pPr>
                    <w:pStyle w:val="16"/>
                    <w:tabs>
                      <w:tab w:val="left" w:pos="1260"/>
                    </w:tabs>
                    <w:adjustRightInd w:val="0"/>
                    <w:snapToGrid w:val="0"/>
                    <w:jc w:val="center"/>
                    <w:rPr>
                      <w:rFonts w:ascii="Times New Roman" w:hAnsi="Times New Roman" w:cs="Times New Roman"/>
                      <w:color w:val="000000" w:themeColor="text1"/>
                      <w:highlight w:val="none"/>
                    </w:rPr>
                  </w:pPr>
                  <w:r>
                    <w:rPr>
                      <w:rFonts w:hint="eastAsia" w:ascii="Times New Roman" w:hAnsi="Times New Roman" w:cs="Times New Roman"/>
                      <w:color w:val="000000" w:themeColor="text1"/>
                      <w:highlight w:val="none"/>
                    </w:rPr>
                    <w:t>依托工程</w:t>
                  </w:r>
                </w:p>
              </w:tc>
              <w:tc>
                <w:tcPr>
                  <w:tcW w:w="493" w:type="pct"/>
                  <w:vAlign w:val="center"/>
                </w:tcPr>
                <w:p w14:paraId="751CE41E">
                  <w:pPr>
                    <w:tabs>
                      <w:tab w:val="left" w:pos="1260"/>
                    </w:tabs>
                    <w:adjustRightInd w:val="0"/>
                    <w:snapToGrid w:val="0"/>
                    <w:jc w:val="center"/>
                    <w:rPr>
                      <w:rFonts w:hint="eastAsia" w:ascii="Times New Roman" w:hAnsi="Times New Roman" w:cs="Times New Roman"/>
                      <w:color w:val="000000" w:themeColor="text1"/>
                      <w:highlight w:val="none"/>
                    </w:rPr>
                  </w:pPr>
                  <w:r>
                    <w:rPr>
                      <w:rFonts w:hint="eastAsia"/>
                      <w:color w:val="000000" w:themeColor="text1"/>
                      <w:szCs w:val="21"/>
                      <w:highlight w:val="none"/>
                    </w:rPr>
                    <w:t>富民煤矿工业场地</w:t>
                  </w:r>
                </w:p>
              </w:tc>
              <w:tc>
                <w:tcPr>
                  <w:tcW w:w="3961" w:type="pct"/>
                  <w:vAlign w:val="center"/>
                </w:tcPr>
                <w:p w14:paraId="61AB698D">
                  <w:pPr>
                    <w:widowControl/>
                    <w:ind w:firstLine="420" w:firstLineChars="200"/>
                    <w:rPr>
                      <w:rFonts w:hint="eastAsia" w:ascii="Times New Roman" w:hAnsi="Times New Roman" w:cs="Times New Roman"/>
                      <w:color w:val="000000" w:themeColor="text1"/>
                      <w:highlight w:val="none"/>
                    </w:rPr>
                  </w:pPr>
                  <w:r>
                    <w:rPr>
                      <w:rFonts w:hint="eastAsia"/>
                      <w:color w:val="000000" w:themeColor="text1"/>
                      <w:szCs w:val="21"/>
                      <w:highlight w:val="none"/>
                    </w:rPr>
                    <w:t>工业场地面积10.45hm</w:t>
                  </w:r>
                  <w:r>
                    <w:rPr>
                      <w:rFonts w:hint="eastAsia"/>
                      <w:color w:val="000000" w:themeColor="text1"/>
                      <w:szCs w:val="21"/>
                      <w:highlight w:val="none"/>
                      <w:vertAlign w:val="superscript"/>
                    </w:rPr>
                    <w:t>2</w:t>
                  </w:r>
                  <w:r>
                    <w:rPr>
                      <w:rFonts w:hint="eastAsia"/>
                      <w:color w:val="000000" w:themeColor="text1"/>
                      <w:szCs w:val="21"/>
                      <w:highlight w:val="none"/>
                    </w:rPr>
                    <w:t>。主要建有主斜井、一副井、二副井、原煤筒仓、一座注浆站、带式输送机栈桥、地面原煤选厂，转载站、储煤场、机修车间、综采设备库、材料库、机修车间及锅炉房等建构筑物及其相关配套公辅设施，办公生活区位于工业场地北侧的高地势区，总占地面积约1.30hm</w:t>
                  </w:r>
                  <w:r>
                    <w:rPr>
                      <w:rFonts w:hint="eastAsia"/>
                      <w:color w:val="000000" w:themeColor="text1"/>
                      <w:szCs w:val="21"/>
                      <w:highlight w:val="none"/>
                      <w:vertAlign w:val="superscript"/>
                    </w:rPr>
                    <w:t>2</w:t>
                  </w:r>
                  <w:r>
                    <w:rPr>
                      <w:rFonts w:hint="eastAsia"/>
                      <w:color w:val="000000" w:themeColor="text1"/>
                      <w:szCs w:val="21"/>
                      <w:highlight w:val="none"/>
                    </w:rPr>
                    <w:t>，主要建有砖混结构的办公楼、宿舍楼、食堂等建构筑物及其相关配套公辅设施。</w:t>
                  </w:r>
                </w:p>
              </w:tc>
              <w:tc>
                <w:tcPr>
                  <w:tcW w:w="273" w:type="pct"/>
                  <w:vMerge w:val="restart"/>
                  <w:vAlign w:val="center"/>
                </w:tcPr>
                <w:p w14:paraId="6D89077E">
                  <w:pPr>
                    <w:adjustRightInd w:val="0"/>
                    <w:snapToGrid w:val="0"/>
                    <w:rPr>
                      <w:rFonts w:hint="eastAsia"/>
                      <w:color w:val="000000" w:themeColor="text1"/>
                      <w:szCs w:val="21"/>
                      <w:highlight w:val="none"/>
                    </w:rPr>
                  </w:pPr>
                  <w:r>
                    <w:rPr>
                      <w:rFonts w:hint="eastAsia"/>
                      <w:color w:val="000000" w:themeColor="text1"/>
                      <w:szCs w:val="21"/>
                      <w:highlight w:val="none"/>
                    </w:rPr>
                    <w:t>依托</w:t>
                  </w:r>
                </w:p>
              </w:tc>
            </w:tr>
            <w:tr w14:paraId="6FF5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272" w:type="pct"/>
                  <w:vMerge w:val="continue"/>
                  <w:vAlign w:val="center"/>
                </w:tcPr>
                <w:p w14:paraId="64814724">
                  <w:pPr>
                    <w:widowControl/>
                    <w:ind w:firstLine="420" w:firstLineChars="200"/>
                    <w:rPr>
                      <w:rFonts w:ascii="Times New Roman" w:hAnsi="Times New Roman" w:cs="Times New Roman"/>
                      <w:color w:val="000000" w:themeColor="text1"/>
                      <w:highlight w:val="none"/>
                    </w:rPr>
                  </w:pPr>
                </w:p>
              </w:tc>
              <w:tc>
                <w:tcPr>
                  <w:tcW w:w="493" w:type="pct"/>
                  <w:vAlign w:val="center"/>
                </w:tcPr>
                <w:p w14:paraId="2D28A989">
                  <w:pPr>
                    <w:widowControl/>
                    <w:jc w:val="center"/>
                    <w:rPr>
                      <w:rFonts w:hint="eastAsia" w:ascii="Times New Roman" w:hAnsi="Times New Roman" w:cs="Times New Roman"/>
                      <w:color w:val="000000" w:themeColor="text1"/>
                      <w:highlight w:val="none"/>
                    </w:rPr>
                  </w:pPr>
                  <w:r>
                    <w:rPr>
                      <w:color w:val="000000" w:themeColor="text1"/>
                      <w:szCs w:val="21"/>
                      <w:highlight w:val="none"/>
                    </w:rPr>
                    <w:t>矿井水处理站</w:t>
                  </w:r>
                </w:p>
              </w:tc>
              <w:tc>
                <w:tcPr>
                  <w:tcW w:w="3961" w:type="pct"/>
                  <w:vAlign w:val="center"/>
                </w:tcPr>
                <w:p w14:paraId="384C41FD">
                  <w:pPr>
                    <w:widowControl/>
                    <w:ind w:firstLine="420" w:firstLineChars="200"/>
                    <w:rPr>
                      <w:rFonts w:hint="eastAsia" w:ascii="Times New Roman" w:hAnsi="Times New Roman" w:cs="Times New Roman"/>
                      <w:color w:val="000000" w:themeColor="text1"/>
                      <w:highlight w:val="none"/>
                    </w:rPr>
                  </w:pPr>
                  <w:r>
                    <w:rPr>
                      <w:rFonts w:hint="eastAsia"/>
                      <w:color w:val="000000" w:themeColor="text1"/>
                      <w:szCs w:val="21"/>
                      <w:highlight w:val="none"/>
                    </w:rPr>
                    <w:t>矿井水处理站规模为200m</w:t>
                  </w:r>
                  <w:r>
                    <w:rPr>
                      <w:rFonts w:hint="eastAsia"/>
                      <w:color w:val="000000" w:themeColor="text1"/>
                      <w:szCs w:val="21"/>
                      <w:highlight w:val="none"/>
                      <w:vertAlign w:val="superscript"/>
                    </w:rPr>
                    <w:t>3</w:t>
                  </w:r>
                  <w:r>
                    <w:rPr>
                      <w:rFonts w:hint="eastAsia"/>
                      <w:color w:val="000000" w:themeColor="text1"/>
                      <w:szCs w:val="21"/>
                      <w:highlight w:val="none"/>
                    </w:rPr>
                    <w:t>/h（4800m</w:t>
                  </w:r>
                  <w:r>
                    <w:rPr>
                      <w:rFonts w:hint="eastAsia"/>
                      <w:color w:val="000000" w:themeColor="text1"/>
                      <w:szCs w:val="21"/>
                      <w:highlight w:val="none"/>
                      <w:vertAlign w:val="superscript"/>
                    </w:rPr>
                    <w:t>3</w:t>
                  </w:r>
                  <w:r>
                    <w:rPr>
                      <w:rFonts w:hint="eastAsia"/>
                      <w:color w:val="000000" w:themeColor="text1"/>
                      <w:szCs w:val="21"/>
                      <w:highlight w:val="none"/>
                    </w:rPr>
                    <w:t>/d），采用“混凝+沉淀+澄清+过滤”的处理工艺。处理后的矿井水满足《煤炭工业污染物排放标准》（GB20426-2006），同时满足《城市污水再生利用 城市杂用水水质》（GB/T18920-2020）中城市绿化和道路清扫用水水质标准；满足《煤炭洗选工程设计规范》（GB50359-2016）选煤厂补充水水质要求；满足《煤矿井下消防、洒水设计规范》（GB50383-2016）中井下消防洒水水质要求。用于选煤厂补水、井下生产用水和输煤栈桥转载点用水，不外排。</w:t>
                  </w:r>
                </w:p>
              </w:tc>
              <w:tc>
                <w:tcPr>
                  <w:tcW w:w="273" w:type="pct"/>
                  <w:vMerge w:val="continue"/>
                  <w:vAlign w:val="center"/>
                </w:tcPr>
                <w:p w14:paraId="79EF6736">
                  <w:pPr>
                    <w:adjustRightInd w:val="0"/>
                    <w:snapToGrid w:val="0"/>
                    <w:rPr>
                      <w:rFonts w:hint="eastAsia"/>
                      <w:color w:val="000000" w:themeColor="text1"/>
                      <w:szCs w:val="21"/>
                      <w:highlight w:val="none"/>
                    </w:rPr>
                  </w:pPr>
                </w:p>
              </w:tc>
            </w:tr>
            <w:tr w14:paraId="3E8B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272" w:type="pct"/>
                  <w:vMerge w:val="continue"/>
                  <w:vAlign w:val="center"/>
                </w:tcPr>
                <w:p w14:paraId="4923D292">
                  <w:pPr>
                    <w:widowControl/>
                    <w:ind w:firstLine="420" w:firstLineChars="200"/>
                    <w:rPr>
                      <w:rFonts w:ascii="Times New Roman" w:hAnsi="Times New Roman" w:cs="Times New Roman"/>
                      <w:color w:val="000000" w:themeColor="text1"/>
                      <w:highlight w:val="none"/>
                    </w:rPr>
                  </w:pPr>
                </w:p>
              </w:tc>
              <w:tc>
                <w:tcPr>
                  <w:tcW w:w="493" w:type="pct"/>
                  <w:vAlign w:val="center"/>
                </w:tcPr>
                <w:p w14:paraId="6A84399A">
                  <w:pPr>
                    <w:widowControl/>
                    <w:jc w:val="center"/>
                    <w:rPr>
                      <w:rFonts w:hint="eastAsia" w:ascii="Times New Roman" w:hAnsi="Times New Roman" w:cs="Times New Roman"/>
                      <w:color w:val="000000" w:themeColor="text1"/>
                      <w:highlight w:val="none"/>
                    </w:rPr>
                  </w:pPr>
                  <w:r>
                    <w:rPr>
                      <w:rFonts w:hint="eastAsia"/>
                      <w:color w:val="000000" w:themeColor="text1"/>
                      <w:szCs w:val="21"/>
                      <w:highlight w:val="none"/>
                    </w:rPr>
                    <w:t>危废库</w:t>
                  </w:r>
                </w:p>
              </w:tc>
              <w:tc>
                <w:tcPr>
                  <w:tcW w:w="3961" w:type="pct"/>
                  <w:vAlign w:val="center"/>
                </w:tcPr>
                <w:p w14:paraId="1CDE69D5">
                  <w:pPr>
                    <w:widowControl/>
                    <w:ind w:firstLine="420" w:firstLineChars="200"/>
                    <w:rPr>
                      <w:rFonts w:hint="eastAsia" w:ascii="Times New Roman" w:hAnsi="Times New Roman" w:cs="Times New Roman"/>
                      <w:color w:val="000000" w:themeColor="text1"/>
                      <w:highlight w:val="none"/>
                    </w:rPr>
                  </w:pPr>
                  <w:r>
                    <w:rPr>
                      <w:rFonts w:hint="eastAsia"/>
                      <w:color w:val="000000" w:themeColor="text1"/>
                      <w:szCs w:val="21"/>
                      <w:highlight w:val="none"/>
                    </w:rPr>
                    <w:t>煤矿建有</w:t>
                  </w:r>
                  <w:r>
                    <w:rPr>
                      <w:color w:val="000000" w:themeColor="text1"/>
                      <w:szCs w:val="21"/>
                      <w:highlight w:val="none"/>
                    </w:rPr>
                    <w:t>危废库</w:t>
                  </w:r>
                  <w:r>
                    <w:rPr>
                      <w:rFonts w:hint="eastAsia"/>
                      <w:color w:val="000000" w:themeColor="text1"/>
                      <w:szCs w:val="21"/>
                      <w:highlight w:val="none"/>
                    </w:rPr>
                    <w:t>1</w:t>
                  </w:r>
                  <w:r>
                    <w:rPr>
                      <w:color w:val="000000" w:themeColor="text1"/>
                      <w:szCs w:val="21"/>
                      <w:highlight w:val="none"/>
                    </w:rPr>
                    <w:t>座，占地面积</w:t>
                  </w:r>
                  <w:r>
                    <w:rPr>
                      <w:rFonts w:hint="eastAsia"/>
                      <w:color w:val="000000" w:themeColor="text1"/>
                      <w:szCs w:val="21"/>
                      <w:highlight w:val="none"/>
                    </w:rPr>
                    <w:t>120</w:t>
                  </w:r>
                  <w:r>
                    <w:rPr>
                      <w:color w:val="000000" w:themeColor="text1"/>
                      <w:szCs w:val="21"/>
                      <w:highlight w:val="none"/>
                    </w:rPr>
                    <w:t>m</w:t>
                  </w:r>
                  <w:r>
                    <w:rPr>
                      <w:color w:val="000000" w:themeColor="text1"/>
                      <w:szCs w:val="21"/>
                      <w:highlight w:val="none"/>
                      <w:vertAlign w:val="superscript"/>
                    </w:rPr>
                    <w:t>2</w:t>
                  </w:r>
                  <w:r>
                    <w:rPr>
                      <w:rFonts w:hint="eastAsia"/>
                      <w:color w:val="000000" w:themeColor="text1"/>
                      <w:szCs w:val="21"/>
                      <w:highlight w:val="none"/>
                    </w:rPr>
                    <w:t>，设有导流槽、废液收集池和防渗漏工程</w:t>
                  </w:r>
                  <w:r>
                    <w:rPr>
                      <w:color w:val="000000" w:themeColor="text1"/>
                      <w:szCs w:val="21"/>
                      <w:highlight w:val="none"/>
                    </w:rPr>
                    <w:t>，用于生产过程中不同危废的暂存。</w:t>
                  </w:r>
                </w:p>
              </w:tc>
              <w:tc>
                <w:tcPr>
                  <w:tcW w:w="273" w:type="pct"/>
                  <w:vMerge w:val="continue"/>
                  <w:vAlign w:val="center"/>
                </w:tcPr>
                <w:p w14:paraId="609AFD04">
                  <w:pPr>
                    <w:adjustRightInd w:val="0"/>
                    <w:snapToGrid w:val="0"/>
                    <w:rPr>
                      <w:rFonts w:hint="eastAsia"/>
                      <w:color w:val="000000" w:themeColor="text1"/>
                      <w:szCs w:val="21"/>
                      <w:highlight w:val="none"/>
                    </w:rPr>
                  </w:pPr>
                </w:p>
              </w:tc>
            </w:tr>
            <w:tr w14:paraId="1788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5000" w:type="pct"/>
                  <w:gridSpan w:val="4"/>
                  <w:vAlign w:val="center"/>
                </w:tcPr>
                <w:p w14:paraId="5116746A">
                  <w:pPr>
                    <w:adjustRightInd w:val="0"/>
                    <w:snapToGrid w:val="0"/>
                    <w:rPr>
                      <w:rFonts w:hint="eastAsia" w:eastAsia="宋体"/>
                      <w:color w:val="000000" w:themeColor="text1"/>
                      <w:szCs w:val="21"/>
                      <w:highlight w:val="none"/>
                      <w:lang w:val="en-US" w:eastAsia="zh-CN"/>
                    </w:rPr>
                  </w:pPr>
                  <w:r>
                    <w:rPr>
                      <w:rFonts w:hint="eastAsia"/>
                      <w:color w:val="000000" w:themeColor="text1"/>
                      <w:szCs w:val="21"/>
                      <w:highlight w:val="none"/>
                      <w:lang w:val="en-US" w:eastAsia="zh-CN"/>
                    </w:rPr>
                    <w:t>备注：由于三水开采已包含在“内蒙古汇能煤电集团富民煤炭有限责任公司煤矿180万t/a改扩建项目”，该项目已竣工，三水平延升属于该项目工程内容，并已通过竣工环保验收，故本次环评只包括</w:t>
                  </w:r>
                  <w:r>
                    <w:rPr>
                      <w:bCs/>
                      <w:color w:val="000000" w:themeColor="text1"/>
                      <w:sz w:val="21"/>
                      <w:szCs w:val="21"/>
                      <w:highlight w:val="none"/>
                    </w:rPr>
                    <w:t>新增井筒</w:t>
                  </w:r>
                  <w:r>
                    <w:rPr>
                      <w:rFonts w:hint="eastAsia"/>
                      <w:bCs/>
                      <w:color w:val="000000" w:themeColor="text1"/>
                      <w:sz w:val="21"/>
                      <w:szCs w:val="21"/>
                      <w:highlight w:val="none"/>
                      <w:lang w:val="en-US" w:eastAsia="zh-CN"/>
                    </w:rPr>
                    <w:t>内容</w:t>
                  </w:r>
                </w:p>
              </w:tc>
            </w:tr>
          </w:tbl>
          <w:p w14:paraId="7BFDA626">
            <w:pPr>
              <w:widowControl/>
              <w:spacing w:line="360" w:lineRule="auto"/>
              <w:ind w:firstLine="482" w:firstLineChars="200"/>
              <w:rPr>
                <w:b/>
                <w:color w:val="000000" w:themeColor="text1"/>
                <w:kern w:val="0"/>
                <w:sz w:val="24"/>
                <w:highlight w:val="none"/>
              </w:rPr>
            </w:pPr>
            <w:r>
              <w:rPr>
                <w:rFonts w:hint="eastAsia"/>
                <w:b/>
                <w:color w:val="000000" w:themeColor="text1"/>
                <w:kern w:val="0"/>
                <w:sz w:val="24"/>
                <w:highlight w:val="none"/>
              </w:rPr>
              <w:t>4.主要工程量表</w:t>
            </w:r>
          </w:p>
          <w:p w14:paraId="3B8A6375">
            <w:pPr>
              <w:widowControl/>
              <w:spacing w:line="360" w:lineRule="auto"/>
              <w:ind w:firstLine="480" w:firstLineChars="200"/>
              <w:rPr>
                <w:rFonts w:eastAsiaTheme="minorEastAsia"/>
                <w:color w:val="000000" w:themeColor="text1"/>
                <w:kern w:val="0"/>
                <w:sz w:val="24"/>
                <w:highlight w:val="none"/>
              </w:rPr>
            </w:pPr>
            <w:r>
              <w:rPr>
                <w:rFonts w:hint="eastAsia" w:eastAsiaTheme="minorEastAsia"/>
                <w:color w:val="000000" w:themeColor="text1"/>
                <w:kern w:val="0"/>
                <w:sz w:val="24"/>
                <w:highlight w:val="none"/>
              </w:rPr>
              <w:t>本项目主要工程量见下表2-3。</w:t>
            </w:r>
          </w:p>
          <w:p w14:paraId="51A5213F">
            <w:pPr>
              <w:pStyle w:val="54"/>
              <w:spacing w:line="240" w:lineRule="auto"/>
              <w:ind w:firstLine="0" w:firstLineChars="0"/>
              <w:jc w:val="center"/>
              <w:rPr>
                <w:rFonts w:ascii="Times New Roman" w:hAnsi="Times New Roman" w:eastAsia="宋体" w:cs="Times New Roman"/>
                <w:color w:val="000000" w:themeColor="text1"/>
                <w:szCs w:val="24"/>
                <w:highlight w:val="none"/>
              </w:rPr>
            </w:pPr>
            <w:r>
              <w:rPr>
                <w:rFonts w:ascii="Times New Roman" w:hAnsi="Times New Roman" w:eastAsia="宋体" w:cs="Times New Roman"/>
                <w:color w:val="000000" w:themeColor="text1"/>
                <w:szCs w:val="24"/>
                <w:highlight w:val="none"/>
              </w:rPr>
              <w:t>表2</w:t>
            </w:r>
            <w:r>
              <w:rPr>
                <w:rFonts w:hint="eastAsia" w:ascii="Times New Roman" w:hAnsi="Times New Roman" w:eastAsia="宋体" w:cs="Times New Roman"/>
                <w:color w:val="000000" w:themeColor="text1"/>
                <w:szCs w:val="24"/>
                <w:highlight w:val="none"/>
              </w:rPr>
              <w:t xml:space="preserve">-3 </w:t>
            </w:r>
            <w:r>
              <w:rPr>
                <w:rFonts w:ascii="Times New Roman" w:hAnsi="Times New Roman" w:eastAsia="宋体" w:cs="Times New Roman"/>
                <w:color w:val="000000" w:themeColor="text1"/>
                <w:szCs w:val="24"/>
                <w:highlight w:val="none"/>
              </w:rPr>
              <w:t>北部风井场地主要工程量表</w:t>
            </w: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99"/>
              <w:gridCol w:w="477"/>
              <w:gridCol w:w="779"/>
              <w:gridCol w:w="3061"/>
              <w:gridCol w:w="723"/>
              <w:gridCol w:w="695"/>
              <w:gridCol w:w="1484"/>
            </w:tblGrid>
            <w:tr w14:paraId="575C08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blHeader/>
                <w:jc w:val="center"/>
              </w:trPr>
              <w:tc>
                <w:tcPr>
                  <w:tcW w:w="383" w:type="pct"/>
                  <w:tcBorders>
                    <w:top w:val="single" w:color="auto" w:sz="4" w:space="0"/>
                    <w:bottom w:val="single" w:color="auto" w:sz="4" w:space="0"/>
                    <w:right w:val="single" w:color="auto" w:sz="4" w:space="0"/>
                  </w:tcBorders>
                  <w:vAlign w:val="center"/>
                </w:tcPr>
                <w:p w14:paraId="2818B601">
                  <w:pPr>
                    <w:jc w:val="center"/>
                    <w:rPr>
                      <w:rFonts w:eastAsiaTheme="minorEastAsia"/>
                      <w:color w:val="000000" w:themeColor="text1"/>
                      <w:kern w:val="0"/>
                      <w:szCs w:val="21"/>
                      <w:highlight w:val="none"/>
                    </w:rPr>
                  </w:pPr>
                  <w:r>
                    <w:rPr>
                      <w:rFonts w:eastAsiaTheme="minorEastAsia"/>
                      <w:color w:val="000000" w:themeColor="text1"/>
                      <w:kern w:val="0"/>
                      <w:szCs w:val="21"/>
                      <w:highlight w:val="none"/>
                    </w:rPr>
                    <w:t>序号</w:t>
                  </w:r>
                </w:p>
              </w:tc>
              <w:tc>
                <w:tcPr>
                  <w:tcW w:w="803" w:type="pct"/>
                  <w:gridSpan w:val="2"/>
                  <w:tcBorders>
                    <w:top w:val="single" w:color="auto" w:sz="4" w:space="0"/>
                    <w:bottom w:val="single" w:color="auto" w:sz="4" w:space="0"/>
                    <w:right w:val="single" w:color="auto" w:sz="4" w:space="0"/>
                  </w:tcBorders>
                  <w:vAlign w:val="center"/>
                </w:tcPr>
                <w:p w14:paraId="1E31FE55">
                  <w:pPr>
                    <w:jc w:val="center"/>
                    <w:rPr>
                      <w:rFonts w:eastAsiaTheme="minorEastAsia"/>
                      <w:color w:val="000000" w:themeColor="text1"/>
                      <w:kern w:val="0"/>
                      <w:szCs w:val="21"/>
                      <w:highlight w:val="none"/>
                    </w:rPr>
                  </w:pPr>
                  <w:r>
                    <w:rPr>
                      <w:rFonts w:eastAsiaTheme="minorEastAsia"/>
                      <w:color w:val="000000" w:themeColor="text1"/>
                      <w:kern w:val="0"/>
                      <w:szCs w:val="21"/>
                      <w:highlight w:val="none"/>
                    </w:rPr>
                    <w:t>项目</w:t>
                  </w:r>
                </w:p>
              </w:tc>
              <w:tc>
                <w:tcPr>
                  <w:tcW w:w="1957" w:type="pct"/>
                  <w:tcBorders>
                    <w:top w:val="single" w:color="auto" w:sz="4" w:space="0"/>
                    <w:left w:val="single" w:color="auto" w:sz="4" w:space="0"/>
                    <w:bottom w:val="single" w:color="auto" w:sz="4" w:space="0"/>
                    <w:right w:val="single" w:color="auto" w:sz="4" w:space="0"/>
                  </w:tcBorders>
                  <w:vAlign w:val="center"/>
                </w:tcPr>
                <w:p w14:paraId="07D6B6DA">
                  <w:pPr>
                    <w:jc w:val="center"/>
                    <w:rPr>
                      <w:rFonts w:eastAsiaTheme="minorEastAsia"/>
                      <w:color w:val="000000" w:themeColor="text1"/>
                      <w:kern w:val="0"/>
                      <w:szCs w:val="21"/>
                      <w:highlight w:val="none"/>
                    </w:rPr>
                  </w:pPr>
                  <w:r>
                    <w:rPr>
                      <w:rFonts w:eastAsiaTheme="minorEastAsia"/>
                      <w:color w:val="000000" w:themeColor="text1"/>
                      <w:kern w:val="0"/>
                      <w:szCs w:val="21"/>
                      <w:highlight w:val="none"/>
                    </w:rPr>
                    <w:t>技术特征</w:t>
                  </w:r>
                </w:p>
              </w:tc>
              <w:tc>
                <w:tcPr>
                  <w:tcW w:w="462" w:type="pct"/>
                  <w:tcBorders>
                    <w:top w:val="single" w:color="auto" w:sz="4" w:space="0"/>
                    <w:left w:val="single" w:color="auto" w:sz="4" w:space="0"/>
                    <w:bottom w:val="single" w:color="auto" w:sz="4" w:space="0"/>
                    <w:right w:val="single" w:color="auto" w:sz="4" w:space="0"/>
                  </w:tcBorders>
                  <w:vAlign w:val="center"/>
                </w:tcPr>
                <w:p w14:paraId="3B2CED72">
                  <w:pPr>
                    <w:jc w:val="center"/>
                    <w:rPr>
                      <w:rFonts w:eastAsiaTheme="minorEastAsia"/>
                      <w:color w:val="000000" w:themeColor="text1"/>
                      <w:kern w:val="0"/>
                      <w:szCs w:val="21"/>
                      <w:highlight w:val="none"/>
                    </w:rPr>
                  </w:pPr>
                  <w:r>
                    <w:rPr>
                      <w:rFonts w:eastAsiaTheme="minorEastAsia"/>
                      <w:color w:val="000000" w:themeColor="text1"/>
                      <w:kern w:val="0"/>
                      <w:szCs w:val="21"/>
                      <w:highlight w:val="none"/>
                    </w:rPr>
                    <w:t>单位</w:t>
                  </w:r>
                </w:p>
              </w:tc>
              <w:tc>
                <w:tcPr>
                  <w:tcW w:w="444" w:type="pct"/>
                  <w:tcBorders>
                    <w:top w:val="single" w:color="auto" w:sz="4" w:space="0"/>
                    <w:left w:val="single" w:color="auto" w:sz="4" w:space="0"/>
                    <w:bottom w:val="single" w:color="auto" w:sz="4" w:space="0"/>
                    <w:right w:val="single" w:color="auto" w:sz="4" w:space="0"/>
                  </w:tcBorders>
                  <w:vAlign w:val="center"/>
                </w:tcPr>
                <w:p w14:paraId="219375F6">
                  <w:pPr>
                    <w:jc w:val="center"/>
                    <w:rPr>
                      <w:rFonts w:eastAsiaTheme="minorEastAsia"/>
                      <w:color w:val="000000" w:themeColor="text1"/>
                      <w:kern w:val="0"/>
                      <w:szCs w:val="21"/>
                      <w:highlight w:val="none"/>
                    </w:rPr>
                  </w:pPr>
                  <w:r>
                    <w:rPr>
                      <w:rFonts w:eastAsiaTheme="minorEastAsia"/>
                      <w:color w:val="000000" w:themeColor="text1"/>
                      <w:kern w:val="0"/>
                      <w:szCs w:val="21"/>
                      <w:highlight w:val="none"/>
                    </w:rPr>
                    <w:t>数量</w:t>
                  </w:r>
                </w:p>
              </w:tc>
              <w:tc>
                <w:tcPr>
                  <w:tcW w:w="949" w:type="pct"/>
                  <w:tcBorders>
                    <w:top w:val="single" w:color="auto" w:sz="4" w:space="0"/>
                    <w:left w:val="single" w:color="auto" w:sz="4" w:space="0"/>
                    <w:bottom w:val="single" w:color="auto" w:sz="4" w:space="0"/>
                  </w:tcBorders>
                  <w:vAlign w:val="center"/>
                </w:tcPr>
                <w:p w14:paraId="0B1CCB90">
                  <w:pPr>
                    <w:jc w:val="center"/>
                    <w:rPr>
                      <w:rFonts w:eastAsiaTheme="minorEastAsia"/>
                      <w:color w:val="000000" w:themeColor="text1"/>
                      <w:kern w:val="0"/>
                      <w:szCs w:val="21"/>
                      <w:highlight w:val="none"/>
                    </w:rPr>
                  </w:pPr>
                  <w:r>
                    <w:rPr>
                      <w:rFonts w:eastAsiaTheme="minorEastAsia"/>
                      <w:color w:val="000000" w:themeColor="text1"/>
                      <w:kern w:val="0"/>
                      <w:szCs w:val="21"/>
                      <w:highlight w:val="none"/>
                    </w:rPr>
                    <w:t>备注</w:t>
                  </w:r>
                </w:p>
              </w:tc>
            </w:tr>
            <w:tr w14:paraId="041B63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83" w:type="pct"/>
                  <w:tcBorders>
                    <w:top w:val="single" w:color="auto" w:sz="4" w:space="0"/>
                    <w:bottom w:val="single" w:color="auto" w:sz="4" w:space="0"/>
                    <w:right w:val="single" w:color="auto" w:sz="4" w:space="0"/>
                  </w:tcBorders>
                  <w:vAlign w:val="center"/>
                </w:tcPr>
                <w:p w14:paraId="7388E36D">
                  <w:pPr>
                    <w:jc w:val="center"/>
                    <w:rPr>
                      <w:rFonts w:eastAsiaTheme="minorEastAsia"/>
                      <w:color w:val="000000" w:themeColor="text1"/>
                      <w:kern w:val="0"/>
                      <w:szCs w:val="21"/>
                      <w:highlight w:val="none"/>
                    </w:rPr>
                  </w:pPr>
                  <w:r>
                    <w:rPr>
                      <w:rFonts w:eastAsiaTheme="minorEastAsia"/>
                      <w:color w:val="000000" w:themeColor="text1"/>
                      <w:kern w:val="0"/>
                      <w:szCs w:val="21"/>
                      <w:highlight w:val="none"/>
                    </w:rPr>
                    <w:t>1</w:t>
                  </w:r>
                </w:p>
              </w:tc>
              <w:tc>
                <w:tcPr>
                  <w:tcW w:w="803" w:type="pct"/>
                  <w:gridSpan w:val="2"/>
                  <w:tcBorders>
                    <w:top w:val="single" w:color="auto" w:sz="4" w:space="0"/>
                    <w:bottom w:val="single" w:color="auto" w:sz="4" w:space="0"/>
                    <w:right w:val="single" w:color="auto" w:sz="4" w:space="0"/>
                  </w:tcBorders>
                  <w:vAlign w:val="center"/>
                </w:tcPr>
                <w:p w14:paraId="65ACDA58">
                  <w:pPr>
                    <w:jc w:val="center"/>
                    <w:rPr>
                      <w:rFonts w:eastAsiaTheme="minorEastAsia"/>
                      <w:color w:val="000000" w:themeColor="text1"/>
                      <w:kern w:val="0"/>
                      <w:szCs w:val="21"/>
                      <w:highlight w:val="none"/>
                    </w:rPr>
                  </w:pPr>
                  <w:r>
                    <w:rPr>
                      <w:rFonts w:eastAsiaTheme="minorEastAsia"/>
                      <w:color w:val="000000" w:themeColor="text1"/>
                      <w:kern w:val="0"/>
                      <w:szCs w:val="21"/>
                      <w:highlight w:val="none"/>
                    </w:rPr>
                    <w:t>用地面积</w:t>
                  </w:r>
                </w:p>
              </w:tc>
              <w:tc>
                <w:tcPr>
                  <w:tcW w:w="1957" w:type="pct"/>
                  <w:tcBorders>
                    <w:top w:val="single" w:color="auto" w:sz="4" w:space="0"/>
                    <w:left w:val="single" w:color="auto" w:sz="4" w:space="0"/>
                    <w:bottom w:val="single" w:color="auto" w:sz="4" w:space="0"/>
                    <w:right w:val="single" w:color="auto" w:sz="4" w:space="0"/>
                  </w:tcBorders>
                  <w:vAlign w:val="center"/>
                </w:tcPr>
                <w:p w14:paraId="3483F890">
                  <w:pPr>
                    <w:jc w:val="center"/>
                    <w:rPr>
                      <w:rFonts w:eastAsiaTheme="minorEastAsia"/>
                      <w:color w:val="000000" w:themeColor="text1"/>
                      <w:kern w:val="0"/>
                      <w:szCs w:val="21"/>
                      <w:highlight w:val="none"/>
                    </w:rPr>
                  </w:pPr>
                  <w:r>
                    <w:rPr>
                      <w:rFonts w:eastAsiaTheme="minorEastAsia"/>
                      <w:color w:val="000000" w:themeColor="text1"/>
                      <w:kern w:val="0"/>
                      <w:szCs w:val="21"/>
                      <w:highlight w:val="none"/>
                    </w:rPr>
                    <w:t>/</w:t>
                  </w:r>
                </w:p>
              </w:tc>
              <w:tc>
                <w:tcPr>
                  <w:tcW w:w="462" w:type="pct"/>
                  <w:tcBorders>
                    <w:top w:val="single" w:color="auto" w:sz="4" w:space="0"/>
                    <w:left w:val="single" w:color="auto" w:sz="4" w:space="0"/>
                    <w:bottom w:val="single" w:color="auto" w:sz="4" w:space="0"/>
                    <w:right w:val="single" w:color="auto" w:sz="4" w:space="0"/>
                  </w:tcBorders>
                  <w:vAlign w:val="center"/>
                </w:tcPr>
                <w:p w14:paraId="4E0DF999">
                  <w:pPr>
                    <w:jc w:val="center"/>
                    <w:rPr>
                      <w:rFonts w:eastAsiaTheme="minorEastAsia"/>
                      <w:color w:val="000000" w:themeColor="text1"/>
                      <w:kern w:val="0"/>
                      <w:szCs w:val="21"/>
                      <w:highlight w:val="none"/>
                    </w:rPr>
                  </w:pPr>
                  <w:r>
                    <w:rPr>
                      <w:rFonts w:eastAsiaTheme="minorEastAsia"/>
                      <w:color w:val="000000" w:themeColor="text1"/>
                      <w:kern w:val="0"/>
                      <w:szCs w:val="21"/>
                      <w:highlight w:val="none"/>
                    </w:rPr>
                    <w:t>hm</w:t>
                  </w:r>
                  <w:r>
                    <w:rPr>
                      <w:rFonts w:eastAsiaTheme="minorEastAsia"/>
                      <w:color w:val="000000" w:themeColor="text1"/>
                      <w:kern w:val="0"/>
                      <w:szCs w:val="21"/>
                      <w:highlight w:val="none"/>
                      <w:vertAlign w:val="superscript"/>
                    </w:rPr>
                    <w:t>2</w:t>
                  </w:r>
                </w:p>
              </w:tc>
              <w:tc>
                <w:tcPr>
                  <w:tcW w:w="444" w:type="pct"/>
                  <w:tcBorders>
                    <w:top w:val="single" w:color="auto" w:sz="4" w:space="0"/>
                    <w:left w:val="single" w:color="auto" w:sz="4" w:space="0"/>
                    <w:bottom w:val="single" w:color="auto" w:sz="4" w:space="0"/>
                    <w:right w:val="single" w:color="auto" w:sz="4" w:space="0"/>
                  </w:tcBorders>
                  <w:vAlign w:val="center"/>
                </w:tcPr>
                <w:p w14:paraId="492EF8AE">
                  <w:pPr>
                    <w:jc w:val="center"/>
                    <w:rPr>
                      <w:rFonts w:eastAsiaTheme="minorEastAsia"/>
                      <w:color w:val="000000" w:themeColor="text1"/>
                      <w:kern w:val="0"/>
                      <w:szCs w:val="21"/>
                      <w:highlight w:val="none"/>
                    </w:rPr>
                  </w:pPr>
                  <w:r>
                    <w:rPr>
                      <w:rFonts w:hint="eastAsia" w:eastAsiaTheme="minorEastAsia"/>
                      <w:color w:val="000000" w:themeColor="text1"/>
                      <w:kern w:val="0"/>
                      <w:szCs w:val="21"/>
                      <w:highlight w:val="none"/>
                    </w:rPr>
                    <w:t>0.6</w:t>
                  </w:r>
                </w:p>
              </w:tc>
              <w:tc>
                <w:tcPr>
                  <w:tcW w:w="949" w:type="pct"/>
                  <w:tcBorders>
                    <w:top w:val="single" w:color="auto" w:sz="4" w:space="0"/>
                    <w:left w:val="single" w:color="auto" w:sz="4" w:space="0"/>
                    <w:bottom w:val="single" w:color="auto" w:sz="4" w:space="0"/>
                  </w:tcBorders>
                  <w:vAlign w:val="center"/>
                </w:tcPr>
                <w:p w14:paraId="1FBC4982">
                  <w:pPr>
                    <w:jc w:val="center"/>
                    <w:rPr>
                      <w:rFonts w:eastAsiaTheme="minorEastAsia"/>
                      <w:color w:val="000000" w:themeColor="text1"/>
                      <w:kern w:val="0"/>
                      <w:szCs w:val="21"/>
                      <w:highlight w:val="none"/>
                    </w:rPr>
                  </w:pPr>
                  <w:r>
                    <w:rPr>
                      <w:bCs/>
                      <w:color w:val="000000" w:themeColor="text1"/>
                      <w:szCs w:val="21"/>
                      <w:highlight w:val="none"/>
                    </w:rPr>
                    <w:t>/</w:t>
                  </w:r>
                </w:p>
              </w:tc>
            </w:tr>
            <w:tr w14:paraId="5AE271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83" w:type="pct"/>
                  <w:vMerge w:val="restart"/>
                  <w:tcBorders>
                    <w:top w:val="single" w:color="auto" w:sz="4" w:space="0"/>
                    <w:right w:val="single" w:color="auto" w:sz="4" w:space="0"/>
                  </w:tcBorders>
                  <w:vAlign w:val="center"/>
                </w:tcPr>
                <w:p w14:paraId="5F466F36">
                  <w:pPr>
                    <w:jc w:val="center"/>
                    <w:rPr>
                      <w:rFonts w:eastAsiaTheme="minorEastAsia"/>
                      <w:color w:val="000000" w:themeColor="text1"/>
                      <w:kern w:val="0"/>
                      <w:szCs w:val="21"/>
                      <w:highlight w:val="none"/>
                    </w:rPr>
                  </w:pPr>
                  <w:r>
                    <w:rPr>
                      <w:rFonts w:eastAsiaTheme="minorEastAsia"/>
                      <w:color w:val="000000" w:themeColor="text1"/>
                      <w:kern w:val="0"/>
                      <w:szCs w:val="21"/>
                      <w:highlight w:val="none"/>
                    </w:rPr>
                    <w:t>2</w:t>
                  </w:r>
                </w:p>
              </w:tc>
              <w:tc>
                <w:tcPr>
                  <w:tcW w:w="305" w:type="pct"/>
                  <w:vMerge w:val="restart"/>
                  <w:tcBorders>
                    <w:top w:val="single" w:color="auto" w:sz="4" w:space="0"/>
                    <w:right w:val="single" w:color="auto" w:sz="4" w:space="0"/>
                  </w:tcBorders>
                  <w:vAlign w:val="center"/>
                </w:tcPr>
                <w:p w14:paraId="7207EA8E">
                  <w:pPr>
                    <w:jc w:val="center"/>
                    <w:rPr>
                      <w:bCs/>
                      <w:color w:val="000000" w:themeColor="text1"/>
                      <w:szCs w:val="21"/>
                      <w:highlight w:val="none"/>
                    </w:rPr>
                  </w:pPr>
                  <w:r>
                    <w:rPr>
                      <w:bCs/>
                      <w:color w:val="000000" w:themeColor="text1"/>
                      <w:szCs w:val="21"/>
                      <w:highlight w:val="none"/>
                    </w:rPr>
                    <w:t>土方工程</w:t>
                  </w:r>
                </w:p>
              </w:tc>
              <w:tc>
                <w:tcPr>
                  <w:tcW w:w="498" w:type="pct"/>
                  <w:tcBorders>
                    <w:top w:val="single" w:color="auto" w:sz="4" w:space="0"/>
                    <w:bottom w:val="single" w:color="auto" w:sz="4" w:space="0"/>
                    <w:right w:val="single" w:color="auto" w:sz="4" w:space="0"/>
                  </w:tcBorders>
                  <w:vAlign w:val="center"/>
                </w:tcPr>
                <w:p w14:paraId="75C9A746">
                  <w:pPr>
                    <w:jc w:val="center"/>
                    <w:rPr>
                      <w:bCs/>
                      <w:color w:val="000000" w:themeColor="text1"/>
                      <w:szCs w:val="21"/>
                      <w:highlight w:val="none"/>
                    </w:rPr>
                  </w:pPr>
                  <w:r>
                    <w:rPr>
                      <w:bCs/>
                      <w:color w:val="000000" w:themeColor="text1"/>
                      <w:szCs w:val="21"/>
                      <w:highlight w:val="none"/>
                    </w:rPr>
                    <w:t>填方</w:t>
                  </w:r>
                </w:p>
              </w:tc>
              <w:tc>
                <w:tcPr>
                  <w:tcW w:w="1957" w:type="pct"/>
                  <w:tcBorders>
                    <w:top w:val="single" w:color="auto" w:sz="4" w:space="0"/>
                    <w:left w:val="single" w:color="auto" w:sz="4" w:space="0"/>
                    <w:bottom w:val="single" w:color="auto" w:sz="4" w:space="0"/>
                    <w:right w:val="single" w:color="auto" w:sz="4" w:space="0"/>
                  </w:tcBorders>
                  <w:vAlign w:val="center"/>
                </w:tcPr>
                <w:p w14:paraId="6B4AD5A3">
                  <w:pPr>
                    <w:jc w:val="center"/>
                    <w:rPr>
                      <w:bCs/>
                      <w:color w:val="000000" w:themeColor="text1"/>
                      <w:szCs w:val="21"/>
                      <w:highlight w:val="none"/>
                    </w:rPr>
                  </w:pPr>
                  <w:r>
                    <w:rPr>
                      <w:bCs/>
                      <w:color w:val="000000" w:themeColor="text1"/>
                      <w:szCs w:val="21"/>
                      <w:highlight w:val="none"/>
                    </w:rPr>
                    <w:t>/</w:t>
                  </w:r>
                </w:p>
              </w:tc>
              <w:tc>
                <w:tcPr>
                  <w:tcW w:w="462" w:type="pct"/>
                  <w:tcBorders>
                    <w:top w:val="single" w:color="auto" w:sz="4" w:space="0"/>
                    <w:left w:val="single" w:color="auto" w:sz="4" w:space="0"/>
                    <w:bottom w:val="single" w:color="auto" w:sz="4" w:space="0"/>
                    <w:right w:val="single" w:color="auto" w:sz="4" w:space="0"/>
                  </w:tcBorders>
                  <w:vAlign w:val="center"/>
                </w:tcPr>
                <w:p w14:paraId="7AFB254F">
                  <w:pPr>
                    <w:jc w:val="center"/>
                    <w:rPr>
                      <w:bCs/>
                      <w:color w:val="000000" w:themeColor="text1"/>
                      <w:szCs w:val="21"/>
                      <w:highlight w:val="none"/>
                    </w:rPr>
                  </w:pPr>
                  <w:r>
                    <w:rPr>
                      <w:bCs/>
                      <w:color w:val="000000" w:themeColor="text1"/>
                      <w:szCs w:val="21"/>
                      <w:highlight w:val="none"/>
                    </w:rPr>
                    <w:t>万m</w:t>
                  </w:r>
                  <w:r>
                    <w:rPr>
                      <w:bCs/>
                      <w:color w:val="000000" w:themeColor="text1"/>
                      <w:szCs w:val="21"/>
                      <w:highlight w:val="none"/>
                      <w:vertAlign w:val="superscript"/>
                    </w:rPr>
                    <w:t>3</w:t>
                  </w:r>
                </w:p>
              </w:tc>
              <w:tc>
                <w:tcPr>
                  <w:tcW w:w="444" w:type="pct"/>
                  <w:tcBorders>
                    <w:top w:val="single" w:color="auto" w:sz="4" w:space="0"/>
                    <w:left w:val="single" w:color="auto" w:sz="4" w:space="0"/>
                    <w:bottom w:val="single" w:color="auto" w:sz="4" w:space="0"/>
                    <w:right w:val="single" w:color="auto" w:sz="4" w:space="0"/>
                  </w:tcBorders>
                  <w:vAlign w:val="center"/>
                </w:tcPr>
                <w:p w14:paraId="3740F514">
                  <w:pPr>
                    <w:widowControl/>
                    <w:jc w:val="center"/>
                    <w:textAlignment w:val="center"/>
                    <w:rPr>
                      <w:rFonts w:hint="default" w:eastAsia="宋体"/>
                      <w:bCs/>
                      <w:color w:val="000000" w:themeColor="text1"/>
                      <w:szCs w:val="21"/>
                      <w:highlight w:val="none"/>
                      <w:lang w:val="en-US" w:eastAsia="zh-CN"/>
                    </w:rPr>
                  </w:pPr>
                  <w:r>
                    <w:rPr>
                      <w:rFonts w:hint="eastAsia"/>
                      <w:bCs/>
                      <w:color w:val="000000" w:themeColor="text1"/>
                      <w:szCs w:val="21"/>
                      <w:highlight w:val="none"/>
                    </w:rPr>
                    <w:t>0.</w:t>
                  </w:r>
                  <w:r>
                    <w:rPr>
                      <w:rFonts w:hint="eastAsia"/>
                      <w:bCs/>
                      <w:color w:val="000000" w:themeColor="text1"/>
                      <w:szCs w:val="21"/>
                      <w:highlight w:val="none"/>
                      <w:lang w:val="en-US" w:eastAsia="zh-CN"/>
                    </w:rPr>
                    <w:t>18</w:t>
                  </w:r>
                </w:p>
              </w:tc>
              <w:tc>
                <w:tcPr>
                  <w:tcW w:w="949" w:type="pct"/>
                  <w:tcBorders>
                    <w:top w:val="single" w:color="auto" w:sz="4" w:space="0"/>
                    <w:left w:val="single" w:color="auto" w:sz="4" w:space="0"/>
                    <w:bottom w:val="single" w:color="auto" w:sz="4" w:space="0"/>
                  </w:tcBorders>
                  <w:vAlign w:val="center"/>
                </w:tcPr>
                <w:p w14:paraId="606FA8A5">
                  <w:pPr>
                    <w:jc w:val="center"/>
                    <w:rPr>
                      <w:bCs/>
                      <w:color w:val="000000" w:themeColor="text1"/>
                      <w:szCs w:val="21"/>
                      <w:highlight w:val="none"/>
                    </w:rPr>
                  </w:pPr>
                  <w:r>
                    <w:rPr>
                      <w:bCs/>
                      <w:color w:val="000000" w:themeColor="text1"/>
                      <w:szCs w:val="21"/>
                      <w:highlight w:val="none"/>
                    </w:rPr>
                    <w:t>/</w:t>
                  </w:r>
                </w:p>
              </w:tc>
            </w:tr>
            <w:tr w14:paraId="403EF8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383" w:type="pct"/>
                  <w:vMerge w:val="continue"/>
                  <w:tcBorders>
                    <w:right w:val="single" w:color="auto" w:sz="4" w:space="0"/>
                  </w:tcBorders>
                  <w:vAlign w:val="center"/>
                </w:tcPr>
                <w:p w14:paraId="39A6C00C">
                  <w:pPr>
                    <w:jc w:val="center"/>
                    <w:rPr>
                      <w:rFonts w:eastAsiaTheme="minorEastAsia"/>
                      <w:color w:val="000000" w:themeColor="text1"/>
                      <w:kern w:val="0"/>
                      <w:szCs w:val="21"/>
                      <w:highlight w:val="none"/>
                    </w:rPr>
                  </w:pPr>
                </w:p>
              </w:tc>
              <w:tc>
                <w:tcPr>
                  <w:tcW w:w="305" w:type="pct"/>
                  <w:vMerge w:val="continue"/>
                  <w:tcBorders>
                    <w:right w:val="single" w:color="auto" w:sz="4" w:space="0"/>
                  </w:tcBorders>
                  <w:vAlign w:val="center"/>
                </w:tcPr>
                <w:p w14:paraId="43F651CE">
                  <w:pPr>
                    <w:jc w:val="center"/>
                    <w:rPr>
                      <w:bCs/>
                      <w:color w:val="000000" w:themeColor="text1"/>
                      <w:szCs w:val="21"/>
                      <w:highlight w:val="none"/>
                    </w:rPr>
                  </w:pPr>
                </w:p>
              </w:tc>
              <w:tc>
                <w:tcPr>
                  <w:tcW w:w="498" w:type="pct"/>
                  <w:tcBorders>
                    <w:bottom w:val="single" w:color="auto" w:sz="4" w:space="0"/>
                    <w:right w:val="single" w:color="auto" w:sz="4" w:space="0"/>
                  </w:tcBorders>
                  <w:vAlign w:val="center"/>
                </w:tcPr>
                <w:p w14:paraId="0CCB2D79">
                  <w:pPr>
                    <w:jc w:val="center"/>
                    <w:rPr>
                      <w:bCs/>
                      <w:color w:val="000000" w:themeColor="text1"/>
                      <w:szCs w:val="21"/>
                      <w:highlight w:val="none"/>
                    </w:rPr>
                  </w:pPr>
                  <w:r>
                    <w:rPr>
                      <w:bCs/>
                      <w:color w:val="000000" w:themeColor="text1"/>
                      <w:szCs w:val="21"/>
                      <w:highlight w:val="none"/>
                    </w:rPr>
                    <w:t>挖方</w:t>
                  </w:r>
                </w:p>
              </w:tc>
              <w:tc>
                <w:tcPr>
                  <w:tcW w:w="1957" w:type="pct"/>
                  <w:tcBorders>
                    <w:top w:val="single" w:color="auto" w:sz="4" w:space="0"/>
                    <w:left w:val="single" w:color="auto" w:sz="4" w:space="0"/>
                    <w:bottom w:val="single" w:color="auto" w:sz="4" w:space="0"/>
                    <w:right w:val="single" w:color="auto" w:sz="4" w:space="0"/>
                  </w:tcBorders>
                  <w:vAlign w:val="center"/>
                </w:tcPr>
                <w:p w14:paraId="4D75CBAE">
                  <w:pPr>
                    <w:jc w:val="center"/>
                    <w:rPr>
                      <w:bCs/>
                      <w:color w:val="000000" w:themeColor="text1"/>
                      <w:szCs w:val="21"/>
                      <w:highlight w:val="none"/>
                    </w:rPr>
                  </w:pPr>
                  <w:r>
                    <w:rPr>
                      <w:bCs/>
                      <w:color w:val="000000" w:themeColor="text1"/>
                      <w:szCs w:val="21"/>
                      <w:highlight w:val="none"/>
                    </w:rPr>
                    <w:t>/</w:t>
                  </w:r>
                </w:p>
              </w:tc>
              <w:tc>
                <w:tcPr>
                  <w:tcW w:w="462" w:type="pct"/>
                  <w:tcBorders>
                    <w:top w:val="single" w:color="auto" w:sz="4" w:space="0"/>
                    <w:left w:val="single" w:color="auto" w:sz="4" w:space="0"/>
                    <w:bottom w:val="single" w:color="auto" w:sz="4" w:space="0"/>
                    <w:right w:val="single" w:color="auto" w:sz="4" w:space="0"/>
                  </w:tcBorders>
                  <w:vAlign w:val="center"/>
                </w:tcPr>
                <w:p w14:paraId="575071DD">
                  <w:pPr>
                    <w:jc w:val="center"/>
                    <w:rPr>
                      <w:bCs/>
                      <w:color w:val="000000" w:themeColor="text1"/>
                      <w:szCs w:val="21"/>
                      <w:highlight w:val="none"/>
                    </w:rPr>
                  </w:pPr>
                  <w:r>
                    <w:rPr>
                      <w:bCs/>
                      <w:color w:val="000000" w:themeColor="text1"/>
                      <w:szCs w:val="21"/>
                      <w:highlight w:val="none"/>
                    </w:rPr>
                    <w:t>万m</w:t>
                  </w:r>
                  <w:r>
                    <w:rPr>
                      <w:bCs/>
                      <w:color w:val="000000" w:themeColor="text1"/>
                      <w:szCs w:val="21"/>
                      <w:highlight w:val="none"/>
                      <w:vertAlign w:val="superscript"/>
                    </w:rPr>
                    <w:t>3</w:t>
                  </w:r>
                </w:p>
              </w:tc>
              <w:tc>
                <w:tcPr>
                  <w:tcW w:w="444" w:type="pct"/>
                  <w:tcBorders>
                    <w:top w:val="single" w:color="auto" w:sz="4" w:space="0"/>
                    <w:left w:val="single" w:color="auto" w:sz="4" w:space="0"/>
                    <w:bottom w:val="single" w:color="auto" w:sz="4" w:space="0"/>
                    <w:right w:val="single" w:color="auto" w:sz="4" w:space="0"/>
                  </w:tcBorders>
                  <w:vAlign w:val="center"/>
                </w:tcPr>
                <w:p w14:paraId="5E97BCC8">
                  <w:pPr>
                    <w:jc w:val="center"/>
                    <w:rPr>
                      <w:bCs/>
                      <w:color w:val="000000" w:themeColor="text1"/>
                      <w:szCs w:val="21"/>
                      <w:highlight w:val="none"/>
                    </w:rPr>
                  </w:pPr>
                  <w:r>
                    <w:rPr>
                      <w:rFonts w:hint="eastAsia"/>
                      <w:bCs/>
                      <w:color w:val="000000" w:themeColor="text1"/>
                      <w:szCs w:val="21"/>
                      <w:highlight w:val="none"/>
                    </w:rPr>
                    <w:t>1.3</w:t>
                  </w:r>
                </w:p>
              </w:tc>
              <w:tc>
                <w:tcPr>
                  <w:tcW w:w="949" w:type="pct"/>
                  <w:tcBorders>
                    <w:top w:val="single" w:color="auto" w:sz="4" w:space="0"/>
                    <w:left w:val="single" w:color="auto" w:sz="4" w:space="0"/>
                    <w:bottom w:val="single" w:color="auto" w:sz="4" w:space="0"/>
                    <w:right w:val="single" w:color="auto" w:sz="4" w:space="0"/>
                  </w:tcBorders>
                  <w:vAlign w:val="center"/>
                </w:tcPr>
                <w:p w14:paraId="35573112">
                  <w:pPr>
                    <w:jc w:val="center"/>
                    <w:rPr>
                      <w:rFonts w:hint="default" w:eastAsia="宋体"/>
                      <w:bCs/>
                      <w:color w:val="000000" w:themeColor="text1"/>
                      <w:szCs w:val="21"/>
                      <w:highlight w:val="none"/>
                      <w:lang w:val="en-US" w:eastAsia="zh-CN"/>
                    </w:rPr>
                  </w:pPr>
                  <w:r>
                    <w:rPr>
                      <w:rFonts w:hint="eastAsia"/>
                      <w:bCs/>
                      <w:color w:val="000000" w:themeColor="text1"/>
                      <w:szCs w:val="21"/>
                      <w:highlight w:val="none"/>
                    </w:rPr>
                    <w:t>包括</w:t>
                  </w:r>
                  <w:r>
                    <w:rPr>
                      <w:rFonts w:hint="eastAsia"/>
                      <w:bCs/>
                      <w:color w:val="000000" w:themeColor="text1"/>
                      <w:szCs w:val="21"/>
                      <w:highlight w:val="none"/>
                      <w:lang w:eastAsia="zh-CN"/>
                    </w:rPr>
                    <w:t>场</w:t>
                  </w:r>
                  <w:r>
                    <w:rPr>
                      <w:rFonts w:hint="eastAsia"/>
                      <w:bCs/>
                      <w:color w:val="000000" w:themeColor="text1"/>
                      <w:szCs w:val="21"/>
                      <w:highlight w:val="none"/>
                    </w:rPr>
                    <w:t>平挖方及表土剥离</w:t>
                  </w:r>
                  <w:r>
                    <w:rPr>
                      <w:rStyle w:val="31"/>
                      <w:rFonts w:hint="eastAsia"/>
                      <w:color w:val="000000" w:themeColor="text1"/>
                      <w:kern w:val="0"/>
                      <w:highlight w:val="none"/>
                      <w:lang w:eastAsia="zh-CN"/>
                    </w:rPr>
                    <w:t>，</w:t>
                  </w:r>
                  <w:r>
                    <w:rPr>
                      <w:rStyle w:val="31"/>
                      <w:rFonts w:hint="eastAsia"/>
                      <w:color w:val="000000" w:themeColor="text1"/>
                      <w:kern w:val="0"/>
                      <w:highlight w:val="none"/>
                      <w:lang w:val="en-US" w:eastAsia="zh-CN"/>
                    </w:rPr>
                    <w:t>剥离表土用于覆土</w:t>
                  </w:r>
                </w:p>
              </w:tc>
            </w:tr>
            <w:tr w14:paraId="510B9A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383" w:type="pct"/>
                  <w:vMerge w:val="continue"/>
                  <w:tcBorders>
                    <w:right w:val="single" w:color="auto" w:sz="4" w:space="0"/>
                  </w:tcBorders>
                  <w:vAlign w:val="center"/>
                </w:tcPr>
                <w:p w14:paraId="33C405EE">
                  <w:pPr>
                    <w:jc w:val="center"/>
                    <w:rPr>
                      <w:color w:val="000000" w:themeColor="text1"/>
                      <w:highlight w:val="none"/>
                    </w:rPr>
                  </w:pPr>
                </w:p>
              </w:tc>
              <w:tc>
                <w:tcPr>
                  <w:tcW w:w="305" w:type="pct"/>
                  <w:vMerge w:val="continue"/>
                  <w:tcBorders>
                    <w:right w:val="single" w:color="auto" w:sz="4" w:space="0"/>
                  </w:tcBorders>
                  <w:vAlign w:val="center"/>
                </w:tcPr>
                <w:p w14:paraId="4E467AAC">
                  <w:pPr>
                    <w:jc w:val="center"/>
                    <w:rPr>
                      <w:bCs/>
                      <w:color w:val="000000" w:themeColor="text1"/>
                      <w:szCs w:val="21"/>
                      <w:highlight w:val="none"/>
                    </w:rPr>
                  </w:pPr>
                </w:p>
              </w:tc>
              <w:tc>
                <w:tcPr>
                  <w:tcW w:w="498" w:type="pct"/>
                  <w:tcBorders>
                    <w:top w:val="single" w:color="auto" w:sz="4" w:space="0"/>
                    <w:left w:val="single" w:color="auto" w:sz="4" w:space="0"/>
                    <w:bottom w:val="single" w:color="auto" w:sz="4" w:space="0"/>
                    <w:right w:val="single" w:color="auto" w:sz="4" w:space="0"/>
                  </w:tcBorders>
                  <w:vAlign w:val="center"/>
                </w:tcPr>
                <w:p w14:paraId="28F782B7">
                  <w:pPr>
                    <w:jc w:val="center"/>
                    <w:rPr>
                      <w:bCs/>
                      <w:color w:val="000000" w:themeColor="text1"/>
                      <w:szCs w:val="21"/>
                      <w:highlight w:val="none"/>
                    </w:rPr>
                  </w:pPr>
                  <w:r>
                    <w:rPr>
                      <w:rFonts w:hint="eastAsia"/>
                      <w:bCs/>
                      <w:color w:val="000000" w:themeColor="text1"/>
                      <w:szCs w:val="21"/>
                      <w:highlight w:val="none"/>
                    </w:rPr>
                    <w:t>弃方</w:t>
                  </w:r>
                </w:p>
              </w:tc>
              <w:tc>
                <w:tcPr>
                  <w:tcW w:w="1957" w:type="pct"/>
                  <w:tcBorders>
                    <w:top w:val="single" w:color="auto" w:sz="4" w:space="0"/>
                    <w:left w:val="single" w:color="auto" w:sz="4" w:space="0"/>
                    <w:bottom w:val="single" w:color="auto" w:sz="4" w:space="0"/>
                    <w:right w:val="single" w:color="auto" w:sz="4" w:space="0"/>
                  </w:tcBorders>
                  <w:vAlign w:val="center"/>
                </w:tcPr>
                <w:p w14:paraId="21B6BEFB">
                  <w:pPr>
                    <w:jc w:val="center"/>
                    <w:rPr>
                      <w:bCs/>
                      <w:color w:val="000000" w:themeColor="text1"/>
                      <w:szCs w:val="21"/>
                      <w:highlight w:val="none"/>
                    </w:rPr>
                  </w:pPr>
                  <w:r>
                    <w:rPr>
                      <w:bCs/>
                      <w:color w:val="000000" w:themeColor="text1"/>
                      <w:szCs w:val="21"/>
                      <w:highlight w:val="none"/>
                    </w:rPr>
                    <w:t>/</w:t>
                  </w:r>
                </w:p>
              </w:tc>
              <w:tc>
                <w:tcPr>
                  <w:tcW w:w="462" w:type="pct"/>
                  <w:tcBorders>
                    <w:top w:val="single" w:color="auto" w:sz="4" w:space="0"/>
                    <w:left w:val="single" w:color="auto" w:sz="4" w:space="0"/>
                    <w:bottom w:val="single" w:color="auto" w:sz="4" w:space="0"/>
                    <w:right w:val="single" w:color="auto" w:sz="4" w:space="0"/>
                  </w:tcBorders>
                  <w:vAlign w:val="center"/>
                </w:tcPr>
                <w:p w14:paraId="0D74B13E">
                  <w:pPr>
                    <w:jc w:val="center"/>
                    <w:rPr>
                      <w:bCs/>
                      <w:color w:val="000000" w:themeColor="text1"/>
                      <w:szCs w:val="21"/>
                      <w:highlight w:val="none"/>
                    </w:rPr>
                  </w:pPr>
                  <w:r>
                    <w:rPr>
                      <w:bCs/>
                      <w:color w:val="000000" w:themeColor="text1"/>
                      <w:szCs w:val="21"/>
                      <w:highlight w:val="none"/>
                    </w:rPr>
                    <w:t>万m</w:t>
                  </w:r>
                  <w:r>
                    <w:rPr>
                      <w:bCs/>
                      <w:color w:val="000000" w:themeColor="text1"/>
                      <w:szCs w:val="21"/>
                      <w:highlight w:val="none"/>
                      <w:vertAlign w:val="superscript"/>
                    </w:rPr>
                    <w:t>3</w:t>
                  </w:r>
                </w:p>
              </w:tc>
              <w:tc>
                <w:tcPr>
                  <w:tcW w:w="444" w:type="pct"/>
                  <w:tcBorders>
                    <w:top w:val="single" w:color="auto" w:sz="4" w:space="0"/>
                    <w:left w:val="single" w:color="auto" w:sz="4" w:space="0"/>
                    <w:bottom w:val="single" w:color="auto" w:sz="4" w:space="0"/>
                    <w:right w:val="single" w:color="auto" w:sz="4" w:space="0"/>
                  </w:tcBorders>
                  <w:vAlign w:val="center"/>
                </w:tcPr>
                <w:p w14:paraId="50625538">
                  <w:pPr>
                    <w:jc w:val="center"/>
                    <w:rPr>
                      <w:rFonts w:hint="default" w:eastAsia="宋体"/>
                      <w:bCs/>
                      <w:color w:val="000000" w:themeColor="text1"/>
                      <w:szCs w:val="21"/>
                      <w:highlight w:val="none"/>
                      <w:lang w:val="en-US" w:eastAsia="zh-CN"/>
                    </w:rPr>
                  </w:pPr>
                  <w:r>
                    <w:rPr>
                      <w:rFonts w:hint="eastAsia"/>
                      <w:bCs/>
                      <w:color w:val="000000" w:themeColor="text1"/>
                      <w:szCs w:val="21"/>
                      <w:highlight w:val="none"/>
                    </w:rPr>
                    <w:t>1.</w:t>
                  </w:r>
                  <w:r>
                    <w:rPr>
                      <w:rFonts w:hint="eastAsia"/>
                      <w:bCs/>
                      <w:color w:val="000000" w:themeColor="text1"/>
                      <w:szCs w:val="21"/>
                      <w:highlight w:val="none"/>
                      <w:lang w:val="en-US" w:eastAsia="zh-CN"/>
                    </w:rPr>
                    <w:t>12</w:t>
                  </w:r>
                </w:p>
              </w:tc>
              <w:tc>
                <w:tcPr>
                  <w:tcW w:w="949" w:type="pct"/>
                  <w:vMerge w:val="restart"/>
                  <w:tcBorders>
                    <w:top w:val="single" w:color="auto" w:sz="4" w:space="0"/>
                    <w:left w:val="single" w:color="auto" w:sz="4" w:space="0"/>
                    <w:right w:val="single" w:color="auto" w:sz="4" w:space="0"/>
                  </w:tcBorders>
                  <w:vAlign w:val="center"/>
                </w:tcPr>
                <w:p w14:paraId="77082647">
                  <w:pPr>
                    <w:jc w:val="center"/>
                    <w:rPr>
                      <w:bCs/>
                      <w:color w:val="000000" w:themeColor="text1"/>
                      <w:szCs w:val="21"/>
                      <w:highlight w:val="none"/>
                    </w:rPr>
                  </w:pPr>
                  <w:r>
                    <w:rPr>
                      <w:bCs/>
                      <w:color w:val="000000" w:themeColor="text1"/>
                      <w:szCs w:val="21"/>
                      <w:highlight w:val="none"/>
                    </w:rPr>
                    <w:t>拉运至公沟煤矿外排土场</w:t>
                  </w:r>
                </w:p>
              </w:tc>
            </w:tr>
            <w:tr w14:paraId="2DF665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383" w:type="pct"/>
                  <w:vMerge w:val="continue"/>
                  <w:tcBorders>
                    <w:right w:val="single" w:color="auto" w:sz="4" w:space="0"/>
                  </w:tcBorders>
                  <w:vAlign w:val="center"/>
                </w:tcPr>
                <w:p w14:paraId="3D365CDA">
                  <w:pPr>
                    <w:jc w:val="center"/>
                    <w:rPr>
                      <w:color w:val="000000" w:themeColor="text1"/>
                      <w:highlight w:val="none"/>
                    </w:rPr>
                  </w:pPr>
                </w:p>
              </w:tc>
              <w:tc>
                <w:tcPr>
                  <w:tcW w:w="305" w:type="pct"/>
                  <w:vMerge w:val="continue"/>
                  <w:tcBorders>
                    <w:right w:val="single" w:color="auto" w:sz="4" w:space="0"/>
                  </w:tcBorders>
                  <w:vAlign w:val="center"/>
                </w:tcPr>
                <w:p w14:paraId="6197A701">
                  <w:pPr>
                    <w:jc w:val="center"/>
                    <w:rPr>
                      <w:bCs/>
                      <w:color w:val="000000" w:themeColor="text1"/>
                      <w:szCs w:val="21"/>
                      <w:highlight w:val="none"/>
                    </w:rPr>
                  </w:pPr>
                </w:p>
              </w:tc>
              <w:tc>
                <w:tcPr>
                  <w:tcW w:w="498" w:type="pct"/>
                  <w:tcBorders>
                    <w:top w:val="single" w:color="auto" w:sz="4" w:space="0"/>
                    <w:left w:val="single" w:color="auto" w:sz="4" w:space="0"/>
                    <w:bottom w:val="single" w:color="auto" w:sz="4" w:space="0"/>
                    <w:right w:val="single" w:color="auto" w:sz="4" w:space="0"/>
                  </w:tcBorders>
                  <w:vAlign w:val="center"/>
                </w:tcPr>
                <w:p w14:paraId="7D6F3689">
                  <w:pPr>
                    <w:jc w:val="center"/>
                    <w:rPr>
                      <w:rFonts w:hint="default" w:eastAsia="宋体"/>
                      <w:bCs/>
                      <w:color w:val="000000" w:themeColor="text1"/>
                      <w:szCs w:val="21"/>
                      <w:highlight w:val="none"/>
                      <w:lang w:val="en-US" w:eastAsia="zh-CN"/>
                    </w:rPr>
                  </w:pPr>
                  <w:r>
                    <w:rPr>
                      <w:rFonts w:hint="eastAsia"/>
                      <w:bCs/>
                      <w:color w:val="000000" w:themeColor="text1"/>
                      <w:szCs w:val="21"/>
                      <w:highlight w:val="none"/>
                      <w:lang w:val="en-US" w:eastAsia="zh-CN"/>
                    </w:rPr>
                    <w:t>挖石</w:t>
                  </w:r>
                </w:p>
              </w:tc>
              <w:tc>
                <w:tcPr>
                  <w:tcW w:w="1957" w:type="pct"/>
                  <w:tcBorders>
                    <w:top w:val="single" w:color="auto" w:sz="4" w:space="0"/>
                    <w:left w:val="single" w:color="auto" w:sz="4" w:space="0"/>
                    <w:bottom w:val="single" w:color="auto" w:sz="4" w:space="0"/>
                    <w:right w:val="single" w:color="auto" w:sz="4" w:space="0"/>
                  </w:tcBorders>
                  <w:vAlign w:val="center"/>
                </w:tcPr>
                <w:p w14:paraId="2B1F7A5C">
                  <w:pPr>
                    <w:jc w:val="center"/>
                    <w:rPr>
                      <w:rFonts w:hint="eastAsia" w:eastAsia="宋体"/>
                      <w:bCs/>
                      <w:color w:val="000000" w:themeColor="text1"/>
                      <w:szCs w:val="21"/>
                      <w:highlight w:val="none"/>
                      <w:lang w:val="en-US" w:eastAsia="zh-CN"/>
                    </w:rPr>
                  </w:pPr>
                  <w:r>
                    <w:rPr>
                      <w:rFonts w:hint="eastAsia"/>
                      <w:bCs/>
                      <w:color w:val="000000" w:themeColor="text1"/>
                      <w:szCs w:val="21"/>
                      <w:highlight w:val="none"/>
                      <w:lang w:val="en-US" w:eastAsia="zh-CN"/>
                    </w:rPr>
                    <w:t>/</w:t>
                  </w:r>
                </w:p>
              </w:tc>
              <w:tc>
                <w:tcPr>
                  <w:tcW w:w="462" w:type="pct"/>
                  <w:tcBorders>
                    <w:top w:val="single" w:color="auto" w:sz="4" w:space="0"/>
                    <w:left w:val="single" w:color="auto" w:sz="4" w:space="0"/>
                    <w:bottom w:val="single" w:color="auto" w:sz="4" w:space="0"/>
                    <w:right w:val="single" w:color="auto" w:sz="4" w:space="0"/>
                  </w:tcBorders>
                  <w:vAlign w:val="center"/>
                </w:tcPr>
                <w:p w14:paraId="7A6D9806">
                  <w:pPr>
                    <w:jc w:val="center"/>
                    <w:rPr>
                      <w:bCs/>
                      <w:color w:val="000000" w:themeColor="text1"/>
                      <w:szCs w:val="21"/>
                      <w:highlight w:val="none"/>
                    </w:rPr>
                  </w:pPr>
                  <w:r>
                    <w:rPr>
                      <w:bCs/>
                      <w:color w:val="000000" w:themeColor="text1"/>
                      <w:szCs w:val="21"/>
                      <w:highlight w:val="none"/>
                    </w:rPr>
                    <w:t>万m</w:t>
                  </w:r>
                  <w:r>
                    <w:rPr>
                      <w:bCs/>
                      <w:color w:val="000000" w:themeColor="text1"/>
                      <w:szCs w:val="21"/>
                      <w:highlight w:val="none"/>
                      <w:vertAlign w:val="superscript"/>
                    </w:rPr>
                    <w:t>3</w:t>
                  </w:r>
                </w:p>
              </w:tc>
              <w:tc>
                <w:tcPr>
                  <w:tcW w:w="444" w:type="pct"/>
                  <w:tcBorders>
                    <w:top w:val="single" w:color="auto" w:sz="4" w:space="0"/>
                    <w:left w:val="single" w:color="auto" w:sz="4" w:space="0"/>
                    <w:bottom w:val="single" w:color="auto" w:sz="4" w:space="0"/>
                    <w:right w:val="single" w:color="auto" w:sz="4" w:space="0"/>
                  </w:tcBorders>
                  <w:vAlign w:val="center"/>
                </w:tcPr>
                <w:p w14:paraId="23552B6E">
                  <w:pPr>
                    <w:jc w:val="center"/>
                    <w:rPr>
                      <w:rFonts w:hint="eastAsia"/>
                      <w:bCs/>
                      <w:color w:val="000000" w:themeColor="text1"/>
                      <w:szCs w:val="21"/>
                      <w:highlight w:val="none"/>
                    </w:rPr>
                  </w:pPr>
                  <w:r>
                    <w:rPr>
                      <w:rFonts w:hint="eastAsia"/>
                      <w:bCs/>
                      <w:color w:val="000000" w:themeColor="text1"/>
                      <w:szCs w:val="21"/>
                      <w:highlight w:val="none"/>
                    </w:rPr>
                    <w:t>2.62</w:t>
                  </w:r>
                </w:p>
              </w:tc>
              <w:tc>
                <w:tcPr>
                  <w:tcW w:w="949" w:type="pct"/>
                  <w:vMerge w:val="continue"/>
                  <w:tcBorders>
                    <w:left w:val="single" w:color="auto" w:sz="4" w:space="0"/>
                    <w:right w:val="single" w:color="auto" w:sz="4" w:space="0"/>
                  </w:tcBorders>
                  <w:vAlign w:val="center"/>
                </w:tcPr>
                <w:p w14:paraId="02FB49D0">
                  <w:pPr>
                    <w:jc w:val="center"/>
                    <w:rPr>
                      <w:bCs/>
                      <w:color w:val="000000" w:themeColor="text1"/>
                      <w:szCs w:val="21"/>
                      <w:highlight w:val="none"/>
                    </w:rPr>
                  </w:pPr>
                </w:p>
              </w:tc>
            </w:tr>
            <w:tr w14:paraId="350C6D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3" w:hRule="atLeast"/>
                <w:jc w:val="center"/>
              </w:trPr>
              <w:tc>
                <w:tcPr>
                  <w:tcW w:w="383" w:type="pct"/>
                  <w:vMerge w:val="continue"/>
                  <w:tcBorders>
                    <w:right w:val="single" w:color="auto" w:sz="4" w:space="0"/>
                  </w:tcBorders>
                  <w:vAlign w:val="center"/>
                </w:tcPr>
                <w:p w14:paraId="7804D11D">
                  <w:pPr>
                    <w:jc w:val="center"/>
                    <w:rPr>
                      <w:color w:val="000000" w:themeColor="text1"/>
                      <w:highlight w:val="none"/>
                    </w:rPr>
                  </w:pPr>
                </w:p>
              </w:tc>
              <w:tc>
                <w:tcPr>
                  <w:tcW w:w="305" w:type="pct"/>
                  <w:vMerge w:val="continue"/>
                  <w:tcBorders>
                    <w:right w:val="single" w:color="auto" w:sz="4" w:space="0"/>
                  </w:tcBorders>
                  <w:vAlign w:val="center"/>
                </w:tcPr>
                <w:p w14:paraId="47E28B42">
                  <w:pPr>
                    <w:jc w:val="center"/>
                    <w:rPr>
                      <w:bCs/>
                      <w:color w:val="000000" w:themeColor="text1"/>
                      <w:szCs w:val="21"/>
                      <w:highlight w:val="none"/>
                    </w:rPr>
                  </w:pPr>
                </w:p>
              </w:tc>
              <w:tc>
                <w:tcPr>
                  <w:tcW w:w="498" w:type="pct"/>
                  <w:tcBorders>
                    <w:top w:val="single" w:color="auto" w:sz="4" w:space="0"/>
                    <w:bottom w:val="single" w:color="auto" w:sz="4" w:space="0"/>
                    <w:right w:val="single" w:color="auto" w:sz="4" w:space="0"/>
                  </w:tcBorders>
                  <w:vAlign w:val="center"/>
                </w:tcPr>
                <w:p w14:paraId="33865874">
                  <w:pPr>
                    <w:jc w:val="center"/>
                    <w:rPr>
                      <w:bCs/>
                      <w:color w:val="000000" w:themeColor="text1"/>
                      <w:szCs w:val="21"/>
                      <w:highlight w:val="none"/>
                    </w:rPr>
                  </w:pPr>
                  <w:r>
                    <w:rPr>
                      <w:rFonts w:hint="eastAsia"/>
                      <w:bCs/>
                      <w:color w:val="000000" w:themeColor="text1"/>
                      <w:szCs w:val="21"/>
                      <w:highlight w:val="none"/>
                    </w:rPr>
                    <w:t>弃石</w:t>
                  </w:r>
                </w:p>
              </w:tc>
              <w:tc>
                <w:tcPr>
                  <w:tcW w:w="1957" w:type="pct"/>
                  <w:tcBorders>
                    <w:top w:val="single" w:color="auto" w:sz="4" w:space="0"/>
                    <w:left w:val="single" w:color="auto" w:sz="4" w:space="0"/>
                    <w:bottom w:val="single" w:color="auto" w:sz="4" w:space="0"/>
                    <w:right w:val="single" w:color="auto" w:sz="4" w:space="0"/>
                  </w:tcBorders>
                  <w:vAlign w:val="center"/>
                </w:tcPr>
                <w:p w14:paraId="38E757D1">
                  <w:pPr>
                    <w:jc w:val="center"/>
                    <w:rPr>
                      <w:bCs/>
                      <w:color w:val="000000" w:themeColor="text1"/>
                      <w:szCs w:val="21"/>
                      <w:highlight w:val="none"/>
                    </w:rPr>
                  </w:pPr>
                  <w:r>
                    <w:rPr>
                      <w:rFonts w:hint="eastAsia"/>
                      <w:bCs/>
                      <w:color w:val="000000" w:themeColor="text1"/>
                      <w:szCs w:val="21"/>
                      <w:highlight w:val="none"/>
                    </w:rPr>
                    <w:t>/</w:t>
                  </w:r>
                </w:p>
              </w:tc>
              <w:tc>
                <w:tcPr>
                  <w:tcW w:w="462" w:type="pct"/>
                  <w:tcBorders>
                    <w:top w:val="single" w:color="auto" w:sz="4" w:space="0"/>
                    <w:left w:val="single" w:color="auto" w:sz="4" w:space="0"/>
                    <w:bottom w:val="single" w:color="auto" w:sz="4" w:space="0"/>
                    <w:right w:val="single" w:color="auto" w:sz="4" w:space="0"/>
                  </w:tcBorders>
                  <w:vAlign w:val="center"/>
                </w:tcPr>
                <w:p w14:paraId="7A9B6A53">
                  <w:pPr>
                    <w:jc w:val="center"/>
                    <w:rPr>
                      <w:bCs/>
                      <w:color w:val="000000" w:themeColor="text1"/>
                      <w:szCs w:val="21"/>
                      <w:highlight w:val="none"/>
                    </w:rPr>
                  </w:pPr>
                  <w:r>
                    <w:rPr>
                      <w:bCs/>
                      <w:color w:val="000000" w:themeColor="text1"/>
                      <w:szCs w:val="21"/>
                      <w:highlight w:val="none"/>
                    </w:rPr>
                    <w:t>万m</w:t>
                  </w:r>
                  <w:r>
                    <w:rPr>
                      <w:bCs/>
                      <w:color w:val="000000" w:themeColor="text1"/>
                      <w:szCs w:val="21"/>
                      <w:highlight w:val="none"/>
                      <w:vertAlign w:val="superscript"/>
                    </w:rPr>
                    <w:t>3</w:t>
                  </w:r>
                </w:p>
              </w:tc>
              <w:tc>
                <w:tcPr>
                  <w:tcW w:w="444" w:type="pct"/>
                  <w:tcBorders>
                    <w:top w:val="single" w:color="auto" w:sz="4" w:space="0"/>
                    <w:left w:val="single" w:color="auto" w:sz="4" w:space="0"/>
                    <w:bottom w:val="single" w:color="auto" w:sz="4" w:space="0"/>
                    <w:right w:val="single" w:color="auto" w:sz="4" w:space="0"/>
                  </w:tcBorders>
                  <w:vAlign w:val="center"/>
                </w:tcPr>
                <w:p w14:paraId="30F7B2C4">
                  <w:pPr>
                    <w:jc w:val="center"/>
                    <w:rPr>
                      <w:bCs/>
                      <w:color w:val="000000" w:themeColor="text1"/>
                      <w:szCs w:val="21"/>
                      <w:highlight w:val="none"/>
                    </w:rPr>
                  </w:pPr>
                  <w:r>
                    <w:rPr>
                      <w:rFonts w:hint="eastAsia"/>
                      <w:bCs/>
                      <w:color w:val="000000" w:themeColor="text1"/>
                      <w:szCs w:val="21"/>
                      <w:highlight w:val="none"/>
                    </w:rPr>
                    <w:t>2.62</w:t>
                  </w:r>
                </w:p>
              </w:tc>
              <w:tc>
                <w:tcPr>
                  <w:tcW w:w="949" w:type="pct"/>
                  <w:vMerge w:val="continue"/>
                  <w:tcBorders>
                    <w:left w:val="single" w:color="auto" w:sz="4" w:space="0"/>
                    <w:bottom w:val="single" w:color="auto" w:sz="4" w:space="0"/>
                    <w:right w:val="single" w:color="auto" w:sz="4" w:space="0"/>
                  </w:tcBorders>
                  <w:vAlign w:val="center"/>
                </w:tcPr>
                <w:p w14:paraId="1B6A9023">
                  <w:pPr>
                    <w:jc w:val="center"/>
                    <w:rPr>
                      <w:bCs/>
                      <w:color w:val="000000" w:themeColor="text1"/>
                      <w:szCs w:val="21"/>
                      <w:highlight w:val="none"/>
                    </w:rPr>
                  </w:pPr>
                </w:p>
              </w:tc>
            </w:tr>
            <w:tr w14:paraId="25A5A6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83" w:type="pct"/>
                  <w:vMerge w:val="restart"/>
                  <w:tcBorders>
                    <w:top w:val="single" w:color="auto" w:sz="4" w:space="0"/>
                    <w:right w:val="single" w:color="auto" w:sz="4" w:space="0"/>
                  </w:tcBorders>
                  <w:vAlign w:val="center"/>
                </w:tcPr>
                <w:p w14:paraId="2F789B7A">
                  <w:pPr>
                    <w:jc w:val="center"/>
                    <w:rPr>
                      <w:rFonts w:eastAsiaTheme="minorEastAsia"/>
                      <w:color w:val="000000" w:themeColor="text1"/>
                      <w:kern w:val="0"/>
                      <w:szCs w:val="21"/>
                      <w:highlight w:val="none"/>
                    </w:rPr>
                  </w:pPr>
                  <w:r>
                    <w:rPr>
                      <w:rFonts w:eastAsiaTheme="minorEastAsia"/>
                      <w:color w:val="000000" w:themeColor="text1"/>
                      <w:kern w:val="0"/>
                      <w:szCs w:val="21"/>
                      <w:highlight w:val="none"/>
                    </w:rPr>
                    <w:t>3</w:t>
                  </w:r>
                </w:p>
              </w:tc>
              <w:tc>
                <w:tcPr>
                  <w:tcW w:w="305" w:type="pct"/>
                  <w:vMerge w:val="restart"/>
                  <w:tcBorders>
                    <w:top w:val="single" w:color="auto" w:sz="4" w:space="0"/>
                    <w:right w:val="single" w:color="auto" w:sz="4" w:space="0"/>
                  </w:tcBorders>
                  <w:vAlign w:val="center"/>
                </w:tcPr>
                <w:p w14:paraId="64D3D86F">
                  <w:pPr>
                    <w:jc w:val="center"/>
                    <w:rPr>
                      <w:bCs/>
                      <w:color w:val="000000" w:themeColor="text1"/>
                      <w:szCs w:val="21"/>
                      <w:highlight w:val="none"/>
                    </w:rPr>
                  </w:pPr>
                  <w:r>
                    <w:rPr>
                      <w:bCs/>
                      <w:color w:val="000000" w:themeColor="text1"/>
                      <w:szCs w:val="21"/>
                      <w:highlight w:val="none"/>
                    </w:rPr>
                    <w:t>道路</w:t>
                  </w:r>
                </w:p>
              </w:tc>
              <w:tc>
                <w:tcPr>
                  <w:tcW w:w="498" w:type="pct"/>
                  <w:vMerge w:val="restart"/>
                  <w:tcBorders>
                    <w:top w:val="single" w:color="auto" w:sz="4" w:space="0"/>
                    <w:bottom w:val="single" w:color="auto" w:sz="4" w:space="0"/>
                    <w:right w:val="single" w:color="auto" w:sz="4" w:space="0"/>
                  </w:tcBorders>
                  <w:vAlign w:val="center"/>
                </w:tcPr>
                <w:p w14:paraId="72C3BACD">
                  <w:pPr>
                    <w:jc w:val="center"/>
                    <w:rPr>
                      <w:bCs/>
                      <w:color w:val="000000" w:themeColor="text1"/>
                      <w:szCs w:val="21"/>
                      <w:highlight w:val="none"/>
                    </w:rPr>
                  </w:pPr>
                  <w:r>
                    <w:rPr>
                      <w:rFonts w:hint="eastAsia"/>
                      <w:bCs/>
                      <w:color w:val="000000" w:themeColor="text1"/>
                      <w:szCs w:val="21"/>
                      <w:highlight w:val="none"/>
                    </w:rPr>
                    <w:t>宽</w:t>
                  </w:r>
                  <w:r>
                    <w:rPr>
                      <w:bCs/>
                      <w:color w:val="000000" w:themeColor="text1"/>
                      <w:szCs w:val="21"/>
                      <w:highlight w:val="none"/>
                    </w:rPr>
                    <w:t>4m</w:t>
                  </w:r>
                </w:p>
              </w:tc>
              <w:tc>
                <w:tcPr>
                  <w:tcW w:w="1957" w:type="pct"/>
                  <w:tcBorders>
                    <w:top w:val="single" w:color="auto" w:sz="4" w:space="0"/>
                    <w:left w:val="single" w:color="auto" w:sz="4" w:space="0"/>
                    <w:bottom w:val="single" w:color="auto" w:sz="4" w:space="0"/>
                    <w:right w:val="single" w:color="auto" w:sz="4" w:space="0"/>
                  </w:tcBorders>
                  <w:vAlign w:val="center"/>
                </w:tcPr>
                <w:p w14:paraId="11133F38">
                  <w:pPr>
                    <w:jc w:val="center"/>
                    <w:rPr>
                      <w:bCs/>
                      <w:color w:val="000000" w:themeColor="text1"/>
                      <w:szCs w:val="21"/>
                      <w:highlight w:val="none"/>
                    </w:rPr>
                  </w:pPr>
                  <w:r>
                    <w:rPr>
                      <w:rFonts w:hint="eastAsia"/>
                      <w:color w:val="000000" w:themeColor="text1"/>
                      <w:szCs w:val="21"/>
                      <w:highlight w:val="none"/>
                    </w:rPr>
                    <w:t>15cm厚天然砂砾垫层</w:t>
                  </w:r>
                </w:p>
              </w:tc>
              <w:tc>
                <w:tcPr>
                  <w:tcW w:w="462" w:type="pct"/>
                  <w:vMerge w:val="restart"/>
                  <w:tcBorders>
                    <w:top w:val="single" w:color="auto" w:sz="4" w:space="0"/>
                    <w:left w:val="single" w:color="auto" w:sz="4" w:space="0"/>
                    <w:right w:val="single" w:color="auto" w:sz="4" w:space="0"/>
                  </w:tcBorders>
                  <w:vAlign w:val="center"/>
                </w:tcPr>
                <w:p w14:paraId="7DFBF01C">
                  <w:pPr>
                    <w:jc w:val="center"/>
                    <w:rPr>
                      <w:bCs/>
                      <w:color w:val="000000" w:themeColor="text1"/>
                      <w:szCs w:val="21"/>
                      <w:highlight w:val="none"/>
                    </w:rPr>
                  </w:pPr>
                  <w:r>
                    <w:rPr>
                      <w:bCs/>
                      <w:color w:val="000000" w:themeColor="text1"/>
                      <w:szCs w:val="21"/>
                      <w:highlight w:val="none"/>
                    </w:rPr>
                    <w:t>m</w:t>
                  </w:r>
                  <w:r>
                    <w:rPr>
                      <w:bCs/>
                      <w:color w:val="000000" w:themeColor="text1"/>
                      <w:szCs w:val="21"/>
                      <w:highlight w:val="none"/>
                      <w:vertAlign w:val="superscript"/>
                    </w:rPr>
                    <w:t>2</w:t>
                  </w:r>
                </w:p>
              </w:tc>
              <w:tc>
                <w:tcPr>
                  <w:tcW w:w="444" w:type="pct"/>
                  <w:vMerge w:val="restart"/>
                  <w:tcBorders>
                    <w:top w:val="single" w:color="auto" w:sz="4" w:space="0"/>
                    <w:left w:val="single" w:color="auto" w:sz="4" w:space="0"/>
                    <w:right w:val="single" w:color="auto" w:sz="4" w:space="0"/>
                  </w:tcBorders>
                  <w:vAlign w:val="center"/>
                </w:tcPr>
                <w:p w14:paraId="271F3013">
                  <w:pPr>
                    <w:jc w:val="center"/>
                    <w:rPr>
                      <w:bCs/>
                      <w:color w:val="000000" w:themeColor="text1"/>
                      <w:szCs w:val="21"/>
                      <w:highlight w:val="none"/>
                    </w:rPr>
                  </w:pPr>
                  <w:r>
                    <w:rPr>
                      <w:rFonts w:hint="eastAsia"/>
                      <w:bCs/>
                      <w:color w:val="000000" w:themeColor="text1"/>
                      <w:szCs w:val="21"/>
                      <w:highlight w:val="none"/>
                    </w:rPr>
                    <w:t>800</w:t>
                  </w:r>
                </w:p>
              </w:tc>
              <w:tc>
                <w:tcPr>
                  <w:tcW w:w="949" w:type="pct"/>
                  <w:vMerge w:val="restart"/>
                  <w:tcBorders>
                    <w:top w:val="single" w:color="auto" w:sz="4" w:space="0"/>
                    <w:left w:val="single" w:color="auto" w:sz="4" w:space="0"/>
                    <w:bottom w:val="single" w:color="auto" w:sz="4" w:space="0"/>
                  </w:tcBorders>
                  <w:vAlign w:val="center"/>
                </w:tcPr>
                <w:p w14:paraId="2B6CB737">
                  <w:pPr>
                    <w:jc w:val="center"/>
                    <w:rPr>
                      <w:bCs/>
                      <w:color w:val="000000" w:themeColor="text1"/>
                      <w:szCs w:val="21"/>
                      <w:highlight w:val="none"/>
                    </w:rPr>
                  </w:pPr>
                  <w:r>
                    <w:rPr>
                      <w:rFonts w:hint="eastAsia"/>
                      <w:bCs/>
                      <w:color w:val="000000" w:themeColor="text1"/>
                      <w:szCs w:val="21"/>
                      <w:highlight w:val="none"/>
                    </w:rPr>
                    <w:t>长20</w:t>
                  </w:r>
                  <w:r>
                    <w:rPr>
                      <w:bCs/>
                      <w:color w:val="000000" w:themeColor="text1"/>
                      <w:szCs w:val="21"/>
                      <w:highlight w:val="none"/>
                    </w:rPr>
                    <w:t>0m</w:t>
                  </w:r>
                </w:p>
              </w:tc>
            </w:tr>
            <w:tr w14:paraId="4199D0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83" w:type="pct"/>
                  <w:vMerge w:val="continue"/>
                  <w:tcBorders>
                    <w:top w:val="single" w:color="auto" w:sz="4" w:space="0"/>
                    <w:right w:val="single" w:color="auto" w:sz="4" w:space="0"/>
                  </w:tcBorders>
                  <w:vAlign w:val="center"/>
                </w:tcPr>
                <w:p w14:paraId="55C789C4">
                  <w:pPr>
                    <w:jc w:val="center"/>
                    <w:rPr>
                      <w:rFonts w:eastAsiaTheme="minorEastAsia"/>
                      <w:color w:val="000000" w:themeColor="text1"/>
                      <w:kern w:val="0"/>
                      <w:szCs w:val="21"/>
                      <w:highlight w:val="none"/>
                    </w:rPr>
                  </w:pPr>
                </w:p>
              </w:tc>
              <w:tc>
                <w:tcPr>
                  <w:tcW w:w="305" w:type="pct"/>
                  <w:vMerge w:val="continue"/>
                  <w:tcBorders>
                    <w:top w:val="single" w:color="auto" w:sz="4" w:space="0"/>
                    <w:right w:val="single" w:color="auto" w:sz="4" w:space="0"/>
                  </w:tcBorders>
                  <w:vAlign w:val="center"/>
                </w:tcPr>
                <w:p w14:paraId="290013EF">
                  <w:pPr>
                    <w:jc w:val="center"/>
                    <w:rPr>
                      <w:rFonts w:eastAsiaTheme="minorEastAsia"/>
                      <w:color w:val="000000" w:themeColor="text1"/>
                      <w:kern w:val="0"/>
                      <w:szCs w:val="21"/>
                      <w:highlight w:val="none"/>
                    </w:rPr>
                  </w:pPr>
                </w:p>
              </w:tc>
              <w:tc>
                <w:tcPr>
                  <w:tcW w:w="498" w:type="pct"/>
                  <w:vMerge w:val="continue"/>
                  <w:tcBorders>
                    <w:top w:val="single" w:color="auto" w:sz="4" w:space="0"/>
                    <w:bottom w:val="single" w:color="auto" w:sz="4" w:space="0"/>
                    <w:right w:val="single" w:color="auto" w:sz="4" w:space="0"/>
                  </w:tcBorders>
                  <w:vAlign w:val="center"/>
                </w:tcPr>
                <w:p w14:paraId="2119E853">
                  <w:pPr>
                    <w:jc w:val="center"/>
                    <w:rPr>
                      <w:rFonts w:eastAsiaTheme="minorEastAsia"/>
                      <w:color w:val="000000" w:themeColor="text1"/>
                      <w:kern w:val="0"/>
                      <w:szCs w:val="21"/>
                      <w:highlight w:val="none"/>
                    </w:rPr>
                  </w:pPr>
                </w:p>
              </w:tc>
              <w:tc>
                <w:tcPr>
                  <w:tcW w:w="1957" w:type="pct"/>
                  <w:tcBorders>
                    <w:top w:val="single" w:color="auto" w:sz="4" w:space="0"/>
                    <w:left w:val="single" w:color="auto" w:sz="4" w:space="0"/>
                    <w:bottom w:val="single" w:color="auto" w:sz="4" w:space="0"/>
                    <w:right w:val="single" w:color="auto" w:sz="4" w:space="0"/>
                  </w:tcBorders>
                  <w:vAlign w:val="center"/>
                </w:tcPr>
                <w:p w14:paraId="59D7832C">
                  <w:pPr>
                    <w:jc w:val="center"/>
                    <w:rPr>
                      <w:rFonts w:eastAsiaTheme="minorEastAsia"/>
                      <w:color w:val="000000" w:themeColor="text1"/>
                      <w:kern w:val="0"/>
                      <w:szCs w:val="21"/>
                      <w:highlight w:val="none"/>
                    </w:rPr>
                  </w:pPr>
                  <w:r>
                    <w:rPr>
                      <w:rFonts w:hint="eastAsia"/>
                      <w:color w:val="000000" w:themeColor="text1"/>
                      <w:szCs w:val="21"/>
                      <w:highlight w:val="none"/>
                    </w:rPr>
                    <w:t>20cm厚水泥(5%)稳定碎石基层</w:t>
                  </w:r>
                </w:p>
              </w:tc>
              <w:tc>
                <w:tcPr>
                  <w:tcW w:w="462" w:type="pct"/>
                  <w:vMerge w:val="continue"/>
                  <w:tcBorders>
                    <w:top w:val="single" w:color="auto" w:sz="4" w:space="0"/>
                    <w:left w:val="single" w:color="auto" w:sz="4" w:space="0"/>
                    <w:right w:val="single" w:color="auto" w:sz="4" w:space="0"/>
                  </w:tcBorders>
                  <w:vAlign w:val="center"/>
                </w:tcPr>
                <w:p w14:paraId="326EA959">
                  <w:pPr>
                    <w:jc w:val="center"/>
                    <w:rPr>
                      <w:rFonts w:eastAsiaTheme="minorEastAsia"/>
                      <w:color w:val="000000" w:themeColor="text1"/>
                      <w:kern w:val="0"/>
                      <w:szCs w:val="21"/>
                      <w:highlight w:val="none"/>
                    </w:rPr>
                  </w:pPr>
                </w:p>
              </w:tc>
              <w:tc>
                <w:tcPr>
                  <w:tcW w:w="444" w:type="pct"/>
                  <w:vMerge w:val="continue"/>
                  <w:tcBorders>
                    <w:top w:val="single" w:color="auto" w:sz="4" w:space="0"/>
                    <w:left w:val="single" w:color="auto" w:sz="4" w:space="0"/>
                    <w:right w:val="single" w:color="auto" w:sz="4" w:space="0"/>
                  </w:tcBorders>
                  <w:vAlign w:val="center"/>
                </w:tcPr>
                <w:p w14:paraId="2C0D4566">
                  <w:pPr>
                    <w:jc w:val="center"/>
                    <w:rPr>
                      <w:rFonts w:eastAsiaTheme="minorEastAsia"/>
                      <w:color w:val="000000" w:themeColor="text1"/>
                      <w:kern w:val="0"/>
                      <w:szCs w:val="21"/>
                      <w:highlight w:val="none"/>
                    </w:rPr>
                  </w:pPr>
                </w:p>
              </w:tc>
              <w:tc>
                <w:tcPr>
                  <w:tcW w:w="949" w:type="pct"/>
                  <w:vMerge w:val="continue"/>
                  <w:tcBorders>
                    <w:top w:val="single" w:color="auto" w:sz="4" w:space="0"/>
                    <w:left w:val="single" w:color="auto" w:sz="4" w:space="0"/>
                    <w:bottom w:val="single" w:color="auto" w:sz="4" w:space="0"/>
                  </w:tcBorders>
                  <w:vAlign w:val="center"/>
                </w:tcPr>
                <w:p w14:paraId="008A96E6">
                  <w:pPr>
                    <w:jc w:val="center"/>
                    <w:rPr>
                      <w:rFonts w:eastAsiaTheme="minorEastAsia"/>
                      <w:color w:val="000000" w:themeColor="text1"/>
                      <w:kern w:val="0"/>
                      <w:szCs w:val="21"/>
                      <w:highlight w:val="none"/>
                    </w:rPr>
                  </w:pPr>
                </w:p>
              </w:tc>
            </w:tr>
            <w:tr w14:paraId="08525F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83" w:type="pct"/>
                  <w:vMerge w:val="continue"/>
                  <w:tcBorders>
                    <w:bottom w:val="single" w:color="auto" w:sz="4" w:space="0"/>
                    <w:right w:val="single" w:color="auto" w:sz="4" w:space="0"/>
                  </w:tcBorders>
                  <w:vAlign w:val="center"/>
                </w:tcPr>
                <w:p w14:paraId="7B99BBB7">
                  <w:pPr>
                    <w:jc w:val="center"/>
                    <w:rPr>
                      <w:rFonts w:eastAsiaTheme="minorEastAsia"/>
                      <w:color w:val="000000" w:themeColor="text1"/>
                      <w:kern w:val="0"/>
                      <w:szCs w:val="21"/>
                      <w:highlight w:val="none"/>
                    </w:rPr>
                  </w:pPr>
                </w:p>
              </w:tc>
              <w:tc>
                <w:tcPr>
                  <w:tcW w:w="305" w:type="pct"/>
                  <w:vMerge w:val="continue"/>
                  <w:tcBorders>
                    <w:bottom w:val="single" w:color="auto" w:sz="4" w:space="0"/>
                    <w:right w:val="single" w:color="auto" w:sz="4" w:space="0"/>
                  </w:tcBorders>
                  <w:vAlign w:val="center"/>
                </w:tcPr>
                <w:p w14:paraId="1F10D5AC">
                  <w:pPr>
                    <w:jc w:val="center"/>
                    <w:rPr>
                      <w:rFonts w:eastAsiaTheme="minorEastAsia"/>
                      <w:color w:val="000000" w:themeColor="text1"/>
                      <w:kern w:val="0"/>
                      <w:szCs w:val="21"/>
                      <w:highlight w:val="none"/>
                    </w:rPr>
                  </w:pPr>
                </w:p>
              </w:tc>
              <w:tc>
                <w:tcPr>
                  <w:tcW w:w="498" w:type="pct"/>
                  <w:vMerge w:val="continue"/>
                  <w:tcBorders>
                    <w:top w:val="nil"/>
                    <w:bottom w:val="single" w:color="auto" w:sz="4" w:space="0"/>
                    <w:right w:val="single" w:color="auto" w:sz="4" w:space="0"/>
                  </w:tcBorders>
                  <w:vAlign w:val="center"/>
                </w:tcPr>
                <w:p w14:paraId="0B8292AA">
                  <w:pPr>
                    <w:jc w:val="center"/>
                    <w:rPr>
                      <w:rFonts w:eastAsiaTheme="minorEastAsia"/>
                      <w:color w:val="000000" w:themeColor="text1"/>
                      <w:kern w:val="0"/>
                      <w:szCs w:val="21"/>
                      <w:highlight w:val="none"/>
                    </w:rPr>
                  </w:pPr>
                </w:p>
              </w:tc>
              <w:tc>
                <w:tcPr>
                  <w:tcW w:w="1957" w:type="pct"/>
                  <w:tcBorders>
                    <w:top w:val="single" w:color="auto" w:sz="4" w:space="0"/>
                    <w:left w:val="single" w:color="auto" w:sz="4" w:space="0"/>
                    <w:bottom w:val="single" w:color="auto" w:sz="4" w:space="0"/>
                    <w:right w:val="single" w:color="auto" w:sz="4" w:space="0"/>
                  </w:tcBorders>
                  <w:vAlign w:val="center"/>
                </w:tcPr>
                <w:p w14:paraId="7F36E8F6">
                  <w:pPr>
                    <w:jc w:val="center"/>
                    <w:rPr>
                      <w:rFonts w:eastAsiaTheme="minorEastAsia"/>
                      <w:color w:val="000000" w:themeColor="text1"/>
                      <w:kern w:val="0"/>
                      <w:szCs w:val="21"/>
                      <w:highlight w:val="none"/>
                    </w:rPr>
                  </w:pPr>
                  <w:r>
                    <w:rPr>
                      <w:rFonts w:hint="eastAsia"/>
                      <w:color w:val="000000" w:themeColor="text1"/>
                      <w:szCs w:val="21"/>
                      <w:highlight w:val="none"/>
                    </w:rPr>
                    <w:t>20cm厚C25混凝土面层</w:t>
                  </w:r>
                </w:p>
              </w:tc>
              <w:tc>
                <w:tcPr>
                  <w:tcW w:w="462" w:type="pct"/>
                  <w:vMerge w:val="continue"/>
                  <w:tcBorders>
                    <w:left w:val="single" w:color="auto" w:sz="4" w:space="0"/>
                    <w:bottom w:val="single" w:color="auto" w:sz="4" w:space="0"/>
                    <w:right w:val="single" w:color="auto" w:sz="4" w:space="0"/>
                  </w:tcBorders>
                  <w:vAlign w:val="center"/>
                </w:tcPr>
                <w:p w14:paraId="479DF6A1">
                  <w:pPr>
                    <w:jc w:val="center"/>
                    <w:rPr>
                      <w:rFonts w:eastAsiaTheme="minorEastAsia"/>
                      <w:color w:val="000000" w:themeColor="text1"/>
                      <w:kern w:val="0"/>
                      <w:szCs w:val="21"/>
                      <w:highlight w:val="none"/>
                    </w:rPr>
                  </w:pPr>
                </w:p>
              </w:tc>
              <w:tc>
                <w:tcPr>
                  <w:tcW w:w="444" w:type="pct"/>
                  <w:vMerge w:val="continue"/>
                  <w:tcBorders>
                    <w:left w:val="single" w:color="auto" w:sz="4" w:space="0"/>
                    <w:bottom w:val="single" w:color="auto" w:sz="4" w:space="0"/>
                    <w:right w:val="single" w:color="auto" w:sz="4" w:space="0"/>
                  </w:tcBorders>
                  <w:vAlign w:val="center"/>
                </w:tcPr>
                <w:p w14:paraId="643B6CEF">
                  <w:pPr>
                    <w:jc w:val="center"/>
                    <w:rPr>
                      <w:rFonts w:eastAsiaTheme="minorEastAsia"/>
                      <w:color w:val="000000" w:themeColor="text1"/>
                      <w:kern w:val="0"/>
                      <w:szCs w:val="21"/>
                      <w:highlight w:val="none"/>
                    </w:rPr>
                  </w:pPr>
                </w:p>
              </w:tc>
              <w:tc>
                <w:tcPr>
                  <w:tcW w:w="949" w:type="pct"/>
                  <w:vMerge w:val="continue"/>
                  <w:tcBorders>
                    <w:top w:val="single" w:color="auto" w:sz="4" w:space="0"/>
                    <w:left w:val="single" w:color="auto" w:sz="4" w:space="0"/>
                    <w:bottom w:val="single" w:color="auto" w:sz="4" w:space="0"/>
                  </w:tcBorders>
                  <w:vAlign w:val="center"/>
                </w:tcPr>
                <w:p w14:paraId="36270200">
                  <w:pPr>
                    <w:jc w:val="center"/>
                    <w:rPr>
                      <w:rFonts w:eastAsiaTheme="minorEastAsia"/>
                      <w:color w:val="000000" w:themeColor="text1"/>
                      <w:kern w:val="0"/>
                      <w:szCs w:val="21"/>
                      <w:highlight w:val="none"/>
                    </w:rPr>
                  </w:pPr>
                </w:p>
              </w:tc>
            </w:tr>
            <w:tr w14:paraId="3D4675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83" w:type="pct"/>
                  <w:tcBorders>
                    <w:top w:val="single" w:color="auto" w:sz="4" w:space="0"/>
                    <w:bottom w:val="single" w:color="auto" w:sz="4" w:space="0"/>
                    <w:right w:val="single" w:color="auto" w:sz="4" w:space="0"/>
                  </w:tcBorders>
                  <w:vAlign w:val="center"/>
                </w:tcPr>
                <w:p w14:paraId="50431A05">
                  <w:pPr>
                    <w:jc w:val="center"/>
                    <w:rPr>
                      <w:rFonts w:eastAsiaTheme="minorEastAsia"/>
                      <w:color w:val="000000" w:themeColor="text1"/>
                      <w:kern w:val="0"/>
                      <w:szCs w:val="21"/>
                      <w:highlight w:val="none"/>
                    </w:rPr>
                  </w:pPr>
                  <w:r>
                    <w:rPr>
                      <w:rFonts w:hint="eastAsia" w:eastAsiaTheme="minorEastAsia"/>
                      <w:color w:val="000000" w:themeColor="text1"/>
                      <w:kern w:val="0"/>
                      <w:szCs w:val="21"/>
                      <w:highlight w:val="none"/>
                    </w:rPr>
                    <w:t>4</w:t>
                  </w:r>
                </w:p>
              </w:tc>
              <w:tc>
                <w:tcPr>
                  <w:tcW w:w="803" w:type="pct"/>
                  <w:gridSpan w:val="2"/>
                  <w:tcBorders>
                    <w:top w:val="single" w:color="auto" w:sz="4" w:space="0"/>
                    <w:left w:val="single" w:color="auto" w:sz="4" w:space="0"/>
                    <w:bottom w:val="single" w:color="auto" w:sz="4" w:space="0"/>
                    <w:right w:val="single" w:color="auto" w:sz="4" w:space="0"/>
                  </w:tcBorders>
                  <w:vAlign w:val="center"/>
                </w:tcPr>
                <w:p w14:paraId="198EF259">
                  <w:pPr>
                    <w:jc w:val="center"/>
                    <w:rPr>
                      <w:rFonts w:eastAsiaTheme="minorEastAsia"/>
                      <w:color w:val="000000" w:themeColor="text1"/>
                      <w:kern w:val="0"/>
                      <w:szCs w:val="21"/>
                      <w:highlight w:val="none"/>
                    </w:rPr>
                  </w:pPr>
                  <w:r>
                    <w:rPr>
                      <w:rFonts w:hint="eastAsia" w:eastAsiaTheme="minorEastAsia"/>
                      <w:color w:val="000000" w:themeColor="text1"/>
                      <w:kern w:val="0"/>
                      <w:szCs w:val="21"/>
                      <w:highlight w:val="none"/>
                    </w:rPr>
                    <w:t>变电所</w:t>
                  </w:r>
                </w:p>
              </w:tc>
              <w:tc>
                <w:tcPr>
                  <w:tcW w:w="1957" w:type="pct"/>
                  <w:tcBorders>
                    <w:top w:val="single" w:color="auto" w:sz="4" w:space="0"/>
                    <w:left w:val="single" w:color="auto" w:sz="4" w:space="0"/>
                    <w:bottom w:val="single" w:color="auto" w:sz="4" w:space="0"/>
                    <w:right w:val="single" w:color="auto" w:sz="4" w:space="0"/>
                  </w:tcBorders>
                  <w:vAlign w:val="center"/>
                </w:tcPr>
                <w:p w14:paraId="6FB2A61D">
                  <w:pPr>
                    <w:jc w:val="center"/>
                    <w:rPr>
                      <w:color w:val="000000" w:themeColor="text1"/>
                      <w:szCs w:val="21"/>
                      <w:highlight w:val="none"/>
                    </w:rPr>
                  </w:pPr>
                  <w:r>
                    <w:rPr>
                      <w:rFonts w:hint="eastAsia"/>
                      <w:color w:val="000000" w:themeColor="text1"/>
                      <w:szCs w:val="21"/>
                      <w:highlight w:val="none"/>
                    </w:rPr>
                    <w:t>采用钢筋混凝土框架结构，基础形式为钢筋混凝土独立基础，外墙为300厚混凝土砌块，屋面为120厚钢筋混凝土屋面板，保温层为100厚岩棉板保温层容重为120kg/m</w:t>
                  </w:r>
                  <w:r>
                    <w:rPr>
                      <w:rFonts w:hint="eastAsia"/>
                      <w:color w:val="000000" w:themeColor="text1"/>
                      <w:szCs w:val="21"/>
                      <w:highlight w:val="none"/>
                      <w:vertAlign w:val="superscript"/>
                    </w:rPr>
                    <w:t>3</w:t>
                  </w:r>
                  <w:r>
                    <w:rPr>
                      <w:rFonts w:hint="eastAsia"/>
                      <w:color w:val="000000" w:themeColor="text1"/>
                      <w:szCs w:val="21"/>
                      <w:highlight w:val="none"/>
                    </w:rPr>
                    <w:t>，屋面防水层采用4.0厚SBS防水卷材。</w:t>
                  </w:r>
                </w:p>
                <w:p w14:paraId="47BFCF2D">
                  <w:pPr>
                    <w:jc w:val="center"/>
                    <w:rPr>
                      <w:color w:val="000000" w:themeColor="text1"/>
                      <w:szCs w:val="21"/>
                      <w:highlight w:val="none"/>
                    </w:rPr>
                  </w:pPr>
                  <w:r>
                    <w:rPr>
                      <w:rFonts w:hint="eastAsia"/>
                      <w:color w:val="000000" w:themeColor="text1"/>
                      <w:szCs w:val="21"/>
                      <w:highlight w:val="none"/>
                    </w:rPr>
                    <w:t>结构安全等级为一级，抗震设防类别为乙类，耐火等级为二级。</w:t>
                  </w:r>
                </w:p>
              </w:tc>
              <w:tc>
                <w:tcPr>
                  <w:tcW w:w="462" w:type="pct"/>
                  <w:tcBorders>
                    <w:top w:val="single" w:color="auto" w:sz="4" w:space="0"/>
                    <w:left w:val="single" w:color="auto" w:sz="4" w:space="0"/>
                    <w:bottom w:val="single" w:color="auto" w:sz="4" w:space="0"/>
                    <w:right w:val="single" w:color="auto" w:sz="4" w:space="0"/>
                  </w:tcBorders>
                  <w:vAlign w:val="center"/>
                </w:tcPr>
                <w:p w14:paraId="5606DEAD">
                  <w:pPr>
                    <w:jc w:val="center"/>
                    <w:rPr>
                      <w:rFonts w:eastAsiaTheme="minorEastAsia"/>
                      <w:color w:val="000000" w:themeColor="text1"/>
                      <w:kern w:val="0"/>
                      <w:szCs w:val="21"/>
                      <w:highlight w:val="none"/>
                    </w:rPr>
                  </w:pPr>
                  <w:r>
                    <w:rPr>
                      <w:bCs/>
                      <w:color w:val="000000" w:themeColor="text1"/>
                      <w:szCs w:val="21"/>
                      <w:highlight w:val="none"/>
                    </w:rPr>
                    <w:t>m</w:t>
                  </w:r>
                  <w:r>
                    <w:rPr>
                      <w:bCs/>
                      <w:color w:val="000000" w:themeColor="text1"/>
                      <w:szCs w:val="21"/>
                      <w:highlight w:val="none"/>
                      <w:vertAlign w:val="superscript"/>
                    </w:rPr>
                    <w:t>2</w:t>
                  </w:r>
                </w:p>
              </w:tc>
              <w:tc>
                <w:tcPr>
                  <w:tcW w:w="444" w:type="pct"/>
                  <w:tcBorders>
                    <w:top w:val="single" w:color="auto" w:sz="4" w:space="0"/>
                    <w:left w:val="single" w:color="auto" w:sz="4" w:space="0"/>
                    <w:bottom w:val="single" w:color="auto" w:sz="4" w:space="0"/>
                    <w:right w:val="single" w:color="auto" w:sz="4" w:space="0"/>
                  </w:tcBorders>
                  <w:vAlign w:val="center"/>
                </w:tcPr>
                <w:p w14:paraId="7800E427">
                  <w:pPr>
                    <w:jc w:val="center"/>
                    <w:rPr>
                      <w:rFonts w:eastAsiaTheme="minorEastAsia"/>
                      <w:color w:val="000000" w:themeColor="text1"/>
                      <w:kern w:val="0"/>
                      <w:szCs w:val="21"/>
                      <w:highlight w:val="none"/>
                    </w:rPr>
                  </w:pPr>
                  <w:r>
                    <w:rPr>
                      <w:rFonts w:hint="eastAsia" w:eastAsiaTheme="minorEastAsia"/>
                      <w:color w:val="000000" w:themeColor="text1"/>
                      <w:kern w:val="0"/>
                      <w:szCs w:val="21"/>
                      <w:highlight w:val="none"/>
                    </w:rPr>
                    <w:t>155.8</w:t>
                  </w:r>
                </w:p>
              </w:tc>
              <w:tc>
                <w:tcPr>
                  <w:tcW w:w="949" w:type="pct"/>
                  <w:tcBorders>
                    <w:top w:val="single" w:color="auto" w:sz="4" w:space="0"/>
                    <w:left w:val="single" w:color="auto" w:sz="4" w:space="0"/>
                    <w:bottom w:val="single" w:color="auto" w:sz="4" w:space="0"/>
                  </w:tcBorders>
                  <w:vAlign w:val="center"/>
                </w:tcPr>
                <w:p w14:paraId="754966F8">
                  <w:pPr>
                    <w:jc w:val="center"/>
                    <w:rPr>
                      <w:rFonts w:eastAsiaTheme="minorEastAsia"/>
                      <w:color w:val="000000" w:themeColor="text1"/>
                      <w:kern w:val="0"/>
                      <w:szCs w:val="21"/>
                      <w:highlight w:val="none"/>
                    </w:rPr>
                  </w:pPr>
                  <w:r>
                    <w:rPr>
                      <w:rFonts w:hint="eastAsia" w:eastAsiaTheme="minorEastAsia"/>
                      <w:color w:val="000000" w:themeColor="text1"/>
                      <w:kern w:val="0"/>
                      <w:szCs w:val="21"/>
                      <w:highlight w:val="none"/>
                    </w:rPr>
                    <w:t>/</w:t>
                  </w:r>
                </w:p>
              </w:tc>
            </w:tr>
            <w:tr w14:paraId="7BB6EC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383" w:type="pct"/>
                  <w:tcBorders>
                    <w:top w:val="single" w:color="auto" w:sz="4" w:space="0"/>
                    <w:bottom w:val="single" w:color="auto" w:sz="4" w:space="0"/>
                    <w:right w:val="single" w:color="auto" w:sz="4" w:space="0"/>
                  </w:tcBorders>
                  <w:vAlign w:val="center"/>
                </w:tcPr>
                <w:p w14:paraId="7811A3E5">
                  <w:pPr>
                    <w:jc w:val="center"/>
                    <w:rPr>
                      <w:rFonts w:eastAsiaTheme="minorEastAsia"/>
                      <w:color w:val="000000" w:themeColor="text1"/>
                      <w:kern w:val="0"/>
                      <w:szCs w:val="21"/>
                      <w:highlight w:val="none"/>
                    </w:rPr>
                  </w:pPr>
                  <w:r>
                    <w:rPr>
                      <w:rFonts w:hint="eastAsia" w:eastAsiaTheme="minorEastAsia"/>
                      <w:color w:val="000000" w:themeColor="text1"/>
                      <w:kern w:val="0"/>
                      <w:szCs w:val="21"/>
                      <w:highlight w:val="none"/>
                    </w:rPr>
                    <w:t>5</w:t>
                  </w:r>
                </w:p>
              </w:tc>
              <w:tc>
                <w:tcPr>
                  <w:tcW w:w="803" w:type="pct"/>
                  <w:gridSpan w:val="2"/>
                  <w:tcBorders>
                    <w:top w:val="single" w:color="auto" w:sz="4" w:space="0"/>
                    <w:bottom w:val="single" w:color="auto" w:sz="4" w:space="0"/>
                    <w:right w:val="single" w:color="auto" w:sz="4" w:space="0"/>
                  </w:tcBorders>
                  <w:vAlign w:val="center"/>
                </w:tcPr>
                <w:p w14:paraId="7C99D9BC">
                  <w:pPr>
                    <w:jc w:val="center"/>
                    <w:rPr>
                      <w:rFonts w:eastAsiaTheme="minorEastAsia"/>
                      <w:color w:val="000000" w:themeColor="text1"/>
                      <w:kern w:val="0"/>
                      <w:szCs w:val="21"/>
                      <w:highlight w:val="none"/>
                    </w:rPr>
                  </w:pPr>
                  <w:r>
                    <w:rPr>
                      <w:rFonts w:eastAsiaTheme="minorEastAsia"/>
                      <w:color w:val="000000" w:themeColor="text1"/>
                      <w:kern w:val="0"/>
                      <w:szCs w:val="21"/>
                      <w:highlight w:val="none"/>
                    </w:rPr>
                    <w:t>围墙</w:t>
                  </w:r>
                </w:p>
              </w:tc>
              <w:tc>
                <w:tcPr>
                  <w:tcW w:w="1957" w:type="pct"/>
                  <w:tcBorders>
                    <w:top w:val="single" w:color="auto" w:sz="4" w:space="0"/>
                    <w:left w:val="single" w:color="auto" w:sz="4" w:space="0"/>
                    <w:bottom w:val="single" w:color="auto" w:sz="4" w:space="0"/>
                    <w:right w:val="single" w:color="auto" w:sz="4" w:space="0"/>
                  </w:tcBorders>
                  <w:vAlign w:val="center"/>
                </w:tcPr>
                <w:p w14:paraId="4378388A">
                  <w:pPr>
                    <w:jc w:val="center"/>
                    <w:rPr>
                      <w:rFonts w:eastAsiaTheme="minorEastAsia"/>
                      <w:color w:val="000000" w:themeColor="text1"/>
                      <w:kern w:val="0"/>
                      <w:szCs w:val="21"/>
                      <w:highlight w:val="none"/>
                    </w:rPr>
                  </w:pPr>
                  <w:r>
                    <w:rPr>
                      <w:rFonts w:eastAsiaTheme="minorEastAsia"/>
                      <w:color w:val="000000" w:themeColor="text1"/>
                      <w:kern w:val="0"/>
                      <w:szCs w:val="21"/>
                      <w:highlight w:val="none"/>
                    </w:rPr>
                    <w:t>钢围栏，高1.8m</w:t>
                  </w:r>
                </w:p>
              </w:tc>
              <w:tc>
                <w:tcPr>
                  <w:tcW w:w="462" w:type="pct"/>
                  <w:tcBorders>
                    <w:top w:val="single" w:color="auto" w:sz="4" w:space="0"/>
                    <w:left w:val="single" w:color="auto" w:sz="4" w:space="0"/>
                    <w:bottom w:val="single" w:color="auto" w:sz="4" w:space="0"/>
                    <w:right w:val="single" w:color="auto" w:sz="4" w:space="0"/>
                  </w:tcBorders>
                  <w:vAlign w:val="center"/>
                </w:tcPr>
                <w:p w14:paraId="63DAB321">
                  <w:pPr>
                    <w:jc w:val="center"/>
                    <w:rPr>
                      <w:rFonts w:eastAsiaTheme="minorEastAsia"/>
                      <w:color w:val="000000" w:themeColor="text1"/>
                      <w:kern w:val="0"/>
                      <w:szCs w:val="21"/>
                      <w:highlight w:val="none"/>
                    </w:rPr>
                  </w:pPr>
                  <w:r>
                    <w:rPr>
                      <w:rFonts w:eastAsiaTheme="minorEastAsia"/>
                      <w:color w:val="000000" w:themeColor="text1"/>
                      <w:kern w:val="0"/>
                      <w:szCs w:val="21"/>
                      <w:highlight w:val="none"/>
                    </w:rPr>
                    <w:t>m</w:t>
                  </w:r>
                </w:p>
              </w:tc>
              <w:tc>
                <w:tcPr>
                  <w:tcW w:w="444" w:type="pct"/>
                  <w:tcBorders>
                    <w:top w:val="single" w:color="auto" w:sz="4" w:space="0"/>
                    <w:left w:val="single" w:color="auto" w:sz="4" w:space="0"/>
                    <w:bottom w:val="single" w:color="auto" w:sz="4" w:space="0"/>
                    <w:right w:val="single" w:color="auto" w:sz="4" w:space="0"/>
                  </w:tcBorders>
                  <w:vAlign w:val="center"/>
                </w:tcPr>
                <w:p w14:paraId="6E335920">
                  <w:pPr>
                    <w:jc w:val="center"/>
                    <w:rPr>
                      <w:rFonts w:eastAsiaTheme="minorEastAsia"/>
                      <w:color w:val="000000" w:themeColor="text1"/>
                      <w:kern w:val="0"/>
                      <w:szCs w:val="21"/>
                      <w:highlight w:val="none"/>
                    </w:rPr>
                  </w:pPr>
                  <w:r>
                    <w:rPr>
                      <w:rFonts w:hint="eastAsia" w:eastAsiaTheme="minorEastAsia"/>
                      <w:color w:val="000000" w:themeColor="text1"/>
                      <w:kern w:val="0"/>
                      <w:szCs w:val="21"/>
                      <w:highlight w:val="none"/>
                    </w:rPr>
                    <w:t>33</w:t>
                  </w:r>
                  <w:r>
                    <w:rPr>
                      <w:rFonts w:eastAsiaTheme="minorEastAsia"/>
                      <w:color w:val="000000" w:themeColor="text1"/>
                      <w:kern w:val="0"/>
                      <w:szCs w:val="21"/>
                      <w:highlight w:val="none"/>
                    </w:rPr>
                    <w:t>0</w:t>
                  </w:r>
                </w:p>
              </w:tc>
              <w:tc>
                <w:tcPr>
                  <w:tcW w:w="949" w:type="pct"/>
                  <w:tcBorders>
                    <w:top w:val="single" w:color="auto" w:sz="4" w:space="0"/>
                    <w:left w:val="single" w:color="auto" w:sz="4" w:space="0"/>
                    <w:bottom w:val="single" w:color="auto" w:sz="4" w:space="0"/>
                  </w:tcBorders>
                  <w:vAlign w:val="center"/>
                </w:tcPr>
                <w:p w14:paraId="4306407E">
                  <w:pPr>
                    <w:jc w:val="center"/>
                    <w:rPr>
                      <w:rFonts w:eastAsiaTheme="minorEastAsia"/>
                      <w:color w:val="000000" w:themeColor="text1"/>
                      <w:kern w:val="0"/>
                      <w:szCs w:val="21"/>
                      <w:highlight w:val="none"/>
                    </w:rPr>
                  </w:pPr>
                  <w:r>
                    <w:rPr>
                      <w:bCs/>
                      <w:color w:val="000000" w:themeColor="text1"/>
                      <w:szCs w:val="21"/>
                      <w:highlight w:val="none"/>
                    </w:rPr>
                    <w:t>/</w:t>
                  </w:r>
                </w:p>
              </w:tc>
            </w:tr>
          </w:tbl>
          <w:p w14:paraId="0A9C5E5D">
            <w:pPr>
              <w:widowControl/>
              <w:spacing w:line="360" w:lineRule="auto"/>
              <w:ind w:firstLine="482" w:firstLineChars="200"/>
              <w:rPr>
                <w:b/>
                <w:color w:val="000000" w:themeColor="text1"/>
                <w:kern w:val="0"/>
                <w:sz w:val="24"/>
                <w:highlight w:val="none"/>
              </w:rPr>
            </w:pPr>
            <w:r>
              <w:rPr>
                <w:rFonts w:hint="eastAsia"/>
                <w:b/>
                <w:color w:val="000000" w:themeColor="text1"/>
                <w:kern w:val="0"/>
                <w:sz w:val="24"/>
                <w:highlight w:val="none"/>
              </w:rPr>
              <w:t>5.劳动定员以及工作制度</w:t>
            </w:r>
          </w:p>
          <w:p w14:paraId="527D150B">
            <w:pPr>
              <w:widowControl/>
              <w:spacing w:line="360" w:lineRule="auto"/>
              <w:ind w:firstLine="480" w:firstLineChars="200"/>
              <w:rPr>
                <w:color w:val="000000" w:themeColor="text1"/>
                <w:sz w:val="24"/>
                <w:highlight w:val="none"/>
              </w:rPr>
            </w:pPr>
            <w:r>
              <w:rPr>
                <w:rFonts w:hint="eastAsia"/>
                <w:color w:val="000000" w:themeColor="text1"/>
                <w:sz w:val="24"/>
                <w:highlight w:val="none"/>
              </w:rPr>
              <w:t>本项目员工为富民煤矿现有员工调配。煤矿设计年工作日330d，采矿实行</w:t>
            </w:r>
            <w:r>
              <w:rPr>
                <w:color w:val="000000" w:themeColor="text1"/>
                <w:sz w:val="24"/>
                <w:highlight w:val="none"/>
              </w:rPr>
              <w:t>四班制（两班生产一班检修）</w:t>
            </w:r>
            <w:r>
              <w:rPr>
                <w:rFonts w:hint="eastAsia"/>
                <w:color w:val="000000" w:themeColor="text1"/>
                <w:sz w:val="24"/>
                <w:highlight w:val="none"/>
              </w:rPr>
              <w:t>工作制，每班工作8h；洗煤厂实行</w:t>
            </w:r>
            <w:r>
              <w:rPr>
                <w:color w:val="000000" w:themeColor="text1"/>
                <w:sz w:val="24"/>
                <w:highlight w:val="none"/>
              </w:rPr>
              <w:t>三班制（两班生产一班检修），每班8小时</w:t>
            </w:r>
            <w:r>
              <w:rPr>
                <w:rFonts w:hint="eastAsia"/>
                <w:color w:val="000000" w:themeColor="text1"/>
                <w:sz w:val="24"/>
                <w:highlight w:val="none"/>
              </w:rPr>
              <w:t>。</w:t>
            </w:r>
          </w:p>
          <w:p w14:paraId="0986586E">
            <w:pPr>
              <w:widowControl/>
              <w:spacing w:line="360" w:lineRule="auto"/>
              <w:ind w:firstLine="482" w:firstLineChars="200"/>
              <w:rPr>
                <w:b/>
                <w:color w:val="000000" w:themeColor="text1"/>
                <w:kern w:val="0"/>
                <w:sz w:val="24"/>
                <w:highlight w:val="none"/>
              </w:rPr>
            </w:pPr>
            <w:r>
              <w:rPr>
                <w:rFonts w:hint="eastAsia"/>
                <w:b/>
                <w:color w:val="000000" w:themeColor="text1"/>
                <w:kern w:val="0"/>
                <w:sz w:val="24"/>
                <w:highlight w:val="none"/>
              </w:rPr>
              <w:t>6.公用工程</w:t>
            </w:r>
          </w:p>
          <w:p w14:paraId="680F3917">
            <w:pPr>
              <w:widowControl/>
              <w:spacing w:line="360" w:lineRule="auto"/>
              <w:ind w:firstLine="480" w:firstLineChars="200"/>
              <w:rPr>
                <w:color w:val="000000" w:themeColor="text1"/>
                <w:sz w:val="24"/>
                <w:highlight w:val="none"/>
              </w:rPr>
            </w:pPr>
            <w:r>
              <w:rPr>
                <w:rFonts w:hint="eastAsia"/>
                <w:color w:val="000000" w:themeColor="text1"/>
                <w:sz w:val="24"/>
                <w:highlight w:val="none"/>
              </w:rPr>
              <w:t>（1）供电</w:t>
            </w:r>
          </w:p>
          <w:p w14:paraId="64179E2F">
            <w:pPr>
              <w:widowControl/>
              <w:spacing w:line="360" w:lineRule="auto"/>
              <w:ind w:firstLine="480" w:firstLineChars="200"/>
              <w:rPr>
                <w:color w:val="000000" w:themeColor="text1"/>
                <w:sz w:val="24"/>
                <w:highlight w:val="none"/>
              </w:rPr>
            </w:pPr>
            <w:r>
              <w:rPr>
                <w:rFonts w:hint="eastAsia"/>
                <w:color w:val="000000" w:themeColor="text1"/>
                <w:sz w:val="24"/>
                <w:highlight w:val="none"/>
              </w:rPr>
              <w:t>回风立井场地</w:t>
            </w:r>
            <w:r>
              <w:rPr>
                <w:rFonts w:hint="eastAsia"/>
                <w:color w:val="0000FF"/>
                <w:sz w:val="24"/>
                <w:highlight w:val="none"/>
              </w:rPr>
              <w:t>新建1座10kV变电所</w:t>
            </w:r>
            <w:r>
              <w:rPr>
                <w:rFonts w:hint="eastAsia"/>
                <w:color w:val="000000" w:themeColor="text1"/>
                <w:sz w:val="24"/>
                <w:highlight w:val="none"/>
              </w:rPr>
              <w:t>，变电所包括10kV配电室和10/0.4kV变配电室，10/0.4kV变配电室室内安装SCBH17-500 10/0.4 500kVA 型变压器柜2台，为本项目提供电源。</w:t>
            </w:r>
          </w:p>
          <w:p w14:paraId="1E34B9E1">
            <w:pPr>
              <w:widowControl/>
              <w:numPr>
                <w:ilvl w:val="0"/>
                <w:numId w:val="4"/>
              </w:numPr>
              <w:spacing w:line="360" w:lineRule="auto"/>
              <w:ind w:firstLine="480" w:firstLineChars="200"/>
              <w:rPr>
                <w:color w:val="000000" w:themeColor="text1"/>
                <w:sz w:val="24"/>
                <w:highlight w:val="none"/>
              </w:rPr>
            </w:pPr>
            <w:r>
              <w:rPr>
                <w:rFonts w:hint="eastAsia"/>
                <w:color w:val="000000" w:themeColor="text1"/>
                <w:sz w:val="24"/>
                <w:highlight w:val="none"/>
              </w:rPr>
              <w:t>供暖</w:t>
            </w:r>
          </w:p>
          <w:p w14:paraId="5F5FC16D">
            <w:pPr>
              <w:widowControl/>
              <w:spacing w:line="360" w:lineRule="auto"/>
              <w:ind w:firstLine="480" w:firstLineChars="200"/>
              <w:rPr>
                <w:color w:val="000000" w:themeColor="text1"/>
                <w:sz w:val="24"/>
                <w:highlight w:val="none"/>
              </w:rPr>
            </w:pPr>
            <w:r>
              <w:rPr>
                <w:rFonts w:hint="eastAsia"/>
                <w:color w:val="000000" w:themeColor="text1"/>
                <w:sz w:val="24"/>
                <w:highlight w:val="none"/>
              </w:rPr>
              <w:t>本项目无需供暖。</w:t>
            </w:r>
          </w:p>
          <w:p w14:paraId="5CE34781">
            <w:pPr>
              <w:widowControl/>
              <w:numPr>
                <w:ilvl w:val="0"/>
                <w:numId w:val="4"/>
              </w:numPr>
              <w:spacing w:line="360" w:lineRule="auto"/>
              <w:ind w:firstLine="480" w:firstLineChars="200"/>
              <w:rPr>
                <w:color w:val="000000" w:themeColor="text1"/>
                <w:sz w:val="24"/>
                <w:highlight w:val="none"/>
              </w:rPr>
            </w:pPr>
            <w:r>
              <w:rPr>
                <w:rFonts w:hint="eastAsia"/>
                <w:color w:val="000000" w:themeColor="text1"/>
                <w:sz w:val="24"/>
                <w:highlight w:val="none"/>
              </w:rPr>
              <w:t>给排水</w:t>
            </w:r>
          </w:p>
          <w:p w14:paraId="65F51591">
            <w:pPr>
              <w:widowControl/>
              <w:spacing w:line="360" w:lineRule="auto"/>
              <w:ind w:firstLine="480" w:firstLineChars="200"/>
              <w:rPr>
                <w:color w:val="000000" w:themeColor="text1"/>
                <w:sz w:val="24"/>
                <w:highlight w:val="none"/>
              </w:rPr>
            </w:pPr>
            <w:r>
              <w:rPr>
                <w:rFonts w:hint="eastAsia"/>
                <w:color w:val="000000" w:themeColor="text1"/>
                <w:sz w:val="24"/>
                <w:highlight w:val="none"/>
              </w:rPr>
              <w:t>①给水</w:t>
            </w:r>
          </w:p>
          <w:p w14:paraId="0BC4675A">
            <w:pPr>
              <w:widowControl/>
              <w:spacing w:line="360" w:lineRule="auto"/>
              <w:ind w:firstLine="480" w:firstLineChars="200"/>
              <w:rPr>
                <w:color w:val="000000" w:themeColor="text1"/>
                <w:sz w:val="24"/>
                <w:highlight w:val="none"/>
              </w:rPr>
            </w:pPr>
            <w:r>
              <w:rPr>
                <w:rFonts w:hint="eastAsia"/>
                <w:color w:val="000000" w:themeColor="text1"/>
                <w:sz w:val="24"/>
                <w:highlight w:val="none"/>
              </w:rPr>
              <w:t>a本项目施工期施工人员生活用水由煤矿办公区现有供水管网，施工过程用水取自煤矿矿井水处理站处理后的矿井水；运营期不新增劳动定员，无新增生活用水。</w:t>
            </w:r>
          </w:p>
          <w:p w14:paraId="3179F457">
            <w:pPr>
              <w:widowControl/>
              <w:spacing w:line="360" w:lineRule="auto"/>
              <w:ind w:firstLine="480" w:firstLineChars="200"/>
              <w:rPr>
                <w:color w:val="000000" w:themeColor="text1"/>
                <w:sz w:val="24"/>
                <w:highlight w:val="none"/>
              </w:rPr>
            </w:pPr>
            <w:r>
              <w:rPr>
                <w:rFonts w:hint="eastAsia"/>
                <w:color w:val="000000" w:themeColor="text1"/>
                <w:sz w:val="24"/>
                <w:highlight w:val="none"/>
              </w:rPr>
              <w:t>b本项目运营期用水主要为绿化浇洒用水；用水来源主要为富民煤矿工业场地矿井水处理站处理后产出的中水。由水车从工业场地拉运。</w:t>
            </w:r>
          </w:p>
          <w:p w14:paraId="121DD7E0">
            <w:pPr>
              <w:widowControl/>
              <w:spacing w:line="360" w:lineRule="auto"/>
              <w:ind w:firstLine="480" w:firstLineChars="200"/>
              <w:rPr>
                <w:color w:val="000000" w:themeColor="text1"/>
                <w:sz w:val="24"/>
                <w:highlight w:val="none"/>
              </w:rPr>
            </w:pPr>
            <w:r>
              <w:rPr>
                <w:rFonts w:hint="eastAsia"/>
                <w:color w:val="000000" w:themeColor="text1"/>
                <w:sz w:val="24"/>
                <w:highlight w:val="none"/>
              </w:rPr>
              <w:t>项目绿化面积为3000m</w:t>
            </w:r>
            <w:r>
              <w:rPr>
                <w:rFonts w:hint="eastAsia"/>
                <w:color w:val="000000" w:themeColor="text1"/>
                <w:sz w:val="24"/>
                <w:highlight w:val="none"/>
                <w:vertAlign w:val="superscript"/>
              </w:rPr>
              <w:t>2</w:t>
            </w:r>
            <w:r>
              <w:rPr>
                <w:rFonts w:hint="eastAsia"/>
                <w:color w:val="000000" w:themeColor="text1"/>
                <w:sz w:val="24"/>
                <w:highlight w:val="none"/>
              </w:rPr>
              <w:t>，用水按2L/m</w:t>
            </w:r>
            <w:r>
              <w:rPr>
                <w:rFonts w:hint="eastAsia"/>
                <w:color w:val="000000" w:themeColor="text1"/>
                <w:sz w:val="24"/>
                <w:highlight w:val="none"/>
                <w:vertAlign w:val="superscript"/>
              </w:rPr>
              <w:t>2</w:t>
            </w:r>
            <w:r>
              <w:rPr>
                <w:rFonts w:hint="eastAsia"/>
                <w:b/>
                <w:bCs/>
                <w:color w:val="000000" w:themeColor="text1"/>
                <w:sz w:val="24"/>
                <w:highlight w:val="none"/>
              </w:rPr>
              <w:t>·</w:t>
            </w:r>
            <w:r>
              <w:rPr>
                <w:rFonts w:hint="eastAsia"/>
                <w:color w:val="000000" w:themeColor="text1"/>
                <w:sz w:val="24"/>
                <w:highlight w:val="none"/>
              </w:rPr>
              <w:t>次，3天浇一次水，每年按浇水90次计，则最大小时用水量为540m</w:t>
            </w:r>
            <w:r>
              <w:rPr>
                <w:rFonts w:hint="eastAsia"/>
                <w:color w:val="000000" w:themeColor="text1"/>
                <w:sz w:val="24"/>
                <w:highlight w:val="none"/>
                <w:vertAlign w:val="superscript"/>
              </w:rPr>
              <w:t>3</w:t>
            </w:r>
            <w:r>
              <w:rPr>
                <w:rFonts w:hint="eastAsia"/>
                <w:color w:val="000000" w:themeColor="text1"/>
                <w:sz w:val="24"/>
                <w:highlight w:val="none"/>
              </w:rPr>
              <w:t>/a</w:t>
            </w:r>
            <w:r>
              <w:rPr>
                <w:color w:val="000000" w:themeColor="text1"/>
                <w:sz w:val="24"/>
                <w:highlight w:val="none"/>
              </w:rPr>
              <w:t>。</w:t>
            </w:r>
          </w:p>
          <w:p w14:paraId="16BAD82B">
            <w:pPr>
              <w:widowControl/>
              <w:spacing w:line="360" w:lineRule="auto"/>
              <w:ind w:firstLine="480" w:firstLineChars="200"/>
              <w:rPr>
                <w:color w:val="000000" w:themeColor="text1"/>
                <w:sz w:val="24"/>
                <w:highlight w:val="none"/>
              </w:rPr>
            </w:pPr>
            <w:r>
              <w:rPr>
                <w:rFonts w:hint="eastAsia"/>
                <w:color w:val="000000" w:themeColor="text1"/>
                <w:sz w:val="24"/>
                <w:highlight w:val="none"/>
              </w:rPr>
              <w:t>②排水</w:t>
            </w:r>
          </w:p>
          <w:p w14:paraId="48E091BE">
            <w:pPr>
              <w:pStyle w:val="8"/>
              <w:spacing w:line="360" w:lineRule="auto"/>
              <w:ind w:firstLine="480"/>
              <w:rPr>
                <w:color w:val="000000" w:themeColor="text1"/>
                <w:highlight w:val="none"/>
              </w:rPr>
            </w:pPr>
            <w:r>
              <w:rPr>
                <w:rFonts w:hint="eastAsia"/>
                <w:color w:val="000000" w:themeColor="text1"/>
                <w:sz w:val="24"/>
                <w:highlight w:val="none"/>
              </w:rPr>
              <w:t>a本项目施工期施工人员生活污水产生量为86.4m</w:t>
            </w:r>
            <w:r>
              <w:rPr>
                <w:rFonts w:hint="eastAsia"/>
                <w:color w:val="000000" w:themeColor="text1"/>
                <w:sz w:val="24"/>
                <w:highlight w:val="none"/>
                <w:vertAlign w:val="superscript"/>
              </w:rPr>
              <w:t>3</w:t>
            </w:r>
            <w:r>
              <w:rPr>
                <w:rFonts w:hint="eastAsia"/>
                <w:color w:val="000000" w:themeColor="text1"/>
                <w:sz w:val="24"/>
                <w:highlight w:val="none"/>
              </w:rPr>
              <w:t>（0.96</w:t>
            </w:r>
            <w:r>
              <w:rPr>
                <w:color w:val="000000" w:themeColor="text1"/>
                <w:sz w:val="24"/>
                <w:highlight w:val="none"/>
              </w:rPr>
              <w:t>m</w:t>
            </w:r>
            <w:r>
              <w:rPr>
                <w:color w:val="000000" w:themeColor="text1"/>
                <w:sz w:val="24"/>
                <w:highlight w:val="none"/>
                <w:vertAlign w:val="superscript"/>
              </w:rPr>
              <w:t>3</w:t>
            </w:r>
            <w:r>
              <w:rPr>
                <w:color w:val="000000" w:themeColor="text1"/>
                <w:sz w:val="24"/>
                <w:highlight w:val="none"/>
              </w:rPr>
              <w:t>/d</w:t>
            </w:r>
            <w:r>
              <w:rPr>
                <w:rFonts w:hint="eastAsia"/>
                <w:color w:val="000000" w:themeColor="text1"/>
                <w:sz w:val="24"/>
                <w:highlight w:val="none"/>
              </w:rPr>
              <w:t>），依托煤矿办公生活区现有污水处理设施</w:t>
            </w:r>
            <w:r>
              <w:rPr>
                <w:rFonts w:hint="eastAsia"/>
                <w:color w:val="000000" w:themeColor="text1"/>
                <w:sz w:val="24"/>
                <w:highlight w:val="none"/>
                <w:lang w:eastAsia="zh-CN"/>
              </w:rPr>
              <w:t>，在</w:t>
            </w:r>
            <w:r>
              <w:rPr>
                <w:rFonts w:hint="eastAsia"/>
                <w:color w:val="000000" w:themeColor="text1"/>
                <w:sz w:val="24"/>
                <w:highlight w:val="none"/>
                <w:lang w:val="en-US" w:eastAsia="zh-CN"/>
              </w:rPr>
              <w:t>场地设置临时化粪池，收集的污水定期由吸污车拉运至工业场地污水处理设施处理</w:t>
            </w:r>
            <w:r>
              <w:rPr>
                <w:rFonts w:hint="eastAsia"/>
                <w:color w:val="000000" w:themeColor="text1"/>
                <w:sz w:val="24"/>
                <w:highlight w:val="none"/>
              </w:rPr>
              <w:t>；运营期不新增劳动定员，</w:t>
            </w:r>
            <w:r>
              <w:rPr>
                <w:rFonts w:hint="eastAsia"/>
                <w:color w:val="0000FF"/>
                <w:sz w:val="24"/>
                <w:highlight w:val="none"/>
              </w:rPr>
              <w:t>无新增生活</w:t>
            </w:r>
            <w:r>
              <w:rPr>
                <w:rFonts w:hint="eastAsia"/>
                <w:color w:val="0000FF"/>
                <w:sz w:val="24"/>
                <w:highlight w:val="none"/>
                <w:lang w:eastAsia="zh-CN"/>
              </w:rPr>
              <w:t>污水</w:t>
            </w:r>
            <w:r>
              <w:rPr>
                <w:rFonts w:hint="eastAsia"/>
                <w:color w:val="0000FF"/>
                <w:sz w:val="24"/>
                <w:highlight w:val="none"/>
              </w:rPr>
              <w:t>产生，无生产废水产生。</w:t>
            </w:r>
          </w:p>
          <w:p w14:paraId="1AE993E1">
            <w:pPr>
              <w:pStyle w:val="14"/>
              <w:spacing w:before="0" w:after="0" w:line="360" w:lineRule="auto"/>
              <w:ind w:right="0" w:firstLine="480" w:firstLineChars="200"/>
              <w:rPr>
                <w:color w:val="000000" w:themeColor="text1"/>
                <w:sz w:val="24"/>
                <w:highlight w:val="none"/>
              </w:rPr>
            </w:pPr>
            <w:r>
              <w:rPr>
                <w:rFonts w:hint="eastAsia"/>
                <w:color w:val="000000" w:themeColor="text1"/>
                <w:sz w:val="24"/>
                <w:highlight w:val="none"/>
              </w:rPr>
              <w:t>b井筒掘进废水：风井场地井筒掘进过程中产生废水，</w:t>
            </w:r>
            <w:r>
              <w:rPr>
                <w:color w:val="000000" w:themeColor="text1"/>
                <w:spacing w:val="-3"/>
                <w:sz w:val="24"/>
                <w:szCs w:val="24"/>
                <w:highlight w:val="none"/>
              </w:rPr>
              <w:t>废水主要受井下施</w:t>
            </w:r>
            <w:r>
              <w:rPr>
                <w:color w:val="000000" w:themeColor="text1"/>
                <w:spacing w:val="-2"/>
                <w:sz w:val="24"/>
                <w:szCs w:val="24"/>
                <w:highlight w:val="none"/>
              </w:rPr>
              <w:t>工作业面活动污染，主要污染物为岩粉、煤粉为主</w:t>
            </w:r>
            <w:r>
              <w:rPr>
                <w:rFonts w:hint="eastAsia"/>
                <w:color w:val="000000" w:themeColor="text1"/>
                <w:sz w:val="24"/>
                <w:highlight w:val="none"/>
              </w:rPr>
              <w:t>由抽水车定期集中抽排，运送至富民煤矿工业场地既有矿井水处理站处理。</w:t>
            </w:r>
          </w:p>
          <w:p w14:paraId="1BBD98BD">
            <w:pPr>
              <w:pStyle w:val="14"/>
              <w:widowControl w:val="0"/>
              <w:snapToGrid/>
              <w:spacing w:before="0" w:after="0" w:line="360" w:lineRule="auto"/>
              <w:ind w:right="0" w:firstLine="482" w:firstLineChars="200"/>
              <w:rPr>
                <w:b/>
                <w:color w:val="000000" w:themeColor="text1"/>
                <w:sz w:val="24"/>
                <w:szCs w:val="24"/>
                <w:highlight w:val="none"/>
              </w:rPr>
            </w:pPr>
            <w:r>
              <w:rPr>
                <w:rFonts w:hint="eastAsia"/>
                <w:b/>
                <w:color w:val="000000" w:themeColor="text1"/>
                <w:sz w:val="24"/>
                <w:szCs w:val="24"/>
                <w:highlight w:val="none"/>
              </w:rPr>
              <w:t>7.</w:t>
            </w:r>
            <w:r>
              <w:rPr>
                <w:b/>
                <w:color w:val="000000" w:themeColor="text1"/>
                <w:sz w:val="24"/>
                <w:szCs w:val="24"/>
                <w:highlight w:val="none"/>
              </w:rPr>
              <w:t>工程占地</w:t>
            </w:r>
          </w:p>
          <w:p w14:paraId="2E91C83F">
            <w:pPr>
              <w:adjustRightInd w:val="0"/>
              <w:snapToGrid w:val="0"/>
              <w:spacing w:line="360" w:lineRule="auto"/>
              <w:ind w:firstLine="480" w:firstLineChars="200"/>
              <w:jc w:val="left"/>
              <w:rPr>
                <w:color w:val="000000" w:themeColor="text1"/>
                <w:sz w:val="24"/>
                <w:highlight w:val="none"/>
              </w:rPr>
            </w:pPr>
            <w:r>
              <w:rPr>
                <w:rFonts w:hint="eastAsia"/>
                <w:color w:val="000000" w:themeColor="text1"/>
                <w:kern w:val="0"/>
                <w:sz w:val="24"/>
                <w:szCs w:val="18"/>
                <w:highlight w:val="none"/>
              </w:rPr>
              <w:t>项目位于</w:t>
            </w:r>
            <w:r>
              <w:rPr>
                <w:color w:val="000000" w:themeColor="text1"/>
                <w:kern w:val="0"/>
                <w:sz w:val="24"/>
                <w:highlight w:val="none"/>
              </w:rPr>
              <w:t>内蒙古自治区鄂尔多斯市</w:t>
            </w:r>
            <w:r>
              <w:rPr>
                <w:rFonts w:hint="eastAsia"/>
                <w:color w:val="000000" w:themeColor="text1"/>
                <w:kern w:val="0"/>
                <w:sz w:val="24"/>
                <w:highlight w:val="none"/>
              </w:rPr>
              <w:t>伊金霍洛旗纳林陶亥镇朱日根沟村三社</w:t>
            </w:r>
            <w:r>
              <w:rPr>
                <w:rFonts w:hint="eastAsia"/>
                <w:color w:val="000000" w:themeColor="text1"/>
                <w:kern w:val="0"/>
                <w:sz w:val="24"/>
                <w:szCs w:val="18"/>
                <w:highlight w:val="none"/>
              </w:rPr>
              <w:t>，占地面积6000m</w:t>
            </w:r>
            <w:r>
              <w:rPr>
                <w:rFonts w:hint="eastAsia"/>
                <w:color w:val="000000" w:themeColor="text1"/>
                <w:kern w:val="0"/>
                <w:sz w:val="24"/>
                <w:szCs w:val="18"/>
                <w:highlight w:val="none"/>
                <w:vertAlign w:val="superscript"/>
              </w:rPr>
              <w:t>2</w:t>
            </w:r>
            <w:r>
              <w:rPr>
                <w:rFonts w:hint="eastAsia"/>
                <w:color w:val="000000" w:themeColor="text1"/>
                <w:kern w:val="0"/>
                <w:sz w:val="24"/>
                <w:szCs w:val="18"/>
                <w:highlight w:val="none"/>
              </w:rPr>
              <w:t>，全部为永久占地</w:t>
            </w:r>
            <w:r>
              <w:rPr>
                <w:rFonts w:hint="eastAsia"/>
                <w:color w:val="000000" w:themeColor="text1"/>
                <w:sz w:val="24"/>
                <w:highlight w:val="none"/>
              </w:rPr>
              <w:t>；永久占地类型为天然草地。本项目风井场地施工区位于风井场地占地范围，施工道路及施工生产区位于永久占地范围内，</w:t>
            </w:r>
            <w:r>
              <w:rPr>
                <w:rFonts w:ascii="宋体" w:hAnsi="宋体" w:cs="宋体"/>
                <w:color w:val="000000" w:themeColor="text1"/>
                <w:kern w:val="0"/>
                <w:sz w:val="24"/>
                <w:highlight w:val="none"/>
              </w:rPr>
              <w:t>场外施工道路依托附近</w:t>
            </w:r>
            <w:r>
              <w:rPr>
                <w:rFonts w:hint="eastAsia" w:ascii="宋体" w:hAnsi="宋体" w:cs="宋体"/>
                <w:color w:val="000000" w:themeColor="text1"/>
                <w:kern w:val="0"/>
                <w:sz w:val="24"/>
                <w:highlight w:val="none"/>
              </w:rPr>
              <w:t>县道</w:t>
            </w:r>
            <w:r>
              <w:rPr>
                <w:rFonts w:ascii="宋体" w:hAnsi="宋体" w:cs="宋体"/>
                <w:color w:val="000000" w:themeColor="text1"/>
                <w:kern w:val="0"/>
                <w:sz w:val="24"/>
                <w:highlight w:val="none"/>
              </w:rPr>
              <w:t>，不再另辟临时施工道路</w:t>
            </w:r>
            <w:r>
              <w:rPr>
                <w:rFonts w:hint="eastAsia" w:ascii="宋体" w:hAnsi="宋体" w:cs="宋体"/>
                <w:color w:val="000000" w:themeColor="text1"/>
                <w:kern w:val="0"/>
                <w:sz w:val="24"/>
                <w:highlight w:val="none"/>
              </w:rPr>
              <w:t>，</w:t>
            </w:r>
            <w:r>
              <w:rPr>
                <w:rFonts w:hint="eastAsia"/>
                <w:color w:val="000000" w:themeColor="text1"/>
                <w:sz w:val="24"/>
                <w:highlight w:val="none"/>
              </w:rPr>
              <w:t>不新增临时占地。本项目用地情况见表2-4。</w:t>
            </w:r>
          </w:p>
          <w:p w14:paraId="5A9CEF5C">
            <w:pPr>
              <w:pStyle w:val="8"/>
              <w:adjustRightInd w:val="0"/>
              <w:ind w:firstLine="0" w:firstLineChars="0"/>
              <w:jc w:val="center"/>
              <w:textAlignment w:val="baseline"/>
              <w:rPr>
                <w:color w:val="000000" w:themeColor="text1"/>
                <w:szCs w:val="21"/>
                <w:highlight w:val="none"/>
              </w:rPr>
            </w:pPr>
            <w:r>
              <w:rPr>
                <w:color w:val="000000" w:themeColor="text1"/>
                <w:sz w:val="24"/>
                <w:highlight w:val="none"/>
              </w:rPr>
              <w:t>表</w:t>
            </w:r>
            <w:r>
              <w:rPr>
                <w:rFonts w:hint="eastAsia"/>
                <w:color w:val="000000" w:themeColor="text1"/>
                <w:sz w:val="24"/>
                <w:highlight w:val="none"/>
              </w:rPr>
              <w:t>2-4</w:t>
            </w:r>
            <w:r>
              <w:rPr>
                <w:color w:val="000000" w:themeColor="text1"/>
                <w:sz w:val="24"/>
                <w:highlight w:val="none"/>
              </w:rPr>
              <w:t xml:space="preserve"> 项目占地表</w:t>
            </w:r>
          </w:p>
          <w:tbl>
            <w:tblPr>
              <w:tblStyle w:val="26"/>
              <w:tblW w:w="78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815"/>
              <w:gridCol w:w="696"/>
              <w:gridCol w:w="1152"/>
              <w:gridCol w:w="1176"/>
              <w:gridCol w:w="2252"/>
            </w:tblGrid>
            <w:tr w14:paraId="4F6F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10" w:type="dxa"/>
                  <w:vMerge w:val="restart"/>
                  <w:vAlign w:val="center"/>
                </w:tcPr>
                <w:p w14:paraId="00AD1426">
                  <w:pPr>
                    <w:pStyle w:val="8"/>
                    <w:adjustRightInd w:val="0"/>
                    <w:ind w:firstLine="0" w:firstLineChars="0"/>
                    <w:jc w:val="center"/>
                    <w:textAlignment w:val="baseline"/>
                    <w:rPr>
                      <w:color w:val="000000" w:themeColor="text1"/>
                      <w:szCs w:val="21"/>
                      <w:highlight w:val="none"/>
                    </w:rPr>
                  </w:pPr>
                  <w:r>
                    <w:rPr>
                      <w:color w:val="000000" w:themeColor="text1"/>
                      <w:szCs w:val="21"/>
                      <w:highlight w:val="none"/>
                    </w:rPr>
                    <w:t>序号</w:t>
                  </w:r>
                </w:p>
              </w:tc>
              <w:tc>
                <w:tcPr>
                  <w:tcW w:w="1815" w:type="dxa"/>
                  <w:vMerge w:val="restart"/>
                  <w:vAlign w:val="center"/>
                </w:tcPr>
                <w:p w14:paraId="1B345727">
                  <w:pPr>
                    <w:pStyle w:val="8"/>
                    <w:adjustRightInd w:val="0"/>
                    <w:ind w:firstLine="0" w:firstLineChars="0"/>
                    <w:jc w:val="center"/>
                    <w:textAlignment w:val="baseline"/>
                    <w:rPr>
                      <w:color w:val="000000" w:themeColor="text1"/>
                      <w:szCs w:val="21"/>
                      <w:highlight w:val="none"/>
                    </w:rPr>
                  </w:pPr>
                  <w:r>
                    <w:rPr>
                      <w:color w:val="000000" w:themeColor="text1"/>
                      <w:szCs w:val="21"/>
                      <w:highlight w:val="none"/>
                    </w:rPr>
                    <w:t>名称</w:t>
                  </w:r>
                </w:p>
              </w:tc>
              <w:tc>
                <w:tcPr>
                  <w:tcW w:w="696" w:type="dxa"/>
                  <w:vMerge w:val="restart"/>
                  <w:vAlign w:val="center"/>
                </w:tcPr>
                <w:p w14:paraId="1DEC0003">
                  <w:pPr>
                    <w:pStyle w:val="8"/>
                    <w:adjustRightInd w:val="0"/>
                    <w:ind w:firstLine="0" w:firstLineChars="0"/>
                    <w:jc w:val="center"/>
                    <w:textAlignment w:val="baseline"/>
                    <w:rPr>
                      <w:color w:val="000000" w:themeColor="text1"/>
                      <w:szCs w:val="21"/>
                      <w:highlight w:val="none"/>
                    </w:rPr>
                  </w:pPr>
                  <w:r>
                    <w:rPr>
                      <w:color w:val="000000" w:themeColor="text1"/>
                      <w:szCs w:val="21"/>
                      <w:highlight w:val="none"/>
                    </w:rPr>
                    <w:t>单位</w:t>
                  </w:r>
                </w:p>
              </w:tc>
              <w:tc>
                <w:tcPr>
                  <w:tcW w:w="2328" w:type="dxa"/>
                  <w:gridSpan w:val="2"/>
                  <w:vAlign w:val="center"/>
                </w:tcPr>
                <w:p w14:paraId="579696C3">
                  <w:pPr>
                    <w:pStyle w:val="8"/>
                    <w:adjustRightInd w:val="0"/>
                    <w:ind w:firstLine="0" w:firstLineChars="0"/>
                    <w:jc w:val="center"/>
                    <w:textAlignment w:val="baseline"/>
                    <w:rPr>
                      <w:color w:val="000000" w:themeColor="text1"/>
                      <w:szCs w:val="21"/>
                      <w:highlight w:val="none"/>
                    </w:rPr>
                  </w:pPr>
                  <w:r>
                    <w:rPr>
                      <w:color w:val="000000" w:themeColor="text1"/>
                      <w:szCs w:val="21"/>
                      <w:highlight w:val="none"/>
                    </w:rPr>
                    <w:t>面积</w:t>
                  </w:r>
                </w:p>
              </w:tc>
              <w:tc>
                <w:tcPr>
                  <w:tcW w:w="2252" w:type="dxa"/>
                  <w:vMerge w:val="restart"/>
                  <w:vAlign w:val="center"/>
                </w:tcPr>
                <w:p w14:paraId="392A2671">
                  <w:pPr>
                    <w:pStyle w:val="8"/>
                    <w:adjustRightInd w:val="0"/>
                    <w:ind w:firstLine="0" w:firstLineChars="0"/>
                    <w:jc w:val="center"/>
                    <w:textAlignment w:val="baseline"/>
                    <w:rPr>
                      <w:color w:val="000000" w:themeColor="text1"/>
                      <w:szCs w:val="21"/>
                      <w:highlight w:val="none"/>
                    </w:rPr>
                  </w:pPr>
                  <w:r>
                    <w:rPr>
                      <w:color w:val="000000" w:themeColor="text1"/>
                      <w:szCs w:val="21"/>
                      <w:highlight w:val="none"/>
                    </w:rPr>
                    <w:t>占地类型</w:t>
                  </w:r>
                </w:p>
              </w:tc>
            </w:tr>
            <w:tr w14:paraId="2616E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0" w:type="dxa"/>
                  <w:vMerge w:val="continue"/>
                  <w:vAlign w:val="center"/>
                </w:tcPr>
                <w:p w14:paraId="47C552BB">
                  <w:pPr>
                    <w:pStyle w:val="8"/>
                    <w:adjustRightInd w:val="0"/>
                    <w:ind w:firstLine="0" w:firstLineChars="0"/>
                    <w:jc w:val="center"/>
                    <w:textAlignment w:val="baseline"/>
                    <w:rPr>
                      <w:color w:val="000000" w:themeColor="text1"/>
                      <w:szCs w:val="21"/>
                      <w:highlight w:val="none"/>
                    </w:rPr>
                  </w:pPr>
                </w:p>
              </w:tc>
              <w:tc>
                <w:tcPr>
                  <w:tcW w:w="1815" w:type="dxa"/>
                  <w:vMerge w:val="continue"/>
                  <w:vAlign w:val="center"/>
                </w:tcPr>
                <w:p w14:paraId="3667E41F">
                  <w:pPr>
                    <w:pStyle w:val="8"/>
                    <w:adjustRightInd w:val="0"/>
                    <w:ind w:firstLine="0" w:firstLineChars="0"/>
                    <w:jc w:val="center"/>
                    <w:textAlignment w:val="baseline"/>
                    <w:rPr>
                      <w:color w:val="000000" w:themeColor="text1"/>
                      <w:szCs w:val="21"/>
                      <w:highlight w:val="none"/>
                    </w:rPr>
                  </w:pPr>
                </w:p>
              </w:tc>
              <w:tc>
                <w:tcPr>
                  <w:tcW w:w="696" w:type="dxa"/>
                  <w:vMerge w:val="continue"/>
                  <w:vAlign w:val="center"/>
                </w:tcPr>
                <w:p w14:paraId="01DFD94E">
                  <w:pPr>
                    <w:pStyle w:val="8"/>
                    <w:adjustRightInd w:val="0"/>
                    <w:ind w:firstLine="0" w:firstLineChars="0"/>
                    <w:jc w:val="center"/>
                    <w:textAlignment w:val="baseline"/>
                    <w:rPr>
                      <w:color w:val="000000" w:themeColor="text1"/>
                      <w:szCs w:val="21"/>
                      <w:highlight w:val="none"/>
                    </w:rPr>
                  </w:pPr>
                </w:p>
              </w:tc>
              <w:tc>
                <w:tcPr>
                  <w:tcW w:w="1152" w:type="dxa"/>
                  <w:vAlign w:val="center"/>
                </w:tcPr>
                <w:p w14:paraId="196B8968">
                  <w:pPr>
                    <w:pStyle w:val="8"/>
                    <w:adjustRightInd w:val="0"/>
                    <w:ind w:firstLine="0" w:firstLineChars="0"/>
                    <w:jc w:val="center"/>
                    <w:textAlignment w:val="baseline"/>
                    <w:rPr>
                      <w:color w:val="000000" w:themeColor="text1"/>
                      <w:szCs w:val="21"/>
                      <w:highlight w:val="none"/>
                    </w:rPr>
                  </w:pPr>
                  <w:r>
                    <w:rPr>
                      <w:color w:val="000000" w:themeColor="text1"/>
                      <w:szCs w:val="21"/>
                      <w:highlight w:val="none"/>
                    </w:rPr>
                    <w:t>永久占地</w:t>
                  </w:r>
                </w:p>
              </w:tc>
              <w:tc>
                <w:tcPr>
                  <w:tcW w:w="1176" w:type="dxa"/>
                  <w:vAlign w:val="center"/>
                </w:tcPr>
                <w:p w14:paraId="694862B0">
                  <w:pPr>
                    <w:pStyle w:val="8"/>
                    <w:adjustRightInd w:val="0"/>
                    <w:ind w:firstLine="0" w:firstLineChars="0"/>
                    <w:jc w:val="center"/>
                    <w:textAlignment w:val="baseline"/>
                    <w:rPr>
                      <w:color w:val="000000" w:themeColor="text1"/>
                      <w:szCs w:val="21"/>
                      <w:highlight w:val="none"/>
                    </w:rPr>
                  </w:pPr>
                  <w:r>
                    <w:rPr>
                      <w:color w:val="000000" w:themeColor="text1"/>
                      <w:szCs w:val="21"/>
                      <w:highlight w:val="none"/>
                    </w:rPr>
                    <w:t>临时占地</w:t>
                  </w:r>
                </w:p>
              </w:tc>
              <w:tc>
                <w:tcPr>
                  <w:tcW w:w="2252" w:type="dxa"/>
                  <w:vMerge w:val="continue"/>
                  <w:vAlign w:val="center"/>
                </w:tcPr>
                <w:p w14:paraId="403F295F">
                  <w:pPr>
                    <w:pStyle w:val="8"/>
                    <w:adjustRightInd w:val="0"/>
                    <w:ind w:firstLine="0" w:firstLineChars="0"/>
                    <w:jc w:val="center"/>
                    <w:textAlignment w:val="baseline"/>
                    <w:rPr>
                      <w:color w:val="000000" w:themeColor="text1"/>
                      <w:szCs w:val="21"/>
                      <w:highlight w:val="none"/>
                    </w:rPr>
                  </w:pPr>
                </w:p>
              </w:tc>
            </w:tr>
            <w:tr w14:paraId="50890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710" w:type="dxa"/>
                  <w:vAlign w:val="center"/>
                </w:tcPr>
                <w:p w14:paraId="52386814">
                  <w:pPr>
                    <w:pStyle w:val="8"/>
                    <w:adjustRightInd w:val="0"/>
                    <w:ind w:firstLine="0" w:firstLineChars="0"/>
                    <w:jc w:val="center"/>
                    <w:textAlignment w:val="baseline"/>
                    <w:rPr>
                      <w:color w:val="000000" w:themeColor="text1"/>
                      <w:szCs w:val="21"/>
                      <w:highlight w:val="none"/>
                    </w:rPr>
                  </w:pPr>
                  <w:r>
                    <w:rPr>
                      <w:color w:val="000000" w:themeColor="text1"/>
                      <w:szCs w:val="21"/>
                      <w:highlight w:val="none"/>
                    </w:rPr>
                    <w:t>1</w:t>
                  </w:r>
                </w:p>
              </w:tc>
              <w:tc>
                <w:tcPr>
                  <w:tcW w:w="1815" w:type="dxa"/>
                  <w:vAlign w:val="center"/>
                </w:tcPr>
                <w:p w14:paraId="2CE657E5">
                  <w:pPr>
                    <w:jc w:val="center"/>
                    <w:rPr>
                      <w:color w:val="000000" w:themeColor="text1"/>
                      <w:szCs w:val="21"/>
                      <w:highlight w:val="none"/>
                    </w:rPr>
                  </w:pPr>
                  <w:r>
                    <w:rPr>
                      <w:rFonts w:hint="eastAsia"/>
                      <w:color w:val="000000" w:themeColor="text1"/>
                      <w:szCs w:val="21"/>
                      <w:highlight w:val="none"/>
                    </w:rPr>
                    <w:t>风井场地用地</w:t>
                  </w:r>
                </w:p>
              </w:tc>
              <w:tc>
                <w:tcPr>
                  <w:tcW w:w="696" w:type="dxa"/>
                  <w:vAlign w:val="center"/>
                </w:tcPr>
                <w:p w14:paraId="7F0AE322">
                  <w:pPr>
                    <w:pStyle w:val="8"/>
                    <w:adjustRightInd w:val="0"/>
                    <w:ind w:firstLine="0" w:firstLineChars="0"/>
                    <w:jc w:val="center"/>
                    <w:textAlignment w:val="baseline"/>
                    <w:rPr>
                      <w:color w:val="000000" w:themeColor="text1"/>
                      <w:szCs w:val="21"/>
                      <w:highlight w:val="none"/>
                    </w:rPr>
                  </w:pPr>
                  <w:r>
                    <w:rPr>
                      <w:color w:val="000000" w:themeColor="text1"/>
                      <w:szCs w:val="21"/>
                      <w:highlight w:val="none"/>
                    </w:rPr>
                    <w:t>m</w:t>
                  </w:r>
                  <w:r>
                    <w:rPr>
                      <w:color w:val="000000" w:themeColor="text1"/>
                      <w:szCs w:val="21"/>
                      <w:highlight w:val="none"/>
                      <w:vertAlign w:val="superscript"/>
                    </w:rPr>
                    <w:t>2</w:t>
                  </w:r>
                </w:p>
              </w:tc>
              <w:tc>
                <w:tcPr>
                  <w:tcW w:w="1152" w:type="dxa"/>
                  <w:vAlign w:val="center"/>
                </w:tcPr>
                <w:p w14:paraId="69D28469">
                  <w:pPr>
                    <w:pStyle w:val="8"/>
                    <w:adjustRightInd w:val="0"/>
                    <w:ind w:firstLine="0" w:firstLineChars="0"/>
                    <w:jc w:val="center"/>
                    <w:textAlignment w:val="baseline"/>
                    <w:rPr>
                      <w:color w:val="000000" w:themeColor="text1"/>
                      <w:szCs w:val="21"/>
                      <w:highlight w:val="none"/>
                    </w:rPr>
                  </w:pPr>
                  <w:r>
                    <w:rPr>
                      <w:rFonts w:hint="eastAsia"/>
                      <w:color w:val="000000" w:themeColor="text1"/>
                      <w:szCs w:val="21"/>
                      <w:highlight w:val="none"/>
                    </w:rPr>
                    <w:t>6000</w:t>
                  </w:r>
                </w:p>
              </w:tc>
              <w:tc>
                <w:tcPr>
                  <w:tcW w:w="1176" w:type="dxa"/>
                  <w:vAlign w:val="center"/>
                </w:tcPr>
                <w:p w14:paraId="3DFE97E2">
                  <w:pPr>
                    <w:pStyle w:val="8"/>
                    <w:adjustRightInd w:val="0"/>
                    <w:ind w:firstLine="0" w:firstLineChars="0"/>
                    <w:jc w:val="center"/>
                    <w:textAlignment w:val="baseline"/>
                    <w:rPr>
                      <w:color w:val="000000" w:themeColor="text1"/>
                      <w:szCs w:val="21"/>
                      <w:highlight w:val="none"/>
                    </w:rPr>
                  </w:pPr>
                  <w:r>
                    <w:rPr>
                      <w:rFonts w:hint="eastAsia"/>
                      <w:color w:val="000000" w:themeColor="text1"/>
                      <w:szCs w:val="21"/>
                      <w:highlight w:val="none"/>
                    </w:rPr>
                    <w:t>0</w:t>
                  </w:r>
                </w:p>
              </w:tc>
              <w:tc>
                <w:tcPr>
                  <w:tcW w:w="2252" w:type="dxa"/>
                  <w:vAlign w:val="center"/>
                </w:tcPr>
                <w:p w14:paraId="3315FAD2">
                  <w:pPr>
                    <w:pStyle w:val="8"/>
                    <w:adjustRightInd w:val="0"/>
                    <w:ind w:firstLine="0" w:firstLineChars="0"/>
                    <w:jc w:val="center"/>
                    <w:textAlignment w:val="baseline"/>
                    <w:rPr>
                      <w:color w:val="000000" w:themeColor="text1"/>
                      <w:szCs w:val="21"/>
                      <w:highlight w:val="none"/>
                    </w:rPr>
                  </w:pPr>
                  <w:r>
                    <w:rPr>
                      <w:rFonts w:hint="eastAsia"/>
                      <w:color w:val="000000" w:themeColor="text1"/>
                      <w:szCs w:val="21"/>
                      <w:highlight w:val="none"/>
                    </w:rPr>
                    <w:t>天然草地</w:t>
                  </w:r>
                </w:p>
              </w:tc>
            </w:tr>
            <w:tr w14:paraId="40A13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25" w:type="dxa"/>
                  <w:gridSpan w:val="2"/>
                  <w:vAlign w:val="center"/>
                </w:tcPr>
                <w:p w14:paraId="51C76F2F">
                  <w:pPr>
                    <w:pStyle w:val="8"/>
                    <w:adjustRightInd w:val="0"/>
                    <w:ind w:firstLine="0" w:firstLineChars="0"/>
                    <w:jc w:val="center"/>
                    <w:textAlignment w:val="baseline"/>
                    <w:rPr>
                      <w:color w:val="000000" w:themeColor="text1"/>
                      <w:szCs w:val="21"/>
                      <w:highlight w:val="none"/>
                    </w:rPr>
                  </w:pPr>
                  <w:r>
                    <w:rPr>
                      <w:color w:val="000000" w:themeColor="text1"/>
                      <w:szCs w:val="21"/>
                      <w:highlight w:val="none"/>
                    </w:rPr>
                    <w:t>合计</w:t>
                  </w:r>
                </w:p>
              </w:tc>
              <w:tc>
                <w:tcPr>
                  <w:tcW w:w="696" w:type="dxa"/>
                  <w:vAlign w:val="center"/>
                </w:tcPr>
                <w:p w14:paraId="65809B6A">
                  <w:pPr>
                    <w:pStyle w:val="8"/>
                    <w:adjustRightInd w:val="0"/>
                    <w:ind w:firstLine="0" w:firstLineChars="0"/>
                    <w:jc w:val="center"/>
                    <w:textAlignment w:val="baseline"/>
                    <w:rPr>
                      <w:color w:val="000000" w:themeColor="text1"/>
                      <w:szCs w:val="21"/>
                      <w:highlight w:val="none"/>
                    </w:rPr>
                  </w:pPr>
                  <w:r>
                    <w:rPr>
                      <w:color w:val="000000" w:themeColor="text1"/>
                      <w:szCs w:val="21"/>
                      <w:highlight w:val="none"/>
                    </w:rPr>
                    <w:t>m</w:t>
                  </w:r>
                  <w:r>
                    <w:rPr>
                      <w:color w:val="000000" w:themeColor="text1"/>
                      <w:szCs w:val="21"/>
                      <w:highlight w:val="none"/>
                      <w:vertAlign w:val="superscript"/>
                    </w:rPr>
                    <w:t>2</w:t>
                  </w:r>
                </w:p>
              </w:tc>
              <w:tc>
                <w:tcPr>
                  <w:tcW w:w="1152" w:type="dxa"/>
                  <w:vAlign w:val="center"/>
                </w:tcPr>
                <w:p w14:paraId="4EFB8B6B">
                  <w:pPr>
                    <w:pStyle w:val="8"/>
                    <w:adjustRightInd w:val="0"/>
                    <w:ind w:firstLine="0" w:firstLineChars="0"/>
                    <w:jc w:val="center"/>
                    <w:textAlignment w:val="baseline"/>
                    <w:rPr>
                      <w:color w:val="000000" w:themeColor="text1"/>
                      <w:szCs w:val="21"/>
                      <w:highlight w:val="none"/>
                    </w:rPr>
                  </w:pPr>
                  <w:r>
                    <w:rPr>
                      <w:rFonts w:hint="eastAsia"/>
                      <w:color w:val="000000" w:themeColor="text1"/>
                      <w:szCs w:val="21"/>
                      <w:highlight w:val="none"/>
                    </w:rPr>
                    <w:t>6000</w:t>
                  </w:r>
                </w:p>
              </w:tc>
              <w:tc>
                <w:tcPr>
                  <w:tcW w:w="1176" w:type="dxa"/>
                  <w:vAlign w:val="center"/>
                </w:tcPr>
                <w:p w14:paraId="33D95C67">
                  <w:pPr>
                    <w:pStyle w:val="8"/>
                    <w:adjustRightInd w:val="0"/>
                    <w:ind w:firstLine="0" w:firstLineChars="0"/>
                    <w:jc w:val="center"/>
                    <w:textAlignment w:val="baseline"/>
                    <w:rPr>
                      <w:color w:val="000000" w:themeColor="text1"/>
                      <w:szCs w:val="21"/>
                      <w:highlight w:val="none"/>
                    </w:rPr>
                  </w:pPr>
                  <w:r>
                    <w:rPr>
                      <w:rFonts w:hint="eastAsia"/>
                      <w:color w:val="000000" w:themeColor="text1"/>
                      <w:szCs w:val="21"/>
                      <w:highlight w:val="none"/>
                    </w:rPr>
                    <w:t>0</w:t>
                  </w:r>
                </w:p>
              </w:tc>
              <w:tc>
                <w:tcPr>
                  <w:tcW w:w="2252" w:type="dxa"/>
                  <w:vAlign w:val="center"/>
                </w:tcPr>
                <w:p w14:paraId="7876CB79">
                  <w:pPr>
                    <w:pStyle w:val="8"/>
                    <w:adjustRightInd w:val="0"/>
                    <w:ind w:firstLine="0" w:firstLineChars="0"/>
                    <w:jc w:val="center"/>
                    <w:textAlignment w:val="baseline"/>
                    <w:rPr>
                      <w:color w:val="000000" w:themeColor="text1"/>
                      <w:szCs w:val="21"/>
                      <w:highlight w:val="none"/>
                    </w:rPr>
                  </w:pPr>
                  <w:r>
                    <w:rPr>
                      <w:rFonts w:hint="eastAsia"/>
                      <w:color w:val="000000" w:themeColor="text1"/>
                      <w:szCs w:val="21"/>
                      <w:highlight w:val="none"/>
                    </w:rPr>
                    <w:t>/</w:t>
                  </w:r>
                </w:p>
              </w:tc>
            </w:tr>
          </w:tbl>
          <w:p w14:paraId="5251F26E">
            <w:pPr>
              <w:spacing w:line="360" w:lineRule="auto"/>
              <w:ind w:firstLine="482" w:firstLineChars="200"/>
              <w:rPr>
                <w:b/>
                <w:color w:val="000000" w:themeColor="text1"/>
                <w:kern w:val="0"/>
                <w:sz w:val="24"/>
                <w:highlight w:val="none"/>
              </w:rPr>
            </w:pPr>
            <w:bookmarkStart w:id="3" w:name="_Toc30011"/>
            <w:bookmarkStart w:id="4" w:name="_Toc21896"/>
            <w:bookmarkStart w:id="5" w:name="_Toc443596291"/>
            <w:bookmarkStart w:id="6" w:name="_Toc450057218"/>
            <w:bookmarkStart w:id="7" w:name="_Toc4203"/>
            <w:bookmarkStart w:id="8" w:name="_Toc405284451"/>
            <w:r>
              <w:rPr>
                <w:rFonts w:hint="eastAsia"/>
                <w:b/>
                <w:color w:val="000000" w:themeColor="text1"/>
                <w:kern w:val="0"/>
                <w:sz w:val="24"/>
                <w:highlight w:val="none"/>
              </w:rPr>
              <w:t>8.土石方平衡</w:t>
            </w:r>
          </w:p>
          <w:p w14:paraId="21773475">
            <w:pPr>
              <w:pStyle w:val="9"/>
              <w:spacing w:after="0" w:line="360" w:lineRule="auto"/>
              <w:ind w:left="0" w:leftChars="0" w:firstLine="480"/>
              <w:rPr>
                <w:color w:val="000000" w:themeColor="text1"/>
                <w:sz w:val="24"/>
                <w:highlight w:val="none"/>
              </w:rPr>
            </w:pPr>
            <w:r>
              <w:rPr>
                <w:color w:val="000000" w:themeColor="text1"/>
                <w:sz w:val="24"/>
                <w:highlight w:val="none"/>
              </w:rPr>
              <w:t>工程土石方开挖中，在满足主体设计要求的前提下尽量减少开挖量，以减少对地面的扰动，本项目挖方量</w:t>
            </w:r>
            <w:r>
              <w:rPr>
                <w:rFonts w:hint="eastAsia"/>
                <w:color w:val="000000" w:themeColor="text1"/>
                <w:sz w:val="24"/>
                <w:highlight w:val="none"/>
              </w:rPr>
              <w:t>1.3</w:t>
            </w:r>
            <w:r>
              <w:rPr>
                <w:color w:val="000000" w:themeColor="text1"/>
                <w:sz w:val="24"/>
                <w:highlight w:val="none"/>
              </w:rPr>
              <w:t>万</w:t>
            </w:r>
            <w:r>
              <w:rPr>
                <w:rStyle w:val="59"/>
                <w:rFonts w:ascii="Times New Roman" w:hAnsi="Times New Roman"/>
                <w:color w:val="000000" w:themeColor="text1"/>
                <w:highlight w:val="none"/>
              </w:rPr>
              <w:t>m</w:t>
            </w:r>
            <w:r>
              <w:rPr>
                <w:rStyle w:val="59"/>
                <w:rFonts w:ascii="Times New Roman" w:hAnsi="Times New Roman"/>
                <w:color w:val="000000" w:themeColor="text1"/>
                <w:highlight w:val="none"/>
                <w:vertAlign w:val="superscript"/>
              </w:rPr>
              <w:t>3</w:t>
            </w:r>
            <w:r>
              <w:rPr>
                <w:color w:val="000000" w:themeColor="text1"/>
                <w:sz w:val="24"/>
                <w:highlight w:val="none"/>
              </w:rPr>
              <w:t>，弃</w:t>
            </w:r>
            <w:r>
              <w:rPr>
                <w:rFonts w:hint="eastAsia"/>
                <w:color w:val="000000" w:themeColor="text1"/>
                <w:sz w:val="24"/>
                <w:highlight w:val="none"/>
                <w:lang w:val="en-US" w:eastAsia="zh-CN"/>
              </w:rPr>
              <w:t>土石</w:t>
            </w:r>
            <w:r>
              <w:rPr>
                <w:color w:val="000000" w:themeColor="text1"/>
                <w:sz w:val="24"/>
                <w:highlight w:val="none"/>
              </w:rPr>
              <w:t>方量</w:t>
            </w:r>
            <w:r>
              <w:rPr>
                <w:rFonts w:hint="eastAsia"/>
                <w:color w:val="000000" w:themeColor="text1"/>
                <w:sz w:val="24"/>
                <w:highlight w:val="none"/>
              </w:rPr>
              <w:t>3.</w:t>
            </w:r>
            <w:r>
              <w:rPr>
                <w:rFonts w:hint="eastAsia"/>
                <w:color w:val="000000" w:themeColor="text1"/>
                <w:sz w:val="24"/>
                <w:highlight w:val="none"/>
                <w:lang w:val="en-US" w:eastAsia="zh-CN"/>
              </w:rPr>
              <w:t>74</w:t>
            </w:r>
            <w:r>
              <w:rPr>
                <w:color w:val="000000" w:themeColor="text1"/>
                <w:sz w:val="24"/>
                <w:highlight w:val="none"/>
              </w:rPr>
              <w:t>万m</w:t>
            </w:r>
            <w:r>
              <w:rPr>
                <w:color w:val="000000" w:themeColor="text1"/>
                <w:sz w:val="24"/>
                <w:highlight w:val="none"/>
                <w:vertAlign w:val="superscript"/>
              </w:rPr>
              <w:t>3</w:t>
            </w:r>
            <w:r>
              <w:rPr>
                <w:rFonts w:hint="eastAsia"/>
                <w:color w:val="000000" w:themeColor="text1"/>
                <w:sz w:val="24"/>
                <w:highlight w:val="none"/>
              </w:rPr>
              <w:t>。</w:t>
            </w:r>
            <w:r>
              <w:rPr>
                <w:rStyle w:val="59"/>
                <w:rFonts w:ascii="Times New Roman" w:hAnsi="Times New Roman"/>
                <w:color w:val="000000" w:themeColor="text1"/>
                <w:highlight w:val="none"/>
              </w:rPr>
              <w:t>其中</w:t>
            </w:r>
            <w:r>
              <w:rPr>
                <w:color w:val="000000" w:themeColor="text1"/>
                <w:sz w:val="24"/>
                <w:highlight w:val="none"/>
              </w:rPr>
              <w:t>含</w:t>
            </w:r>
            <w:r>
              <w:rPr>
                <w:rStyle w:val="59"/>
                <w:rFonts w:ascii="Times New Roman" w:hAnsi="Times New Roman"/>
                <w:color w:val="000000" w:themeColor="text1"/>
                <w:highlight w:val="none"/>
              </w:rPr>
              <w:t>表土剥离1800</w:t>
            </w:r>
            <w:r>
              <w:rPr>
                <w:color w:val="000000" w:themeColor="text1"/>
                <w:sz w:val="24"/>
                <w:highlight w:val="none"/>
              </w:rPr>
              <w:t>m</w:t>
            </w:r>
            <w:r>
              <w:rPr>
                <w:color w:val="000000" w:themeColor="text1"/>
                <w:sz w:val="24"/>
                <w:highlight w:val="none"/>
                <w:vertAlign w:val="superscript"/>
              </w:rPr>
              <w:t>3</w:t>
            </w:r>
            <w:r>
              <w:rPr>
                <w:color w:val="000000" w:themeColor="text1"/>
                <w:sz w:val="24"/>
                <w:highlight w:val="none"/>
              </w:rPr>
              <w:t>、</w:t>
            </w:r>
            <w:r>
              <w:rPr>
                <w:rStyle w:val="59"/>
                <w:rFonts w:ascii="Times New Roman" w:hAnsi="Times New Roman"/>
                <w:color w:val="000000" w:themeColor="text1"/>
                <w:highlight w:val="none"/>
              </w:rPr>
              <w:t>表土回覆</w:t>
            </w:r>
            <w:r>
              <w:rPr>
                <w:rStyle w:val="59"/>
                <w:rFonts w:hint="default" w:ascii="Times New Roman" w:hAnsi="Times New Roman" w:cs="Times New Roman"/>
                <w:color w:val="000000" w:themeColor="text1"/>
                <w:highlight w:val="none"/>
                <w:lang w:val="en-US"/>
              </w:rPr>
              <w:t>18</w:t>
            </w:r>
            <w:r>
              <w:rPr>
                <w:rStyle w:val="59"/>
                <w:rFonts w:ascii="Times New Roman" w:hAnsi="Times New Roman"/>
                <w:color w:val="000000" w:themeColor="text1"/>
                <w:highlight w:val="none"/>
              </w:rPr>
              <w:t>00</w:t>
            </w:r>
            <w:r>
              <w:rPr>
                <w:color w:val="000000" w:themeColor="text1"/>
                <w:sz w:val="24"/>
                <w:highlight w:val="none"/>
              </w:rPr>
              <w:t>m</w:t>
            </w:r>
            <w:r>
              <w:rPr>
                <w:color w:val="000000" w:themeColor="text1"/>
                <w:sz w:val="24"/>
                <w:highlight w:val="none"/>
                <w:vertAlign w:val="superscript"/>
              </w:rPr>
              <w:t>3</w:t>
            </w:r>
            <w:r>
              <w:rPr>
                <w:color w:val="000000" w:themeColor="text1"/>
                <w:sz w:val="24"/>
                <w:highlight w:val="none"/>
              </w:rPr>
              <w:t>，</w:t>
            </w:r>
            <w:r>
              <w:rPr>
                <w:rFonts w:hint="eastAsia"/>
                <w:color w:val="000000" w:themeColor="text1"/>
                <w:sz w:val="24"/>
                <w:highlight w:val="none"/>
              </w:rPr>
              <w:t>表土剥离深度为0.3m，风井场地剥离表土就近集中堆放于附近绿化硬化空地，表土堆存采取密目网苫盖防护，表土</w:t>
            </w:r>
            <w:r>
              <w:rPr>
                <w:rStyle w:val="59"/>
                <w:rFonts w:ascii="Times New Roman" w:hAnsi="Times New Roman"/>
                <w:color w:val="000000" w:themeColor="text1"/>
                <w:highlight w:val="none"/>
              </w:rPr>
              <w:t>回覆</w:t>
            </w:r>
            <w:r>
              <w:rPr>
                <w:rStyle w:val="59"/>
                <w:rFonts w:hint="eastAsia" w:ascii="Times New Roman" w:hAnsi="Times New Roman"/>
                <w:color w:val="000000" w:themeColor="text1"/>
                <w:highlight w:val="none"/>
              </w:rPr>
              <w:t>于风井场地以及</w:t>
            </w:r>
            <w:r>
              <w:rPr>
                <w:rStyle w:val="59"/>
                <w:rFonts w:hint="eastAsia"/>
                <w:color w:val="000000" w:themeColor="text1"/>
                <w:highlight w:val="none"/>
              </w:rPr>
              <w:t>项目</w:t>
            </w:r>
            <w:r>
              <w:rPr>
                <w:rFonts w:hint="eastAsia"/>
                <w:color w:val="000000" w:themeColor="text1"/>
                <w:sz w:val="24"/>
                <w:highlight w:val="none"/>
              </w:rPr>
              <w:t>绿化工程使用</w:t>
            </w:r>
            <w:r>
              <w:rPr>
                <w:color w:val="000000" w:themeColor="text1"/>
                <w:sz w:val="24"/>
                <w:highlight w:val="none"/>
              </w:rPr>
              <w:t>。弃方主要为井筒掘进产生的岩石，井筒产生的岩石量约</w:t>
            </w:r>
            <w:r>
              <w:rPr>
                <w:rFonts w:hint="eastAsia"/>
                <w:color w:val="000000" w:themeColor="text1"/>
                <w:sz w:val="24"/>
                <w:highlight w:val="none"/>
              </w:rPr>
              <w:t>2.62</w:t>
            </w:r>
            <w:r>
              <w:rPr>
                <w:color w:val="000000" w:themeColor="text1"/>
                <w:sz w:val="24"/>
                <w:highlight w:val="none"/>
              </w:rPr>
              <w:t>万m³，拉运至公沟煤矿外排土场</w:t>
            </w:r>
            <w:r>
              <w:rPr>
                <w:rFonts w:hint="eastAsia"/>
                <w:color w:val="000000" w:themeColor="text1"/>
                <w:sz w:val="24"/>
                <w:highlight w:val="none"/>
              </w:rPr>
              <w:t>。</w:t>
            </w:r>
          </w:p>
          <w:p w14:paraId="66008991">
            <w:pPr>
              <w:jc w:val="center"/>
              <w:rPr>
                <w:color w:val="000000" w:themeColor="text1"/>
                <w:sz w:val="24"/>
                <w:highlight w:val="none"/>
              </w:rPr>
            </w:pPr>
            <w:r>
              <w:rPr>
                <w:color w:val="000000" w:themeColor="text1"/>
                <w:sz w:val="24"/>
                <w:highlight w:val="none"/>
              </w:rPr>
              <w:t>表2</w:t>
            </w:r>
            <w:r>
              <w:rPr>
                <w:rFonts w:hint="eastAsia"/>
                <w:color w:val="000000" w:themeColor="text1"/>
                <w:sz w:val="24"/>
                <w:highlight w:val="none"/>
              </w:rPr>
              <w:t>-5</w:t>
            </w:r>
            <w:r>
              <w:rPr>
                <w:color w:val="000000" w:themeColor="text1"/>
                <w:sz w:val="24"/>
                <w:highlight w:val="none"/>
              </w:rPr>
              <w:t xml:space="preserve"> 本项目土石方平衡一览表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2383"/>
              <w:gridCol w:w="874"/>
              <w:gridCol w:w="1843"/>
              <w:gridCol w:w="2012"/>
            </w:tblGrid>
            <w:tr w14:paraId="6195D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74" w:type="pct"/>
                  <w:gridSpan w:val="2"/>
                  <w:vAlign w:val="center"/>
                </w:tcPr>
                <w:p w14:paraId="6E5DCBA0">
                  <w:pPr>
                    <w:jc w:val="center"/>
                    <w:rPr>
                      <w:color w:val="000000" w:themeColor="text1"/>
                      <w:szCs w:val="21"/>
                      <w:highlight w:val="none"/>
                    </w:rPr>
                  </w:pPr>
                  <w:r>
                    <w:rPr>
                      <w:color w:val="000000" w:themeColor="text1"/>
                      <w:szCs w:val="21"/>
                      <w:highlight w:val="none"/>
                    </w:rPr>
                    <w:t>项目</w:t>
                  </w:r>
                </w:p>
              </w:tc>
              <w:tc>
                <w:tcPr>
                  <w:tcW w:w="559" w:type="pct"/>
                  <w:vAlign w:val="center"/>
                </w:tcPr>
                <w:p w14:paraId="04AF75BB">
                  <w:pPr>
                    <w:jc w:val="center"/>
                    <w:rPr>
                      <w:color w:val="000000" w:themeColor="text1"/>
                      <w:szCs w:val="21"/>
                      <w:highlight w:val="none"/>
                    </w:rPr>
                  </w:pPr>
                  <w:r>
                    <w:rPr>
                      <w:color w:val="000000" w:themeColor="text1"/>
                      <w:szCs w:val="21"/>
                      <w:highlight w:val="none"/>
                    </w:rPr>
                    <w:t>单位</w:t>
                  </w:r>
                </w:p>
              </w:tc>
              <w:tc>
                <w:tcPr>
                  <w:tcW w:w="1179" w:type="pct"/>
                  <w:vAlign w:val="center"/>
                </w:tcPr>
                <w:p w14:paraId="178FEDE2">
                  <w:pPr>
                    <w:jc w:val="center"/>
                    <w:rPr>
                      <w:color w:val="000000" w:themeColor="text1"/>
                      <w:szCs w:val="21"/>
                      <w:highlight w:val="none"/>
                    </w:rPr>
                  </w:pPr>
                  <w:r>
                    <w:rPr>
                      <w:color w:val="000000" w:themeColor="text1"/>
                      <w:szCs w:val="21"/>
                      <w:highlight w:val="none"/>
                    </w:rPr>
                    <w:t>数量</w:t>
                  </w:r>
                </w:p>
              </w:tc>
              <w:tc>
                <w:tcPr>
                  <w:tcW w:w="1287" w:type="pct"/>
                  <w:vAlign w:val="center"/>
                </w:tcPr>
                <w:p w14:paraId="19048CBA">
                  <w:pPr>
                    <w:jc w:val="center"/>
                    <w:rPr>
                      <w:color w:val="000000" w:themeColor="text1"/>
                      <w:szCs w:val="21"/>
                      <w:highlight w:val="none"/>
                    </w:rPr>
                  </w:pPr>
                  <w:r>
                    <w:rPr>
                      <w:rFonts w:hint="eastAsia"/>
                      <w:color w:val="000000" w:themeColor="text1"/>
                      <w:szCs w:val="21"/>
                      <w:highlight w:val="none"/>
                    </w:rPr>
                    <w:t>弃</w:t>
                  </w:r>
                  <w:r>
                    <w:rPr>
                      <w:color w:val="000000" w:themeColor="text1"/>
                      <w:szCs w:val="21"/>
                      <w:highlight w:val="none"/>
                    </w:rPr>
                    <w:t>土石方去向</w:t>
                  </w:r>
                </w:p>
              </w:tc>
            </w:tr>
            <w:tr w14:paraId="239A1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 w:type="pct"/>
                  <w:vMerge w:val="restart"/>
                  <w:vAlign w:val="center"/>
                </w:tcPr>
                <w:p w14:paraId="02452808">
                  <w:pPr>
                    <w:jc w:val="center"/>
                    <w:rPr>
                      <w:color w:val="000000" w:themeColor="text1"/>
                      <w:szCs w:val="21"/>
                      <w:highlight w:val="none"/>
                    </w:rPr>
                  </w:pPr>
                  <w:r>
                    <w:rPr>
                      <w:color w:val="000000" w:themeColor="text1"/>
                      <w:szCs w:val="21"/>
                      <w:highlight w:val="none"/>
                    </w:rPr>
                    <w:t>风井场地</w:t>
                  </w:r>
                </w:p>
              </w:tc>
              <w:tc>
                <w:tcPr>
                  <w:tcW w:w="1523" w:type="pct"/>
                  <w:vAlign w:val="center"/>
                </w:tcPr>
                <w:p w14:paraId="1772C298">
                  <w:pPr>
                    <w:widowControl/>
                    <w:jc w:val="center"/>
                    <w:rPr>
                      <w:color w:val="000000" w:themeColor="text1"/>
                      <w:szCs w:val="21"/>
                      <w:highlight w:val="none"/>
                    </w:rPr>
                  </w:pPr>
                  <w:r>
                    <w:rPr>
                      <w:color w:val="000000" w:themeColor="text1"/>
                      <w:szCs w:val="21"/>
                      <w:highlight w:val="none"/>
                    </w:rPr>
                    <w:t>挖方</w:t>
                  </w:r>
                  <w:r>
                    <w:rPr>
                      <w:rFonts w:hint="eastAsia"/>
                      <w:color w:val="000000" w:themeColor="text1"/>
                      <w:szCs w:val="21"/>
                      <w:highlight w:val="none"/>
                    </w:rPr>
                    <w:t>（包括表土剥离、</w:t>
                  </w:r>
                  <w:r>
                    <w:rPr>
                      <w:rFonts w:hint="eastAsia"/>
                      <w:color w:val="000000" w:themeColor="text1"/>
                      <w:szCs w:val="21"/>
                      <w:highlight w:val="none"/>
                      <w:lang w:eastAsia="zh-CN"/>
                    </w:rPr>
                    <w:t>场</w:t>
                  </w:r>
                  <w:r>
                    <w:rPr>
                      <w:rFonts w:hint="eastAsia"/>
                      <w:color w:val="000000" w:themeColor="text1"/>
                      <w:szCs w:val="21"/>
                      <w:highlight w:val="none"/>
                    </w:rPr>
                    <w:t>平挖方）</w:t>
                  </w:r>
                </w:p>
              </w:tc>
              <w:tc>
                <w:tcPr>
                  <w:tcW w:w="559" w:type="pct"/>
                  <w:vAlign w:val="center"/>
                </w:tcPr>
                <w:p w14:paraId="59A47712">
                  <w:pPr>
                    <w:widowControl/>
                    <w:jc w:val="center"/>
                    <w:rPr>
                      <w:color w:val="000000" w:themeColor="text1"/>
                      <w:szCs w:val="21"/>
                      <w:highlight w:val="none"/>
                    </w:rPr>
                  </w:pPr>
                  <w:r>
                    <w:rPr>
                      <w:color w:val="000000" w:themeColor="text1"/>
                      <w:kern w:val="0"/>
                      <w:szCs w:val="21"/>
                      <w:highlight w:val="none"/>
                    </w:rPr>
                    <w:t>万</w:t>
                  </w:r>
                  <w:r>
                    <w:rPr>
                      <w:color w:val="000000" w:themeColor="text1"/>
                      <w:szCs w:val="21"/>
                      <w:highlight w:val="none"/>
                    </w:rPr>
                    <w:t>m</w:t>
                  </w:r>
                  <w:r>
                    <w:rPr>
                      <w:color w:val="000000" w:themeColor="text1"/>
                      <w:szCs w:val="21"/>
                      <w:highlight w:val="none"/>
                      <w:vertAlign w:val="superscript"/>
                    </w:rPr>
                    <w:t>3</w:t>
                  </w:r>
                </w:p>
              </w:tc>
              <w:tc>
                <w:tcPr>
                  <w:tcW w:w="1179" w:type="pct"/>
                  <w:vAlign w:val="center"/>
                </w:tcPr>
                <w:p w14:paraId="3919A47A">
                  <w:pPr>
                    <w:widowControl/>
                    <w:jc w:val="center"/>
                    <w:textAlignment w:val="center"/>
                    <w:rPr>
                      <w:color w:val="000000" w:themeColor="text1"/>
                      <w:szCs w:val="21"/>
                      <w:highlight w:val="none"/>
                    </w:rPr>
                  </w:pPr>
                  <w:r>
                    <w:rPr>
                      <w:rFonts w:hint="eastAsia"/>
                      <w:color w:val="000000" w:themeColor="text1"/>
                      <w:szCs w:val="21"/>
                      <w:highlight w:val="none"/>
                    </w:rPr>
                    <w:t>1.3</w:t>
                  </w:r>
                </w:p>
              </w:tc>
              <w:tc>
                <w:tcPr>
                  <w:tcW w:w="1287" w:type="pct"/>
                  <w:vMerge w:val="restart"/>
                  <w:vAlign w:val="center"/>
                </w:tcPr>
                <w:p w14:paraId="2298D955">
                  <w:pPr>
                    <w:widowControl/>
                    <w:jc w:val="center"/>
                    <w:rPr>
                      <w:rFonts w:hint="default" w:eastAsia="宋体"/>
                      <w:color w:val="000000" w:themeColor="text1"/>
                      <w:szCs w:val="21"/>
                      <w:highlight w:val="none"/>
                      <w:lang w:val="en-US" w:eastAsia="zh-CN"/>
                    </w:rPr>
                  </w:pPr>
                  <w:r>
                    <w:rPr>
                      <w:rFonts w:hint="eastAsia"/>
                      <w:color w:val="000000" w:themeColor="text1"/>
                      <w:highlight w:val="none"/>
                      <w:lang w:val="en-US" w:eastAsia="zh-CN"/>
                    </w:rPr>
                    <w:t>弃土、石方</w:t>
                  </w:r>
                  <w:r>
                    <w:rPr>
                      <w:rFonts w:hint="eastAsia"/>
                      <w:color w:val="000000" w:themeColor="text1"/>
                      <w:highlight w:val="none"/>
                    </w:rPr>
                    <w:t>拉运至公沟煤矿外排土场</w:t>
                  </w:r>
                </w:p>
              </w:tc>
            </w:tr>
            <w:tr w14:paraId="65461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 w:type="pct"/>
                  <w:vMerge w:val="continue"/>
                  <w:vAlign w:val="center"/>
                </w:tcPr>
                <w:p w14:paraId="401516EB">
                  <w:pPr>
                    <w:jc w:val="center"/>
                    <w:rPr>
                      <w:color w:val="000000" w:themeColor="text1"/>
                      <w:szCs w:val="21"/>
                      <w:highlight w:val="none"/>
                    </w:rPr>
                  </w:pPr>
                </w:p>
              </w:tc>
              <w:tc>
                <w:tcPr>
                  <w:tcW w:w="1523" w:type="pct"/>
                  <w:vAlign w:val="center"/>
                </w:tcPr>
                <w:p w14:paraId="39FF597B">
                  <w:pPr>
                    <w:jc w:val="center"/>
                    <w:rPr>
                      <w:color w:val="000000" w:themeColor="text1"/>
                      <w:szCs w:val="21"/>
                      <w:highlight w:val="none"/>
                    </w:rPr>
                  </w:pPr>
                  <w:r>
                    <w:rPr>
                      <w:color w:val="000000" w:themeColor="text1"/>
                      <w:szCs w:val="21"/>
                      <w:highlight w:val="none"/>
                    </w:rPr>
                    <w:t>填方</w:t>
                  </w:r>
                </w:p>
              </w:tc>
              <w:tc>
                <w:tcPr>
                  <w:tcW w:w="559" w:type="pct"/>
                  <w:vAlign w:val="center"/>
                </w:tcPr>
                <w:p w14:paraId="3914487D">
                  <w:pPr>
                    <w:jc w:val="center"/>
                    <w:rPr>
                      <w:color w:val="000000" w:themeColor="text1"/>
                      <w:szCs w:val="21"/>
                      <w:highlight w:val="none"/>
                    </w:rPr>
                  </w:pPr>
                  <w:r>
                    <w:rPr>
                      <w:color w:val="000000" w:themeColor="text1"/>
                      <w:kern w:val="0"/>
                      <w:szCs w:val="21"/>
                      <w:highlight w:val="none"/>
                    </w:rPr>
                    <w:t>万</w:t>
                  </w:r>
                  <w:r>
                    <w:rPr>
                      <w:color w:val="000000" w:themeColor="text1"/>
                      <w:szCs w:val="21"/>
                      <w:highlight w:val="none"/>
                    </w:rPr>
                    <w:t>m</w:t>
                  </w:r>
                  <w:r>
                    <w:rPr>
                      <w:color w:val="000000" w:themeColor="text1"/>
                      <w:szCs w:val="21"/>
                      <w:highlight w:val="none"/>
                      <w:vertAlign w:val="superscript"/>
                    </w:rPr>
                    <w:t>3</w:t>
                  </w:r>
                </w:p>
              </w:tc>
              <w:tc>
                <w:tcPr>
                  <w:tcW w:w="1179" w:type="pct"/>
                  <w:vAlign w:val="center"/>
                </w:tcPr>
                <w:p w14:paraId="66D20036">
                  <w:pPr>
                    <w:jc w:val="center"/>
                    <w:rPr>
                      <w:rFonts w:hint="default"/>
                      <w:color w:val="000000" w:themeColor="text1"/>
                      <w:kern w:val="0"/>
                      <w:szCs w:val="21"/>
                      <w:highlight w:val="none"/>
                      <w:lang w:val="en-US"/>
                    </w:rPr>
                  </w:pPr>
                  <w:r>
                    <w:rPr>
                      <w:rFonts w:hint="eastAsia"/>
                      <w:color w:val="000000" w:themeColor="text1"/>
                      <w:kern w:val="0"/>
                      <w:szCs w:val="21"/>
                      <w:highlight w:val="none"/>
                    </w:rPr>
                    <w:t>0.</w:t>
                  </w:r>
                  <w:r>
                    <w:rPr>
                      <w:rFonts w:hint="eastAsia"/>
                      <w:color w:val="000000" w:themeColor="text1"/>
                      <w:kern w:val="0"/>
                      <w:szCs w:val="21"/>
                      <w:highlight w:val="none"/>
                      <w:lang w:val="en-US" w:eastAsia="zh-CN"/>
                    </w:rPr>
                    <w:t>18</w:t>
                  </w:r>
                </w:p>
              </w:tc>
              <w:tc>
                <w:tcPr>
                  <w:tcW w:w="1287" w:type="pct"/>
                  <w:vMerge w:val="continue"/>
                  <w:vAlign w:val="center"/>
                </w:tcPr>
                <w:p w14:paraId="5608674B">
                  <w:pPr>
                    <w:jc w:val="center"/>
                    <w:rPr>
                      <w:color w:val="000000" w:themeColor="text1"/>
                      <w:kern w:val="0"/>
                      <w:szCs w:val="21"/>
                      <w:highlight w:val="none"/>
                    </w:rPr>
                  </w:pPr>
                </w:p>
              </w:tc>
            </w:tr>
            <w:tr w14:paraId="4017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 w:type="pct"/>
                  <w:vMerge w:val="continue"/>
                  <w:vAlign w:val="center"/>
                </w:tcPr>
                <w:p w14:paraId="2CE192E7">
                  <w:pPr>
                    <w:jc w:val="center"/>
                    <w:rPr>
                      <w:color w:val="000000" w:themeColor="text1"/>
                      <w:szCs w:val="21"/>
                      <w:highlight w:val="none"/>
                    </w:rPr>
                  </w:pPr>
                </w:p>
              </w:tc>
              <w:tc>
                <w:tcPr>
                  <w:tcW w:w="1523" w:type="pct"/>
                  <w:vAlign w:val="center"/>
                </w:tcPr>
                <w:p w14:paraId="0FE40339">
                  <w:pPr>
                    <w:jc w:val="center"/>
                    <w:rPr>
                      <w:color w:val="000000" w:themeColor="text1"/>
                      <w:szCs w:val="21"/>
                      <w:highlight w:val="none"/>
                    </w:rPr>
                  </w:pPr>
                  <w:r>
                    <w:rPr>
                      <w:rFonts w:hint="eastAsia"/>
                      <w:color w:val="000000" w:themeColor="text1"/>
                      <w:szCs w:val="21"/>
                      <w:highlight w:val="none"/>
                    </w:rPr>
                    <w:t>弃方</w:t>
                  </w:r>
                </w:p>
              </w:tc>
              <w:tc>
                <w:tcPr>
                  <w:tcW w:w="559" w:type="pct"/>
                  <w:vAlign w:val="center"/>
                </w:tcPr>
                <w:p w14:paraId="6D24E897">
                  <w:pPr>
                    <w:jc w:val="center"/>
                    <w:rPr>
                      <w:color w:val="000000" w:themeColor="text1"/>
                      <w:szCs w:val="21"/>
                      <w:highlight w:val="none"/>
                    </w:rPr>
                  </w:pPr>
                  <w:r>
                    <w:rPr>
                      <w:color w:val="000000" w:themeColor="text1"/>
                      <w:kern w:val="0"/>
                      <w:szCs w:val="21"/>
                      <w:highlight w:val="none"/>
                    </w:rPr>
                    <w:t>万</w:t>
                  </w:r>
                  <w:r>
                    <w:rPr>
                      <w:color w:val="000000" w:themeColor="text1"/>
                      <w:szCs w:val="21"/>
                      <w:highlight w:val="none"/>
                    </w:rPr>
                    <w:t>m</w:t>
                  </w:r>
                  <w:r>
                    <w:rPr>
                      <w:color w:val="000000" w:themeColor="text1"/>
                      <w:szCs w:val="21"/>
                      <w:highlight w:val="none"/>
                      <w:vertAlign w:val="superscript"/>
                    </w:rPr>
                    <w:t>3</w:t>
                  </w:r>
                </w:p>
              </w:tc>
              <w:tc>
                <w:tcPr>
                  <w:tcW w:w="1179" w:type="pct"/>
                  <w:vAlign w:val="center"/>
                </w:tcPr>
                <w:p w14:paraId="31D6DDD8">
                  <w:pPr>
                    <w:widowControl/>
                    <w:jc w:val="center"/>
                    <w:rPr>
                      <w:rFonts w:hint="default" w:eastAsia="宋体"/>
                      <w:color w:val="000000" w:themeColor="text1"/>
                      <w:szCs w:val="21"/>
                      <w:highlight w:val="none"/>
                      <w:lang w:val="en-US" w:eastAsia="zh-CN"/>
                    </w:rPr>
                  </w:pPr>
                  <w:r>
                    <w:rPr>
                      <w:rFonts w:hint="eastAsia"/>
                      <w:color w:val="000000" w:themeColor="text1"/>
                      <w:kern w:val="0"/>
                      <w:szCs w:val="21"/>
                      <w:highlight w:val="none"/>
                    </w:rPr>
                    <w:t>1.</w:t>
                  </w:r>
                  <w:r>
                    <w:rPr>
                      <w:rFonts w:hint="eastAsia"/>
                      <w:color w:val="000000" w:themeColor="text1"/>
                      <w:kern w:val="0"/>
                      <w:szCs w:val="21"/>
                      <w:highlight w:val="none"/>
                      <w:lang w:val="en-US" w:eastAsia="zh-CN"/>
                    </w:rPr>
                    <w:t>12</w:t>
                  </w:r>
                </w:p>
              </w:tc>
              <w:tc>
                <w:tcPr>
                  <w:tcW w:w="1287" w:type="pct"/>
                  <w:vMerge w:val="continue"/>
                  <w:vAlign w:val="center"/>
                </w:tcPr>
                <w:p w14:paraId="1B45A35A">
                  <w:pPr>
                    <w:widowControl/>
                    <w:jc w:val="center"/>
                    <w:rPr>
                      <w:color w:val="000000" w:themeColor="text1"/>
                      <w:szCs w:val="21"/>
                      <w:highlight w:val="none"/>
                    </w:rPr>
                  </w:pPr>
                </w:p>
              </w:tc>
            </w:tr>
            <w:tr w14:paraId="18BFA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 w:type="pct"/>
                  <w:vMerge w:val="continue"/>
                  <w:vAlign w:val="center"/>
                </w:tcPr>
                <w:p w14:paraId="415AC761">
                  <w:pPr>
                    <w:jc w:val="center"/>
                    <w:rPr>
                      <w:color w:val="000000" w:themeColor="text1"/>
                      <w:szCs w:val="21"/>
                      <w:highlight w:val="none"/>
                    </w:rPr>
                  </w:pPr>
                </w:p>
              </w:tc>
              <w:tc>
                <w:tcPr>
                  <w:tcW w:w="1523" w:type="pct"/>
                  <w:vAlign w:val="center"/>
                </w:tcPr>
                <w:p w14:paraId="03E22B0C">
                  <w:pPr>
                    <w:jc w:val="center"/>
                    <w:rPr>
                      <w:rFonts w:hint="default" w:eastAsia="宋体"/>
                      <w:color w:val="000000" w:themeColor="text1"/>
                      <w:szCs w:val="21"/>
                      <w:highlight w:val="none"/>
                      <w:lang w:val="en-US" w:eastAsia="zh-CN"/>
                    </w:rPr>
                  </w:pPr>
                  <w:r>
                    <w:rPr>
                      <w:rFonts w:hint="eastAsia"/>
                      <w:color w:val="000000" w:themeColor="text1"/>
                      <w:szCs w:val="21"/>
                      <w:highlight w:val="none"/>
                      <w:lang w:val="en-US" w:eastAsia="zh-CN"/>
                    </w:rPr>
                    <w:t>挖石（井筒岩石）</w:t>
                  </w:r>
                </w:p>
              </w:tc>
              <w:tc>
                <w:tcPr>
                  <w:tcW w:w="559" w:type="pct"/>
                  <w:vAlign w:val="center"/>
                </w:tcPr>
                <w:p w14:paraId="4F367CE7">
                  <w:pPr>
                    <w:jc w:val="center"/>
                    <w:rPr>
                      <w:color w:val="000000" w:themeColor="text1"/>
                      <w:kern w:val="0"/>
                      <w:szCs w:val="21"/>
                      <w:highlight w:val="none"/>
                    </w:rPr>
                  </w:pPr>
                  <w:r>
                    <w:rPr>
                      <w:color w:val="000000" w:themeColor="text1"/>
                      <w:szCs w:val="21"/>
                      <w:highlight w:val="none"/>
                    </w:rPr>
                    <w:t>万m³</w:t>
                  </w:r>
                </w:p>
              </w:tc>
              <w:tc>
                <w:tcPr>
                  <w:tcW w:w="1179" w:type="pct"/>
                  <w:vAlign w:val="center"/>
                </w:tcPr>
                <w:p w14:paraId="1ED575BA">
                  <w:pPr>
                    <w:widowControl/>
                    <w:jc w:val="center"/>
                    <w:rPr>
                      <w:rFonts w:hint="default" w:eastAsia="宋体"/>
                      <w:color w:val="000000" w:themeColor="text1"/>
                      <w:kern w:val="0"/>
                      <w:szCs w:val="21"/>
                      <w:highlight w:val="none"/>
                      <w:lang w:val="en-US" w:eastAsia="zh-CN"/>
                    </w:rPr>
                  </w:pPr>
                  <w:r>
                    <w:rPr>
                      <w:rFonts w:hint="eastAsia"/>
                      <w:color w:val="000000" w:themeColor="text1"/>
                      <w:kern w:val="0"/>
                      <w:szCs w:val="21"/>
                      <w:highlight w:val="none"/>
                      <w:lang w:val="en-US" w:eastAsia="zh-CN"/>
                    </w:rPr>
                    <w:t>2.62</w:t>
                  </w:r>
                </w:p>
              </w:tc>
              <w:tc>
                <w:tcPr>
                  <w:tcW w:w="1287" w:type="pct"/>
                  <w:vMerge w:val="continue"/>
                  <w:vAlign w:val="center"/>
                </w:tcPr>
                <w:p w14:paraId="32A3E384">
                  <w:pPr>
                    <w:widowControl/>
                    <w:jc w:val="center"/>
                    <w:rPr>
                      <w:color w:val="000000" w:themeColor="text1"/>
                      <w:szCs w:val="21"/>
                      <w:highlight w:val="none"/>
                    </w:rPr>
                  </w:pPr>
                </w:p>
              </w:tc>
            </w:tr>
            <w:tr w14:paraId="09B4F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0" w:type="pct"/>
                  <w:vMerge w:val="continue"/>
                  <w:vAlign w:val="center"/>
                </w:tcPr>
                <w:p w14:paraId="488949CE">
                  <w:pPr>
                    <w:jc w:val="center"/>
                    <w:rPr>
                      <w:color w:val="000000" w:themeColor="text1"/>
                      <w:szCs w:val="21"/>
                      <w:highlight w:val="none"/>
                    </w:rPr>
                  </w:pPr>
                </w:p>
              </w:tc>
              <w:tc>
                <w:tcPr>
                  <w:tcW w:w="1523" w:type="pct"/>
                  <w:vAlign w:val="center"/>
                </w:tcPr>
                <w:p w14:paraId="53116DB0">
                  <w:pPr>
                    <w:jc w:val="center"/>
                    <w:rPr>
                      <w:color w:val="000000" w:themeColor="text1"/>
                      <w:szCs w:val="21"/>
                      <w:highlight w:val="none"/>
                    </w:rPr>
                  </w:pPr>
                  <w:r>
                    <w:rPr>
                      <w:color w:val="000000" w:themeColor="text1"/>
                      <w:szCs w:val="21"/>
                      <w:highlight w:val="none"/>
                    </w:rPr>
                    <w:t>弃石</w:t>
                  </w:r>
                </w:p>
              </w:tc>
              <w:tc>
                <w:tcPr>
                  <w:tcW w:w="559" w:type="pct"/>
                  <w:vAlign w:val="center"/>
                </w:tcPr>
                <w:p w14:paraId="222AFBA7">
                  <w:pPr>
                    <w:jc w:val="center"/>
                    <w:rPr>
                      <w:color w:val="000000" w:themeColor="text1"/>
                      <w:szCs w:val="21"/>
                      <w:highlight w:val="none"/>
                    </w:rPr>
                  </w:pPr>
                  <w:r>
                    <w:rPr>
                      <w:color w:val="000000" w:themeColor="text1"/>
                      <w:szCs w:val="21"/>
                      <w:highlight w:val="none"/>
                    </w:rPr>
                    <w:t>万m³</w:t>
                  </w:r>
                </w:p>
              </w:tc>
              <w:tc>
                <w:tcPr>
                  <w:tcW w:w="1179" w:type="pct"/>
                  <w:vAlign w:val="center"/>
                </w:tcPr>
                <w:p w14:paraId="49AF71F2">
                  <w:pPr>
                    <w:widowControl/>
                    <w:jc w:val="center"/>
                    <w:rPr>
                      <w:color w:val="000000" w:themeColor="text1"/>
                      <w:szCs w:val="21"/>
                      <w:highlight w:val="none"/>
                    </w:rPr>
                  </w:pPr>
                  <w:r>
                    <w:rPr>
                      <w:rFonts w:hint="eastAsia"/>
                      <w:color w:val="000000" w:themeColor="text1"/>
                      <w:szCs w:val="21"/>
                      <w:highlight w:val="none"/>
                    </w:rPr>
                    <w:t>2.62</w:t>
                  </w:r>
                </w:p>
              </w:tc>
              <w:tc>
                <w:tcPr>
                  <w:tcW w:w="1287" w:type="pct"/>
                  <w:vMerge w:val="continue"/>
                  <w:vAlign w:val="center"/>
                </w:tcPr>
                <w:p w14:paraId="44AC6575">
                  <w:pPr>
                    <w:widowControl/>
                    <w:jc w:val="center"/>
                    <w:rPr>
                      <w:color w:val="000000" w:themeColor="text1"/>
                      <w:szCs w:val="21"/>
                      <w:highlight w:val="none"/>
                    </w:rPr>
                  </w:pPr>
                </w:p>
              </w:tc>
            </w:tr>
            <w:bookmarkEnd w:id="3"/>
            <w:bookmarkEnd w:id="4"/>
            <w:bookmarkEnd w:id="5"/>
            <w:bookmarkEnd w:id="6"/>
            <w:bookmarkEnd w:id="7"/>
            <w:bookmarkEnd w:id="8"/>
          </w:tbl>
          <w:p w14:paraId="413C2C9F">
            <w:pPr>
              <w:pStyle w:val="35"/>
              <w:ind w:firstLine="420"/>
              <w:rPr>
                <w:color w:val="000000" w:themeColor="text1"/>
                <w:highlight w:val="none"/>
              </w:rPr>
            </w:pPr>
          </w:p>
        </w:tc>
      </w:tr>
      <w:tr w14:paraId="2DD450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588" w:type="dxa"/>
            <w:vAlign w:val="center"/>
          </w:tcPr>
          <w:p w14:paraId="0B72405A">
            <w:pPr>
              <w:adjustRightInd w:val="0"/>
              <w:snapToGrid w:val="0"/>
              <w:jc w:val="center"/>
              <w:rPr>
                <w:rFonts w:ascii="宋体" w:hAnsi="宋体" w:cs="宋体"/>
                <w:color w:val="000000" w:themeColor="text1"/>
                <w:kern w:val="0"/>
                <w:szCs w:val="21"/>
                <w:highlight w:val="none"/>
              </w:rPr>
            </w:pPr>
            <w:r>
              <w:rPr>
                <w:rFonts w:hint="eastAsia" w:ascii="宋体" w:hAnsi="宋体" w:cs="宋体"/>
                <w:color w:val="000000" w:themeColor="text1"/>
                <w:kern w:val="0"/>
                <w:sz w:val="24"/>
                <w:highlight w:val="none"/>
              </w:rPr>
              <w:t>总平面及现场布置</w:t>
            </w:r>
          </w:p>
        </w:tc>
        <w:tc>
          <w:tcPr>
            <w:tcW w:w="8044" w:type="dxa"/>
            <w:vAlign w:val="center"/>
          </w:tcPr>
          <w:p w14:paraId="116312AF">
            <w:pPr>
              <w:spacing w:line="360" w:lineRule="auto"/>
              <w:ind w:firstLine="482" w:firstLineChars="200"/>
              <w:jc w:val="left"/>
              <w:rPr>
                <w:b/>
                <w:bCs/>
                <w:color w:val="000000" w:themeColor="text1"/>
                <w:sz w:val="24"/>
                <w:highlight w:val="none"/>
              </w:rPr>
            </w:pPr>
            <w:r>
              <w:rPr>
                <w:rFonts w:hint="eastAsia"/>
                <w:b/>
                <w:bCs/>
                <w:color w:val="000000" w:themeColor="text1"/>
                <w:sz w:val="24"/>
                <w:highlight w:val="none"/>
              </w:rPr>
              <w:t>一、总平面布置</w:t>
            </w:r>
          </w:p>
          <w:p w14:paraId="47D64149">
            <w:pPr>
              <w:spacing w:line="360" w:lineRule="auto"/>
              <w:ind w:firstLine="480" w:firstLineChars="200"/>
              <w:jc w:val="left"/>
              <w:rPr>
                <w:snapToGrid w:val="0"/>
                <w:color w:val="000000" w:themeColor="text1"/>
                <w:sz w:val="24"/>
                <w:highlight w:val="none"/>
              </w:rPr>
            </w:pPr>
            <w:r>
              <w:rPr>
                <w:rFonts w:hint="eastAsia"/>
                <w:color w:val="000000" w:themeColor="text1"/>
                <w:sz w:val="24"/>
                <w:highlight w:val="none"/>
              </w:rPr>
              <w:t>本次风</w:t>
            </w:r>
            <w:r>
              <w:rPr>
                <w:color w:val="000000" w:themeColor="text1"/>
                <w:sz w:val="24"/>
                <w:highlight w:val="none"/>
              </w:rPr>
              <w:t>井场地，位于</w:t>
            </w:r>
            <w:r>
              <w:rPr>
                <w:rFonts w:hint="eastAsia"/>
                <w:color w:val="000000" w:themeColor="text1"/>
                <w:sz w:val="24"/>
                <w:highlight w:val="none"/>
              </w:rPr>
              <w:t>富民煤</w:t>
            </w:r>
            <w:r>
              <w:rPr>
                <w:color w:val="000000" w:themeColor="text1"/>
                <w:sz w:val="24"/>
                <w:highlight w:val="none"/>
              </w:rPr>
              <w:t>矿工业场地</w:t>
            </w:r>
            <w:r>
              <w:rPr>
                <w:rFonts w:hint="eastAsia"/>
                <w:color w:val="000000" w:themeColor="text1"/>
                <w:sz w:val="24"/>
                <w:highlight w:val="none"/>
              </w:rPr>
              <w:t>东</w:t>
            </w:r>
            <w:r>
              <w:rPr>
                <w:color w:val="000000" w:themeColor="text1"/>
                <w:sz w:val="24"/>
                <w:highlight w:val="none"/>
              </w:rPr>
              <w:t>约</w:t>
            </w:r>
            <w:r>
              <w:rPr>
                <w:rFonts w:hint="eastAsia"/>
                <w:color w:val="000000" w:themeColor="text1"/>
                <w:sz w:val="24"/>
                <w:highlight w:val="none"/>
              </w:rPr>
              <w:t>1</w:t>
            </w:r>
            <w:r>
              <w:rPr>
                <w:rFonts w:eastAsia="Times New Roman"/>
                <w:color w:val="000000" w:themeColor="text1"/>
                <w:sz w:val="24"/>
                <w:highlight w:val="none"/>
              </w:rPr>
              <w:t>km</w:t>
            </w:r>
            <w:r>
              <w:rPr>
                <w:color w:val="000000" w:themeColor="text1"/>
                <w:sz w:val="24"/>
                <w:highlight w:val="none"/>
              </w:rPr>
              <w:t>处，</w:t>
            </w:r>
            <w:r>
              <w:rPr>
                <w:rFonts w:hint="eastAsia"/>
                <w:color w:val="000000" w:themeColor="text1"/>
                <w:sz w:val="24"/>
                <w:highlight w:val="none"/>
              </w:rPr>
              <w:t>受地形限制，围墙内建构筑物尽量避开高填方区，用地西南-东北呈平行四边形。</w:t>
            </w:r>
            <w:r>
              <w:rPr>
                <w:color w:val="000000" w:themeColor="text1"/>
                <w:sz w:val="24"/>
                <w:highlight w:val="none"/>
              </w:rPr>
              <w:t>场地</w:t>
            </w:r>
            <w:r>
              <w:rPr>
                <w:rFonts w:hint="eastAsia"/>
                <w:color w:val="000000" w:themeColor="text1"/>
                <w:sz w:val="24"/>
                <w:highlight w:val="none"/>
              </w:rPr>
              <w:t>靠南侧安装主通风机，西北角建设变电所</w:t>
            </w:r>
            <w:r>
              <w:rPr>
                <w:color w:val="000000" w:themeColor="text1"/>
                <w:sz w:val="24"/>
                <w:highlight w:val="none"/>
              </w:rPr>
              <w:t>。</w:t>
            </w:r>
            <w:r>
              <w:rPr>
                <w:rFonts w:hint="eastAsia"/>
                <w:color w:val="000000" w:themeColor="text1"/>
                <w:sz w:val="24"/>
                <w:highlight w:val="none"/>
              </w:rPr>
              <w:t>西南侧设置大门，围绕主机设置场内道路</w:t>
            </w:r>
            <w:r>
              <w:rPr>
                <w:rFonts w:hint="eastAsia"/>
                <w:snapToGrid w:val="0"/>
                <w:color w:val="000000" w:themeColor="text1"/>
                <w:sz w:val="24"/>
                <w:highlight w:val="none"/>
              </w:rPr>
              <w:t>。</w:t>
            </w:r>
          </w:p>
          <w:p w14:paraId="6E694A2B">
            <w:pPr>
              <w:spacing w:line="360" w:lineRule="auto"/>
              <w:ind w:firstLine="480" w:firstLineChars="200"/>
              <w:jc w:val="left"/>
              <w:rPr>
                <w:color w:val="000000" w:themeColor="text1"/>
                <w:sz w:val="24"/>
                <w:highlight w:val="none"/>
              </w:rPr>
            </w:pPr>
            <w:r>
              <w:rPr>
                <w:rFonts w:hint="eastAsia"/>
                <w:color w:val="000000" w:themeColor="text1"/>
                <w:sz w:val="24"/>
                <w:highlight w:val="none"/>
              </w:rPr>
              <w:t>工程总平面布置图见附图</w:t>
            </w:r>
            <w:r>
              <w:rPr>
                <w:color w:val="000000" w:themeColor="text1"/>
                <w:sz w:val="24"/>
                <w:highlight w:val="none"/>
              </w:rPr>
              <w:t>2</w:t>
            </w:r>
            <w:r>
              <w:rPr>
                <w:rFonts w:hint="eastAsia"/>
                <w:color w:val="000000" w:themeColor="text1"/>
                <w:sz w:val="24"/>
                <w:highlight w:val="none"/>
              </w:rPr>
              <w:t>。</w:t>
            </w:r>
          </w:p>
          <w:p w14:paraId="7B7D8EFD">
            <w:pPr>
              <w:spacing w:line="360" w:lineRule="auto"/>
              <w:ind w:firstLine="482" w:firstLineChars="200"/>
              <w:rPr>
                <w:b/>
                <w:bCs/>
                <w:color w:val="000000" w:themeColor="text1"/>
                <w:sz w:val="24"/>
                <w:highlight w:val="none"/>
              </w:rPr>
            </w:pPr>
            <w:r>
              <w:rPr>
                <w:rFonts w:hint="eastAsia"/>
                <w:b/>
                <w:bCs/>
                <w:color w:val="000000" w:themeColor="text1"/>
                <w:sz w:val="24"/>
                <w:highlight w:val="none"/>
              </w:rPr>
              <w:t>二、现场布置</w:t>
            </w:r>
          </w:p>
          <w:p w14:paraId="028E63ED">
            <w:pPr>
              <w:widowControl/>
              <w:spacing w:line="360" w:lineRule="auto"/>
              <w:ind w:firstLine="480" w:firstLineChars="200"/>
              <w:jc w:val="left"/>
              <w:rPr>
                <w:rFonts w:ascii="宋体" w:hAnsi="宋体" w:cs="宋体"/>
                <w:color w:val="000000" w:themeColor="text1"/>
                <w:kern w:val="0"/>
                <w:sz w:val="24"/>
                <w:highlight w:val="none"/>
              </w:rPr>
            </w:pPr>
            <w:r>
              <w:rPr>
                <w:rFonts w:hint="eastAsia"/>
                <w:color w:val="000000" w:themeColor="text1"/>
                <w:sz w:val="24"/>
                <w:highlight w:val="none"/>
              </w:rPr>
              <w:t>1</w:t>
            </w:r>
            <w:r>
              <w:rPr>
                <w:rFonts w:hint="eastAsia" w:ascii="宋体" w:hAnsi="宋体" w:cs="宋体"/>
                <w:color w:val="000000" w:themeColor="text1"/>
                <w:kern w:val="0"/>
                <w:sz w:val="24"/>
                <w:highlight w:val="none"/>
              </w:rPr>
              <w:t>.施工交通布置</w:t>
            </w:r>
          </w:p>
          <w:p w14:paraId="49BCB6D8">
            <w:pPr>
              <w:widowControl/>
              <w:spacing w:line="360" w:lineRule="auto"/>
              <w:ind w:firstLine="480" w:firstLineChars="200"/>
              <w:jc w:val="left"/>
              <w:rPr>
                <w:rFonts w:ascii="宋体" w:hAnsi="宋体" w:cs="宋体"/>
                <w:color w:val="000000" w:themeColor="text1"/>
                <w:kern w:val="0"/>
                <w:sz w:val="24"/>
                <w:highlight w:val="none"/>
              </w:rPr>
            </w:pPr>
            <w:r>
              <w:rPr>
                <w:rFonts w:ascii="宋体" w:hAnsi="宋体" w:cs="宋体"/>
                <w:color w:val="000000" w:themeColor="text1"/>
                <w:kern w:val="0"/>
                <w:sz w:val="24"/>
                <w:highlight w:val="none"/>
              </w:rPr>
              <w:t>施工期间风井工业场地内道路采用砂石路面，施工结束后改建为永久性道路</w:t>
            </w:r>
            <w:r>
              <w:rPr>
                <w:rFonts w:hint="eastAsia" w:ascii="宋体" w:hAnsi="宋体" w:cs="宋体"/>
                <w:color w:val="000000" w:themeColor="text1"/>
                <w:kern w:val="0"/>
                <w:sz w:val="24"/>
                <w:highlight w:val="none"/>
              </w:rPr>
              <w:t>（</w:t>
            </w:r>
            <w:r>
              <w:rPr>
                <w:rFonts w:ascii="宋体" w:hAnsi="宋体" w:cs="宋体"/>
                <w:color w:val="000000" w:themeColor="text1"/>
                <w:kern w:val="0"/>
                <w:sz w:val="24"/>
                <w:highlight w:val="none"/>
              </w:rPr>
              <w:t>碎石基层，混凝土路面）。场外施工道路依托附近</w:t>
            </w:r>
            <w:r>
              <w:rPr>
                <w:rFonts w:hint="eastAsia" w:ascii="宋体" w:hAnsi="宋体" w:cs="宋体"/>
                <w:color w:val="000000" w:themeColor="text1"/>
                <w:kern w:val="0"/>
                <w:sz w:val="24"/>
                <w:highlight w:val="none"/>
              </w:rPr>
              <w:t>县道</w:t>
            </w:r>
            <w:r>
              <w:rPr>
                <w:rFonts w:ascii="宋体" w:hAnsi="宋体" w:cs="宋体"/>
                <w:color w:val="000000" w:themeColor="text1"/>
                <w:kern w:val="0"/>
                <w:sz w:val="24"/>
                <w:highlight w:val="none"/>
              </w:rPr>
              <w:t>，不再另辟临时施工道路。</w:t>
            </w:r>
          </w:p>
          <w:p w14:paraId="588DD633">
            <w:pPr>
              <w:pStyle w:val="4"/>
              <w:spacing w:before="0" w:after="0"/>
              <w:ind w:firstLine="480" w:firstLineChars="200"/>
              <w:rPr>
                <w:rFonts w:ascii="Times New Roman"/>
                <w:b w:val="0"/>
                <w:bCs/>
                <w:color w:val="000000" w:themeColor="text1"/>
                <w:sz w:val="24"/>
                <w:szCs w:val="24"/>
                <w:highlight w:val="none"/>
              </w:rPr>
            </w:pPr>
            <w:r>
              <w:rPr>
                <w:rFonts w:hint="eastAsia" w:ascii="Times New Roman"/>
                <w:b w:val="0"/>
                <w:bCs/>
                <w:color w:val="000000" w:themeColor="text1"/>
                <w:sz w:val="24"/>
                <w:szCs w:val="24"/>
                <w:highlight w:val="none"/>
              </w:rPr>
              <w:t>2.</w:t>
            </w:r>
            <w:r>
              <w:rPr>
                <w:rFonts w:ascii="Times New Roman"/>
                <w:b w:val="0"/>
                <w:bCs/>
                <w:color w:val="000000" w:themeColor="text1"/>
                <w:sz w:val="24"/>
                <w:szCs w:val="24"/>
                <w:highlight w:val="none"/>
              </w:rPr>
              <w:t>施工供水、供电</w:t>
            </w:r>
          </w:p>
          <w:p w14:paraId="3CAEF6AB">
            <w:pPr>
              <w:pStyle w:val="35"/>
              <w:rPr>
                <w:bCs/>
                <w:color w:val="000000" w:themeColor="text1"/>
                <w:sz w:val="24"/>
                <w:highlight w:val="none"/>
              </w:rPr>
            </w:pPr>
            <w:r>
              <w:rPr>
                <w:rFonts w:hint="eastAsia"/>
                <w:bCs/>
                <w:color w:val="000000" w:themeColor="text1"/>
                <w:sz w:val="24"/>
                <w:highlight w:val="none"/>
              </w:rPr>
              <w:t>2.1</w:t>
            </w:r>
            <w:r>
              <w:rPr>
                <w:bCs/>
                <w:color w:val="000000" w:themeColor="text1"/>
                <w:sz w:val="24"/>
                <w:highlight w:val="none"/>
              </w:rPr>
              <w:t>施工供水</w:t>
            </w:r>
          </w:p>
          <w:p w14:paraId="1337B13D">
            <w:pPr>
              <w:pStyle w:val="14"/>
              <w:widowControl w:val="0"/>
              <w:snapToGrid/>
              <w:spacing w:before="0" w:after="0" w:line="360" w:lineRule="auto"/>
              <w:ind w:right="0" w:firstLine="480" w:firstLineChars="200"/>
              <w:rPr>
                <w:rFonts w:ascii="微软雅黑" w:hAnsi="微软雅黑" w:eastAsia="微软雅黑" w:cs="微软雅黑"/>
                <w:color w:val="000000" w:themeColor="text1"/>
                <w:szCs w:val="21"/>
                <w:highlight w:val="none"/>
              </w:rPr>
            </w:pPr>
            <w:r>
              <w:rPr>
                <w:rFonts w:hint="eastAsia"/>
                <w:bCs/>
                <w:color w:val="000000" w:themeColor="text1"/>
                <w:kern w:val="2"/>
                <w:sz w:val="24"/>
                <w:szCs w:val="24"/>
                <w:highlight w:val="none"/>
              </w:rPr>
              <w:t>施工用水水源为富民煤矿工业场地矿井水处理站处理后产出的中水，依托水车从煤矿工业场地拉水。</w:t>
            </w:r>
          </w:p>
          <w:p w14:paraId="6F619F02">
            <w:pPr>
              <w:pStyle w:val="14"/>
              <w:widowControl w:val="0"/>
              <w:snapToGrid/>
              <w:spacing w:before="0" w:after="0" w:line="360" w:lineRule="auto"/>
              <w:ind w:right="0" w:firstLine="480" w:firstLineChars="200"/>
              <w:rPr>
                <w:bCs/>
                <w:color w:val="000000" w:themeColor="text1"/>
                <w:sz w:val="24"/>
                <w:szCs w:val="24"/>
                <w:highlight w:val="none"/>
              </w:rPr>
            </w:pPr>
            <w:r>
              <w:rPr>
                <w:rFonts w:hint="eastAsia"/>
                <w:bCs/>
                <w:color w:val="000000" w:themeColor="text1"/>
                <w:sz w:val="24"/>
                <w:szCs w:val="24"/>
                <w:highlight w:val="none"/>
              </w:rPr>
              <w:t>2.2</w:t>
            </w:r>
            <w:r>
              <w:rPr>
                <w:bCs/>
                <w:color w:val="000000" w:themeColor="text1"/>
                <w:sz w:val="24"/>
                <w:szCs w:val="24"/>
                <w:highlight w:val="none"/>
              </w:rPr>
              <w:t>施工供电</w:t>
            </w:r>
          </w:p>
          <w:p w14:paraId="1BBA7F7E">
            <w:pPr>
              <w:pStyle w:val="35"/>
              <w:rPr>
                <w:color w:val="000000" w:themeColor="text1"/>
                <w:sz w:val="24"/>
                <w:highlight w:val="none"/>
              </w:rPr>
            </w:pPr>
            <w:r>
              <w:rPr>
                <w:rFonts w:hint="eastAsia"/>
                <w:bCs/>
                <w:color w:val="000000" w:themeColor="text1"/>
                <w:sz w:val="24"/>
                <w:highlight w:val="none"/>
              </w:rPr>
              <w:t>项目设置10kv配电室，施工电源利用原回风斜井LGJ-50型架空线路，敷设距离为700米，回风斜井至回风立井新敷设MYJV22-10kV 3×50mm</w:t>
            </w:r>
            <w:r>
              <w:rPr>
                <w:rFonts w:hint="eastAsia"/>
                <w:bCs/>
                <w:color w:val="000000" w:themeColor="text1"/>
                <w:sz w:val="24"/>
                <w:highlight w:val="none"/>
                <w:vertAlign w:val="superscript"/>
              </w:rPr>
              <w:t>2</w:t>
            </w:r>
            <w:r>
              <w:rPr>
                <w:rFonts w:hint="eastAsia"/>
                <w:bCs/>
                <w:color w:val="000000" w:themeColor="text1"/>
                <w:sz w:val="24"/>
                <w:highlight w:val="none"/>
              </w:rPr>
              <w:t>型电缆，距离约300米。</w:t>
            </w:r>
            <w:r>
              <w:rPr>
                <w:snapToGrid w:val="0"/>
                <w:color w:val="000000" w:themeColor="text1"/>
                <w:sz w:val="24"/>
                <w:highlight w:val="none"/>
              </w:rPr>
              <w:t>施工单位</w:t>
            </w:r>
            <w:r>
              <w:rPr>
                <w:rFonts w:hint="eastAsia"/>
                <w:snapToGrid w:val="0"/>
                <w:color w:val="000000" w:themeColor="text1"/>
                <w:sz w:val="24"/>
                <w:highlight w:val="none"/>
              </w:rPr>
              <w:t>应</w:t>
            </w:r>
            <w:r>
              <w:rPr>
                <w:snapToGrid w:val="0"/>
                <w:color w:val="000000" w:themeColor="text1"/>
                <w:sz w:val="24"/>
                <w:highlight w:val="none"/>
              </w:rPr>
              <w:t>自备应急电源</w:t>
            </w:r>
            <w:r>
              <w:rPr>
                <w:snapToGrid w:val="0"/>
                <w:color w:val="000000" w:themeColor="text1"/>
                <w:szCs w:val="21"/>
                <w:highlight w:val="none"/>
              </w:rPr>
              <w:t>。</w:t>
            </w:r>
          </w:p>
          <w:p w14:paraId="2803B5D1">
            <w:pPr>
              <w:pStyle w:val="35"/>
              <w:rPr>
                <w:color w:val="000000" w:themeColor="text1"/>
                <w:sz w:val="24"/>
                <w:highlight w:val="none"/>
              </w:rPr>
            </w:pPr>
            <w:r>
              <w:rPr>
                <w:rFonts w:hint="eastAsia"/>
                <w:color w:val="000000" w:themeColor="text1"/>
                <w:sz w:val="24"/>
                <w:highlight w:val="none"/>
              </w:rPr>
              <w:t>3.临时工程布置</w:t>
            </w:r>
          </w:p>
          <w:p w14:paraId="7403FEE4">
            <w:pPr>
              <w:pStyle w:val="35"/>
              <w:rPr>
                <w:color w:val="000000" w:themeColor="text1"/>
                <w:sz w:val="24"/>
                <w:highlight w:val="none"/>
              </w:rPr>
            </w:pPr>
            <w:r>
              <w:rPr>
                <w:rFonts w:hint="eastAsia"/>
                <w:color w:val="000000" w:themeColor="text1"/>
                <w:sz w:val="24"/>
                <w:highlight w:val="none"/>
              </w:rPr>
              <w:t>（1）</w:t>
            </w:r>
            <w:r>
              <w:rPr>
                <w:color w:val="000000" w:themeColor="text1"/>
                <w:sz w:val="24"/>
                <w:highlight w:val="none"/>
              </w:rPr>
              <w:t>施工生产区</w:t>
            </w:r>
          </w:p>
          <w:p w14:paraId="3ACFA5AB">
            <w:pPr>
              <w:pStyle w:val="35"/>
              <w:rPr>
                <w:color w:val="000000" w:themeColor="text1"/>
                <w:sz w:val="24"/>
                <w:highlight w:val="none"/>
              </w:rPr>
            </w:pPr>
            <w:r>
              <w:rPr>
                <w:color w:val="000000" w:themeColor="text1"/>
                <w:sz w:val="24"/>
                <w:highlight w:val="none"/>
              </w:rPr>
              <w:t>本工程施工生产区，布置在风井场地</w:t>
            </w:r>
            <w:r>
              <w:rPr>
                <w:rFonts w:hint="eastAsia"/>
                <w:color w:val="000000" w:themeColor="text1"/>
                <w:sz w:val="24"/>
                <w:highlight w:val="none"/>
              </w:rPr>
              <w:t>内</w:t>
            </w:r>
            <w:r>
              <w:rPr>
                <w:color w:val="000000" w:themeColor="text1"/>
                <w:sz w:val="24"/>
                <w:highlight w:val="none"/>
              </w:rPr>
              <w:t>空地，总占地面积为0.</w:t>
            </w:r>
            <w:r>
              <w:rPr>
                <w:rFonts w:hint="eastAsia"/>
                <w:color w:val="000000" w:themeColor="text1"/>
                <w:sz w:val="24"/>
                <w:highlight w:val="none"/>
              </w:rPr>
              <w:t>1</w:t>
            </w:r>
            <w:r>
              <w:rPr>
                <w:color w:val="000000" w:themeColor="text1"/>
                <w:sz w:val="24"/>
                <w:highlight w:val="none"/>
              </w:rPr>
              <w:t>0hm</w:t>
            </w:r>
            <w:r>
              <w:rPr>
                <w:color w:val="000000" w:themeColor="text1"/>
                <w:sz w:val="24"/>
                <w:highlight w:val="none"/>
                <w:vertAlign w:val="superscript"/>
              </w:rPr>
              <w:t>2</w:t>
            </w:r>
            <w:r>
              <w:rPr>
                <w:color w:val="000000" w:themeColor="text1"/>
                <w:sz w:val="24"/>
                <w:highlight w:val="none"/>
              </w:rPr>
              <w:t>。施工生产区位于风井工业场地占地范围内，不新增临时占地。</w:t>
            </w:r>
          </w:p>
          <w:p w14:paraId="2FBE3A20">
            <w:pPr>
              <w:spacing w:line="360" w:lineRule="auto"/>
              <w:ind w:firstLine="480" w:firstLineChars="200"/>
              <w:rPr>
                <w:color w:val="000000" w:themeColor="text1"/>
                <w:sz w:val="24"/>
                <w:highlight w:val="none"/>
              </w:rPr>
            </w:pPr>
            <w:r>
              <w:rPr>
                <w:rFonts w:hint="eastAsia"/>
                <w:color w:val="000000" w:themeColor="text1"/>
                <w:sz w:val="24"/>
                <w:highlight w:val="none"/>
              </w:rPr>
              <w:t>（</w:t>
            </w:r>
            <w:r>
              <w:rPr>
                <w:color w:val="000000" w:themeColor="text1"/>
                <w:sz w:val="24"/>
                <w:highlight w:val="none"/>
              </w:rPr>
              <w:t>2）建筑材料</w:t>
            </w:r>
          </w:p>
          <w:p w14:paraId="6B41CAE6">
            <w:pPr>
              <w:pStyle w:val="35"/>
              <w:rPr>
                <w:color w:val="000000" w:themeColor="text1"/>
                <w:sz w:val="24"/>
                <w:highlight w:val="none"/>
              </w:rPr>
            </w:pPr>
            <w:r>
              <w:rPr>
                <w:color w:val="000000" w:themeColor="text1"/>
                <w:sz w:val="24"/>
                <w:highlight w:val="none"/>
              </w:rPr>
              <w:t>本项目建设所用钢材、木材、砂、砖、石等建筑材料均由周边地区外购，道路建设所用沥青混凝土来源于采购商品沥青混凝土，不在厂区设置拌合站。</w:t>
            </w:r>
          </w:p>
        </w:tc>
      </w:tr>
      <w:tr w14:paraId="5D84B4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57" w:hRule="atLeast"/>
        </w:trPr>
        <w:tc>
          <w:tcPr>
            <w:tcW w:w="588" w:type="dxa"/>
            <w:vAlign w:val="center"/>
          </w:tcPr>
          <w:p w14:paraId="0FB8849A">
            <w:pPr>
              <w:adjustRightInd w:val="0"/>
              <w:snapToGrid w:val="0"/>
              <w:jc w:val="center"/>
              <w:rPr>
                <w:rFonts w:ascii="宋体" w:hAnsi="宋体" w:cs="宋体"/>
                <w:color w:val="000000" w:themeColor="text1"/>
                <w:kern w:val="0"/>
                <w:szCs w:val="21"/>
                <w:highlight w:val="none"/>
              </w:rPr>
            </w:pPr>
            <w:r>
              <w:rPr>
                <w:rFonts w:hint="eastAsia" w:ascii="宋体" w:hAnsi="宋体" w:cs="宋体"/>
                <w:color w:val="000000" w:themeColor="text1"/>
                <w:kern w:val="0"/>
                <w:sz w:val="24"/>
                <w:highlight w:val="none"/>
              </w:rPr>
              <w:t>施工方案</w:t>
            </w:r>
          </w:p>
        </w:tc>
        <w:tc>
          <w:tcPr>
            <w:tcW w:w="8044" w:type="dxa"/>
            <w:vAlign w:val="center"/>
          </w:tcPr>
          <w:p w14:paraId="5EABA5F4">
            <w:pPr>
              <w:widowControl/>
              <w:spacing w:line="360" w:lineRule="auto"/>
              <w:ind w:firstLine="480" w:firstLineChars="200"/>
              <w:jc w:val="left"/>
              <w:rPr>
                <w:color w:val="000000" w:themeColor="text1"/>
                <w:sz w:val="24"/>
                <w:highlight w:val="none"/>
              </w:rPr>
            </w:pPr>
            <w:r>
              <w:rPr>
                <w:rFonts w:eastAsiaTheme="majorEastAsia"/>
                <w:color w:val="000000" w:themeColor="text1"/>
                <w:sz w:val="24"/>
                <w:highlight w:val="none"/>
              </w:rPr>
              <w:t>一、</w:t>
            </w:r>
            <w:r>
              <w:rPr>
                <w:rFonts w:hint="eastAsia" w:ascii="宋体" w:hAnsi="宋体" w:cs="宋体"/>
                <w:b/>
                <w:bCs/>
                <w:color w:val="000000" w:themeColor="text1"/>
                <w:kern w:val="0"/>
                <w:sz w:val="24"/>
                <w:highlight w:val="none"/>
              </w:rPr>
              <w:t xml:space="preserve">施工时序 </w:t>
            </w:r>
          </w:p>
          <w:p w14:paraId="3938312B">
            <w:pPr>
              <w:widowControl/>
              <w:spacing w:line="360" w:lineRule="auto"/>
              <w:ind w:firstLine="480" w:firstLineChars="200"/>
              <w:jc w:val="left"/>
              <w:rPr>
                <w:color w:val="000000" w:themeColor="text1"/>
                <w:sz w:val="24"/>
                <w:highlight w:val="none"/>
              </w:rPr>
            </w:pPr>
            <w:r>
              <w:rPr>
                <w:rFonts w:hint="eastAsia" w:ascii="宋体" w:hAnsi="宋体" w:cs="宋体"/>
                <w:color w:val="000000" w:themeColor="text1"/>
                <w:kern w:val="0"/>
                <w:sz w:val="24"/>
                <w:highlight w:val="none"/>
              </w:rPr>
              <w:t>工</w:t>
            </w:r>
            <w:r>
              <w:rPr>
                <w:color w:val="000000" w:themeColor="text1"/>
                <w:kern w:val="0"/>
                <w:sz w:val="24"/>
                <w:highlight w:val="none"/>
              </w:rPr>
              <w:t xml:space="preserve">程施工大体分为三个阶段：工程准备期、主体工程施工期、工程完建期。 </w:t>
            </w:r>
          </w:p>
          <w:p w14:paraId="76631B43">
            <w:pPr>
              <w:widowControl/>
              <w:spacing w:line="360" w:lineRule="auto"/>
              <w:ind w:firstLine="480" w:firstLineChars="200"/>
              <w:jc w:val="left"/>
              <w:rPr>
                <w:color w:val="000000" w:themeColor="text1"/>
                <w:sz w:val="24"/>
                <w:highlight w:val="none"/>
              </w:rPr>
            </w:pPr>
            <w:r>
              <w:rPr>
                <w:color w:val="000000" w:themeColor="text1"/>
                <w:kern w:val="0"/>
                <w:sz w:val="24"/>
                <w:highlight w:val="none"/>
              </w:rPr>
              <w:t>工程准备期具体内容为：风井场地内井筒掘进前的准备工作，必要的物资和器材准备，工程的施工组织设计及审查等工作</w:t>
            </w:r>
            <w:r>
              <w:rPr>
                <w:rFonts w:hint="eastAsia"/>
                <w:color w:val="000000" w:themeColor="text1"/>
                <w:kern w:val="0"/>
                <w:sz w:val="24"/>
                <w:highlight w:val="none"/>
              </w:rPr>
              <w:t>等</w:t>
            </w:r>
            <w:r>
              <w:rPr>
                <w:color w:val="000000" w:themeColor="text1"/>
                <w:sz w:val="24"/>
                <w:highlight w:val="none"/>
              </w:rPr>
              <w:t>。</w:t>
            </w:r>
          </w:p>
          <w:p w14:paraId="5CF0F47E">
            <w:pPr>
              <w:widowControl/>
              <w:spacing w:line="360" w:lineRule="auto"/>
              <w:ind w:firstLine="480" w:firstLineChars="200"/>
              <w:jc w:val="left"/>
              <w:rPr>
                <w:color w:val="000000" w:themeColor="text1"/>
                <w:kern w:val="0"/>
                <w:sz w:val="24"/>
                <w:highlight w:val="none"/>
              </w:rPr>
            </w:pPr>
            <w:r>
              <w:rPr>
                <w:color w:val="000000" w:themeColor="text1"/>
                <w:kern w:val="0"/>
                <w:sz w:val="24"/>
                <w:highlight w:val="none"/>
              </w:rPr>
              <w:t>主体工程施工期具体内容为：</w:t>
            </w:r>
            <w:r>
              <w:rPr>
                <w:rFonts w:hint="eastAsia"/>
                <w:color w:val="000000" w:themeColor="text1"/>
                <w:kern w:val="0"/>
                <w:sz w:val="24"/>
                <w:highlight w:val="none"/>
              </w:rPr>
              <w:t>表土剥离、场地平整、</w:t>
            </w:r>
            <w:r>
              <w:rPr>
                <w:bCs/>
                <w:color w:val="000000" w:themeColor="text1"/>
                <w:sz w:val="24"/>
                <w:highlight w:val="none"/>
                <w:lang w:val="zh-CN"/>
              </w:rPr>
              <w:t>井筒施工</w:t>
            </w:r>
            <w:r>
              <w:rPr>
                <w:rFonts w:hint="eastAsia"/>
                <w:bCs/>
                <w:color w:val="000000" w:themeColor="text1"/>
                <w:sz w:val="24"/>
                <w:highlight w:val="none"/>
                <w:lang w:val="zh-CN"/>
              </w:rPr>
              <w:t>、</w:t>
            </w:r>
            <w:r>
              <w:rPr>
                <w:rFonts w:hint="eastAsia" w:cs="Calibri"/>
                <w:snapToGrid w:val="0"/>
                <w:color w:val="000000" w:themeColor="text1"/>
                <w:sz w:val="24"/>
                <w:highlight w:val="none"/>
              </w:rPr>
              <w:t>风井场地</w:t>
            </w:r>
            <w:r>
              <w:rPr>
                <w:rFonts w:hint="eastAsia"/>
                <w:color w:val="000000" w:themeColor="text1"/>
                <w:sz w:val="24"/>
                <w:highlight w:val="none"/>
              </w:rPr>
              <w:t>地面工程</w:t>
            </w:r>
            <w:r>
              <w:rPr>
                <w:rFonts w:hint="eastAsia" w:cs="Calibri"/>
                <w:snapToGrid w:val="0"/>
                <w:color w:val="000000" w:themeColor="text1"/>
                <w:sz w:val="24"/>
                <w:highlight w:val="none"/>
              </w:rPr>
              <w:t>施工等</w:t>
            </w:r>
            <w:r>
              <w:rPr>
                <w:color w:val="000000" w:themeColor="text1"/>
                <w:spacing w:val="-1"/>
                <w:sz w:val="24"/>
                <w:highlight w:val="none"/>
              </w:rPr>
              <w:t>。</w:t>
            </w:r>
          </w:p>
          <w:p w14:paraId="4669C4EF">
            <w:pPr>
              <w:widowControl/>
              <w:spacing w:line="360" w:lineRule="auto"/>
              <w:ind w:firstLine="480" w:firstLineChars="200"/>
              <w:jc w:val="left"/>
              <w:rPr>
                <w:color w:val="000000" w:themeColor="text1"/>
                <w:sz w:val="24"/>
                <w:highlight w:val="none"/>
              </w:rPr>
            </w:pPr>
            <w:r>
              <w:rPr>
                <w:rFonts w:hint="eastAsia"/>
                <w:color w:val="000000" w:themeColor="text1"/>
                <w:sz w:val="24"/>
                <w:highlight w:val="none"/>
              </w:rPr>
              <w:t>工程完建期的具体内容包括场地清理和竣工验收。</w:t>
            </w:r>
          </w:p>
          <w:p w14:paraId="1F0C52E5">
            <w:pPr>
              <w:adjustRightInd w:val="0"/>
              <w:snapToGrid w:val="0"/>
              <w:spacing w:line="360" w:lineRule="auto"/>
              <w:ind w:firstLine="480" w:firstLineChars="200"/>
              <w:rPr>
                <w:rFonts w:eastAsiaTheme="majorEastAsia"/>
                <w:color w:val="000000" w:themeColor="text1"/>
                <w:sz w:val="24"/>
                <w:highlight w:val="none"/>
              </w:rPr>
            </w:pPr>
            <w:r>
              <w:rPr>
                <w:rFonts w:hint="eastAsia" w:eastAsiaTheme="majorEastAsia"/>
                <w:color w:val="000000" w:themeColor="text1"/>
                <w:sz w:val="24"/>
                <w:highlight w:val="none"/>
              </w:rPr>
              <w:t>二、</w:t>
            </w:r>
            <w:r>
              <w:rPr>
                <w:rFonts w:eastAsiaTheme="majorEastAsia"/>
                <w:color w:val="000000" w:themeColor="text1"/>
                <w:sz w:val="24"/>
                <w:highlight w:val="none"/>
              </w:rPr>
              <w:t>施工方案</w:t>
            </w:r>
          </w:p>
          <w:p w14:paraId="484F25F9">
            <w:pPr>
              <w:widowControl/>
              <w:spacing w:line="360" w:lineRule="auto"/>
              <w:ind w:firstLine="480" w:firstLineChars="200"/>
              <w:rPr>
                <w:color w:val="000000" w:themeColor="text1"/>
                <w:sz w:val="24"/>
                <w:highlight w:val="none"/>
                <w:lang w:val="zh-CN"/>
              </w:rPr>
            </w:pPr>
            <w:r>
              <w:rPr>
                <w:rFonts w:hint="eastAsia"/>
                <w:bCs/>
                <w:color w:val="000000" w:themeColor="text1"/>
                <w:sz w:val="24"/>
                <w:highlight w:val="none"/>
                <w:lang w:val="zh-CN"/>
              </w:rPr>
              <w:t>（</w:t>
            </w:r>
            <w:r>
              <w:rPr>
                <w:bCs/>
                <w:color w:val="000000" w:themeColor="text1"/>
                <w:sz w:val="24"/>
                <w:highlight w:val="none"/>
              </w:rPr>
              <w:t>1</w:t>
            </w:r>
            <w:r>
              <w:rPr>
                <w:bCs/>
                <w:color w:val="000000" w:themeColor="text1"/>
                <w:sz w:val="24"/>
                <w:highlight w:val="none"/>
                <w:lang w:val="zh-CN"/>
              </w:rPr>
              <w:t>）</w:t>
            </w:r>
            <w:r>
              <w:rPr>
                <w:color w:val="000000" w:themeColor="text1"/>
                <w:sz w:val="24"/>
                <w:highlight w:val="none"/>
                <w:lang w:val="zh-CN"/>
              </w:rPr>
              <w:t>场地平整</w:t>
            </w:r>
          </w:p>
          <w:p w14:paraId="55835BDB">
            <w:pPr>
              <w:snapToGrid w:val="0"/>
              <w:spacing w:line="360" w:lineRule="auto"/>
              <w:ind w:firstLine="480" w:firstLineChars="200"/>
              <w:rPr>
                <w:color w:val="000000" w:themeColor="text1"/>
                <w:sz w:val="24"/>
                <w:highlight w:val="none"/>
                <w:lang w:val="zh-CN"/>
              </w:rPr>
            </w:pPr>
            <w:r>
              <w:rPr>
                <w:rFonts w:hint="eastAsia"/>
                <w:color w:val="000000" w:themeColor="text1"/>
                <w:sz w:val="24"/>
                <w:highlight w:val="none"/>
              </w:rPr>
              <w:t>在施工前，</w:t>
            </w:r>
            <w:r>
              <w:rPr>
                <w:rFonts w:hint="eastAsia"/>
                <w:color w:val="000000" w:themeColor="text1"/>
                <w:sz w:val="24"/>
                <w:highlight w:val="none"/>
                <w:lang w:val="en-US" w:eastAsia="zh-CN"/>
              </w:rPr>
              <w:t>风井场地占地范围（6000m</w:t>
            </w:r>
            <w:r>
              <w:rPr>
                <w:rFonts w:hint="eastAsia"/>
                <w:color w:val="000000" w:themeColor="text1"/>
                <w:sz w:val="24"/>
                <w:highlight w:val="none"/>
                <w:vertAlign w:val="superscript"/>
                <w:lang w:val="en-US" w:eastAsia="zh-CN"/>
              </w:rPr>
              <w:t>2</w:t>
            </w:r>
            <w:r>
              <w:rPr>
                <w:rFonts w:hint="eastAsia"/>
                <w:color w:val="000000" w:themeColor="text1"/>
                <w:sz w:val="24"/>
                <w:highlight w:val="none"/>
                <w:lang w:val="en-US" w:eastAsia="zh-CN"/>
              </w:rPr>
              <w:t>）</w:t>
            </w:r>
            <w:r>
              <w:rPr>
                <w:rFonts w:hint="eastAsia"/>
                <w:color w:val="000000" w:themeColor="text1"/>
                <w:sz w:val="24"/>
                <w:highlight w:val="none"/>
              </w:rPr>
              <w:t>需要进行表土剥离，剥离深度为0.3m，风井场地剥离的表土将就近集中堆放于场内空地，表土堆存采用密目网苫盖防护，然后将表土回覆于风井场地以及道路绿化工程中。</w:t>
            </w:r>
            <w:r>
              <w:rPr>
                <w:color w:val="000000" w:themeColor="text1"/>
                <w:sz w:val="24"/>
                <w:highlight w:val="none"/>
                <w:lang w:val="zh-CN"/>
              </w:rPr>
              <w:t>风井工业场地地势起伏较大，采用采平坡式进行场地平整</w:t>
            </w:r>
            <w:r>
              <w:rPr>
                <w:rFonts w:hint="eastAsia"/>
                <w:color w:val="000000" w:themeColor="text1"/>
                <w:sz w:val="24"/>
                <w:highlight w:val="none"/>
                <w:lang w:val="zh-CN"/>
              </w:rPr>
              <w:t>，</w:t>
            </w:r>
            <w:r>
              <w:rPr>
                <w:rFonts w:hint="eastAsia"/>
                <w:color w:val="000000" w:themeColor="text1"/>
                <w:sz w:val="24"/>
                <w:highlight w:val="none"/>
              </w:rPr>
              <w:t>场地平整挖方量约1.</w:t>
            </w:r>
            <w:r>
              <w:rPr>
                <w:rFonts w:hint="eastAsia"/>
                <w:color w:val="000000" w:themeColor="text1"/>
                <w:sz w:val="24"/>
                <w:highlight w:val="none"/>
                <w:lang w:val="en-US" w:eastAsia="zh-CN"/>
              </w:rPr>
              <w:t>3</w:t>
            </w:r>
            <w:r>
              <w:rPr>
                <w:rFonts w:hint="eastAsia"/>
                <w:color w:val="000000" w:themeColor="text1"/>
                <w:sz w:val="24"/>
                <w:highlight w:val="none"/>
              </w:rPr>
              <w:t>万m</w:t>
            </w:r>
            <w:r>
              <w:rPr>
                <w:rFonts w:hint="eastAsia"/>
                <w:color w:val="000000" w:themeColor="text1"/>
                <w:sz w:val="24"/>
                <w:highlight w:val="none"/>
                <w:vertAlign w:val="superscript"/>
              </w:rPr>
              <w:t>3</w:t>
            </w:r>
            <w:r>
              <w:rPr>
                <w:color w:val="000000" w:themeColor="text1"/>
                <w:sz w:val="24"/>
                <w:highlight w:val="none"/>
                <w:lang w:val="zh-CN"/>
              </w:rPr>
              <w:t>。</w:t>
            </w:r>
            <w:r>
              <w:rPr>
                <w:rFonts w:hint="eastAsia"/>
                <w:color w:val="000000" w:themeColor="text1"/>
                <w:sz w:val="24"/>
                <w:highlight w:val="none"/>
              </w:rPr>
              <w:t>场地平整包括边开挖边整平，最后夯实地面。</w:t>
            </w:r>
            <w:r>
              <w:rPr>
                <w:color w:val="000000" w:themeColor="text1"/>
                <w:sz w:val="24"/>
                <w:highlight w:val="none"/>
                <w:lang w:val="zh-CN"/>
              </w:rPr>
              <w:t>平整所需填方来自区内平整挖方、建</w:t>
            </w:r>
            <w:r>
              <w:rPr>
                <w:rFonts w:hint="eastAsia"/>
                <w:color w:val="000000" w:themeColor="text1"/>
                <w:sz w:val="24"/>
                <w:highlight w:val="none"/>
                <w:lang w:val="zh-CN"/>
              </w:rPr>
              <w:t>（</w:t>
            </w:r>
            <w:r>
              <w:rPr>
                <w:color w:val="000000" w:themeColor="text1"/>
                <w:sz w:val="24"/>
                <w:highlight w:val="none"/>
                <w:lang w:val="zh-CN"/>
              </w:rPr>
              <w:t>构）筑物地基挖方。施工方式以机械为主，人工配合机械对零星场地或边角区进行平整。表土堆场、材料堆场等</w:t>
            </w:r>
            <w:r>
              <w:rPr>
                <w:rFonts w:hint="eastAsia"/>
                <w:color w:val="000000" w:themeColor="text1"/>
                <w:sz w:val="24"/>
                <w:highlight w:val="none"/>
              </w:rPr>
              <w:t>均位于</w:t>
            </w:r>
            <w:r>
              <w:rPr>
                <w:color w:val="000000" w:themeColor="text1"/>
                <w:sz w:val="24"/>
                <w:highlight w:val="none"/>
                <w:lang w:val="zh-CN"/>
              </w:rPr>
              <w:t>风井场地</w:t>
            </w:r>
            <w:r>
              <w:rPr>
                <w:rFonts w:hint="eastAsia"/>
                <w:color w:val="000000" w:themeColor="text1"/>
                <w:sz w:val="24"/>
                <w:highlight w:val="none"/>
              </w:rPr>
              <w:t>内。</w:t>
            </w:r>
          </w:p>
          <w:p w14:paraId="357599E5">
            <w:pPr>
              <w:snapToGrid w:val="0"/>
              <w:spacing w:line="360" w:lineRule="auto"/>
              <w:ind w:firstLine="480" w:firstLineChars="200"/>
              <w:rPr>
                <w:bCs/>
                <w:color w:val="000000" w:themeColor="text1"/>
                <w:sz w:val="24"/>
                <w:highlight w:val="none"/>
                <w:lang w:val="zh-CN"/>
              </w:rPr>
            </w:pPr>
            <w:r>
              <w:rPr>
                <w:rFonts w:hint="eastAsia" w:ascii="宋体" w:hAnsi="宋体" w:cs="宋体"/>
                <w:bCs/>
                <w:color w:val="000000" w:themeColor="text1"/>
                <w:sz w:val="24"/>
                <w:highlight w:val="none"/>
                <w:lang w:val="zh-CN"/>
              </w:rPr>
              <w:t>（</w:t>
            </w:r>
            <w:r>
              <w:rPr>
                <w:rFonts w:hint="eastAsia"/>
                <w:color w:val="000000" w:themeColor="text1"/>
                <w:sz w:val="24"/>
                <w:highlight w:val="none"/>
              </w:rPr>
              <w:t>2</w:t>
            </w:r>
            <w:r>
              <w:rPr>
                <w:color w:val="000000" w:themeColor="text1"/>
                <w:sz w:val="24"/>
                <w:highlight w:val="none"/>
                <w:lang w:val="zh-CN"/>
              </w:rPr>
              <w:t>）</w:t>
            </w:r>
            <w:r>
              <w:rPr>
                <w:bCs/>
                <w:color w:val="000000" w:themeColor="text1"/>
                <w:sz w:val="24"/>
                <w:highlight w:val="none"/>
                <w:lang w:val="zh-CN"/>
              </w:rPr>
              <w:t>井筒施工工艺</w:t>
            </w:r>
          </w:p>
          <w:p w14:paraId="6563C6D6">
            <w:pPr>
              <w:widowControl/>
              <w:spacing w:line="360" w:lineRule="auto"/>
              <w:ind w:firstLine="480" w:firstLineChars="200"/>
              <w:rPr>
                <w:rFonts w:ascii="宋体" w:hAnsi="宋体" w:cs="宋体"/>
                <w:color w:val="000000" w:themeColor="text1"/>
                <w:sz w:val="24"/>
                <w:highlight w:val="none"/>
              </w:rPr>
            </w:pPr>
            <w:r>
              <w:rPr>
                <w:rFonts w:hint="eastAsia" w:ascii="宋体" w:hAnsi="宋体" w:cs="宋体"/>
                <w:color w:val="000000" w:themeColor="text1"/>
                <w:sz w:val="24"/>
                <w:highlight w:val="none"/>
              </w:rPr>
              <w:t>新建回风立井拟采用</w:t>
            </w:r>
            <w:r>
              <w:rPr>
                <w:color w:val="000000" w:themeColor="text1"/>
                <w:sz w:val="24"/>
                <w:highlight w:val="none"/>
              </w:rPr>
              <w:t>BMC800型反井钻机施工方法。BMC800</w:t>
            </w:r>
            <w:r>
              <w:rPr>
                <w:rFonts w:hint="eastAsia" w:ascii="宋体" w:hAnsi="宋体" w:cs="宋体"/>
                <w:color w:val="000000" w:themeColor="text1"/>
                <w:sz w:val="24"/>
                <w:highlight w:val="none"/>
              </w:rPr>
              <w:t>型反井钻机包括：主机系统、钻具系统、液电控系统、辅助系统、操作系统及泥浆系统和冷却系统等。按照现场实际情况，分别将主机、泵站、操作台、</w:t>
            </w:r>
            <w:r>
              <w:rPr>
                <w:rFonts w:hint="eastAsia" w:ascii="宋体" w:hAnsi="宋体" w:cs="宋体"/>
                <w:color w:val="000000" w:themeColor="text1"/>
                <w:sz w:val="24"/>
                <w:highlight w:val="none"/>
                <w:lang w:eastAsia="zh-CN"/>
              </w:rPr>
              <w:t>启动</w:t>
            </w:r>
            <w:r>
              <w:rPr>
                <w:rFonts w:hint="eastAsia" w:ascii="宋体" w:hAnsi="宋体" w:cs="宋体"/>
                <w:color w:val="000000" w:themeColor="text1"/>
                <w:sz w:val="24"/>
                <w:highlight w:val="none"/>
              </w:rPr>
              <w:t>箱等放在相应位置，反井钻机施工主要分四阶段：</w:t>
            </w:r>
          </w:p>
          <w:p w14:paraId="734694CF">
            <w:pPr>
              <w:pStyle w:val="14"/>
              <w:kinsoku w:val="0"/>
              <w:autoSpaceDE w:val="0"/>
              <w:autoSpaceDN w:val="0"/>
              <w:spacing w:after="0" w:line="360" w:lineRule="auto"/>
              <w:ind w:firstLine="480" w:firstLineChars="200"/>
              <w:textAlignment w:val="baseline"/>
              <w:rPr>
                <w:color w:val="000000" w:themeColor="text1"/>
                <w:sz w:val="24"/>
                <w:highlight w:val="none"/>
              </w:rPr>
            </w:pPr>
            <w:r>
              <w:rPr>
                <w:rFonts w:hint="eastAsia"/>
                <w:color w:val="000000" w:themeColor="text1"/>
                <w:sz w:val="24"/>
                <w:highlight w:val="none"/>
              </w:rPr>
              <w:t>①</w:t>
            </w:r>
            <w:r>
              <w:rPr>
                <w:color w:val="000000" w:themeColor="text1"/>
                <w:sz w:val="24"/>
                <w:highlight w:val="none"/>
              </w:rPr>
              <w:t>反井钻机准备阶段：具备相应风、水、电条件后，将反井钻机安装在预先浇筑好的混凝土基础上，连接好各部分液压系统管路和电缆，进行运转调试。</w:t>
            </w:r>
          </w:p>
          <w:p w14:paraId="5F864F83">
            <w:pPr>
              <w:pStyle w:val="14"/>
              <w:kinsoku w:val="0"/>
              <w:autoSpaceDE w:val="0"/>
              <w:autoSpaceDN w:val="0"/>
              <w:spacing w:after="0" w:line="360" w:lineRule="auto"/>
              <w:ind w:firstLine="480" w:firstLineChars="200"/>
              <w:textAlignment w:val="baseline"/>
              <w:rPr>
                <w:color w:val="000000" w:themeColor="text1"/>
                <w:sz w:val="24"/>
                <w:highlight w:val="none"/>
              </w:rPr>
            </w:pPr>
            <w:r>
              <w:rPr>
                <w:rFonts w:hint="eastAsia"/>
                <w:color w:val="000000" w:themeColor="text1"/>
                <w:sz w:val="24"/>
                <w:highlight w:val="none"/>
              </w:rPr>
              <w:t>②</w:t>
            </w:r>
            <w:r>
              <w:rPr>
                <w:color w:val="000000" w:themeColor="text1"/>
                <w:sz w:val="24"/>
                <w:highlight w:val="none"/>
              </w:rPr>
              <w:t>反井钻机导孔阶段：钻机运转，自上而下钻进导孔。动力头、推进缸产生的扭矩和进给力通过钻杆传递给导孔钻头，形成逐渐加深的导向孔。导向孔直径一般为216～350mm。自钻杆中心而压入的泥浆液，携带破碎的岩渣通过环形空间从井口排出。导孔和下部隧洞贯通后，本阶段结束。</w:t>
            </w:r>
          </w:p>
          <w:p w14:paraId="608AD83B">
            <w:pPr>
              <w:pStyle w:val="14"/>
              <w:kinsoku w:val="0"/>
              <w:autoSpaceDE w:val="0"/>
              <w:autoSpaceDN w:val="0"/>
              <w:spacing w:after="0" w:line="360" w:lineRule="auto"/>
              <w:ind w:firstLine="480" w:firstLineChars="200"/>
              <w:textAlignment w:val="baseline"/>
              <w:rPr>
                <w:color w:val="000000" w:themeColor="text1"/>
                <w:sz w:val="24"/>
                <w:highlight w:val="none"/>
              </w:rPr>
            </w:pPr>
            <w:r>
              <w:rPr>
                <w:rFonts w:hint="eastAsia"/>
                <w:color w:val="000000" w:themeColor="text1"/>
                <w:sz w:val="24"/>
                <w:highlight w:val="none"/>
              </w:rPr>
              <w:t>③</w:t>
            </w:r>
            <w:r>
              <w:rPr>
                <w:color w:val="000000" w:themeColor="text1"/>
                <w:sz w:val="24"/>
                <w:highlight w:val="none"/>
              </w:rPr>
              <w:t>反井钻机扩孔阶段：在下部隧洞拆掉导孔钻头，连接扩孔钻头，开始自下而上的扩孔钻进。扩大后的井筒直径一般为1～6.5m。扩孔钻进时破碎下来的岩屑靠自重落到下水平，由装载机或带式输送机运出。</w:t>
            </w:r>
          </w:p>
          <w:p w14:paraId="0E419098">
            <w:pPr>
              <w:snapToGrid w:val="0"/>
              <w:spacing w:line="360" w:lineRule="auto"/>
              <w:ind w:firstLine="480" w:firstLineChars="200"/>
              <w:rPr>
                <w:rFonts w:ascii="宋体" w:hAnsi="宋体" w:cs="宋体"/>
                <w:color w:val="000000" w:themeColor="text1"/>
                <w:sz w:val="24"/>
                <w:highlight w:val="none"/>
              </w:rPr>
            </w:pPr>
            <w:r>
              <w:rPr>
                <w:rFonts w:hint="eastAsia"/>
                <w:color w:val="000000" w:themeColor="text1"/>
                <w:sz w:val="24"/>
                <w:highlight w:val="none"/>
              </w:rPr>
              <w:t>④</w:t>
            </w:r>
            <w:r>
              <w:rPr>
                <w:color w:val="000000" w:themeColor="text1"/>
                <w:sz w:val="24"/>
                <w:highlight w:val="none"/>
              </w:rPr>
              <w:t>反井钻机收尾阶段：全</w:t>
            </w:r>
            <w:r>
              <w:rPr>
                <w:rFonts w:hint="eastAsia" w:ascii="宋体" w:hAnsi="宋体" w:cs="宋体"/>
                <w:color w:val="000000" w:themeColor="text1"/>
                <w:sz w:val="24"/>
                <w:highlight w:val="none"/>
              </w:rPr>
              <w:t>部扩透后，经过钻头拉固、主机放倒、整体吊离、井口防护等工作后结束施工。</w:t>
            </w:r>
          </w:p>
          <w:p w14:paraId="6E29E5D0">
            <w:pPr>
              <w:snapToGrid w:val="0"/>
              <w:spacing w:line="360" w:lineRule="auto"/>
              <w:ind w:firstLine="480" w:firstLineChars="200"/>
              <w:rPr>
                <w:color w:val="000000" w:themeColor="text1"/>
                <w:sz w:val="24"/>
                <w:highlight w:val="none"/>
              </w:rPr>
            </w:pPr>
            <w:r>
              <w:rPr>
                <w:rFonts w:hint="eastAsia" w:ascii="宋体" w:hAnsi="宋体" w:cs="宋体"/>
                <w:color w:val="000000" w:themeColor="text1"/>
                <w:sz w:val="24"/>
                <w:highlight w:val="none"/>
              </w:rPr>
              <w:t>⑤井筒掘</w:t>
            </w:r>
            <w:r>
              <w:rPr>
                <w:color w:val="000000" w:themeColor="text1"/>
                <w:sz w:val="24"/>
                <w:highlight w:val="none"/>
              </w:rPr>
              <w:t>进斜长109.2m，垂直深度97m，</w:t>
            </w:r>
            <w:r>
              <w:rPr>
                <w:bCs/>
                <w:color w:val="000000" w:themeColor="text1"/>
                <w:kern w:val="0"/>
                <w:sz w:val="24"/>
                <w:highlight w:val="none"/>
              </w:rPr>
              <w:t>井筒净宽3.5m，倾角25°，井筒施工时长约</w:t>
            </w:r>
            <w:r>
              <w:rPr>
                <w:rFonts w:hint="eastAsia"/>
                <w:bCs/>
                <w:color w:val="000000" w:themeColor="text1"/>
                <w:kern w:val="0"/>
                <w:sz w:val="24"/>
                <w:highlight w:val="none"/>
              </w:rPr>
              <w:t>3个月。</w:t>
            </w:r>
          </w:p>
          <w:p w14:paraId="7BD20C64">
            <w:pPr>
              <w:widowControl/>
              <w:spacing w:line="360" w:lineRule="auto"/>
              <w:ind w:firstLine="480" w:firstLineChars="200"/>
              <w:rPr>
                <w:color w:val="000000" w:themeColor="text1"/>
                <w:sz w:val="24"/>
                <w:highlight w:val="none"/>
                <w:lang w:val="zh-CN"/>
              </w:rPr>
            </w:pPr>
            <w:r>
              <w:rPr>
                <w:rFonts w:hint="eastAsia"/>
                <w:color w:val="000000" w:themeColor="text1"/>
                <w:sz w:val="24"/>
                <w:highlight w:val="none"/>
                <w:lang w:val="zh-CN"/>
              </w:rPr>
              <w:t>（</w:t>
            </w:r>
            <w:r>
              <w:rPr>
                <w:rFonts w:hint="eastAsia"/>
                <w:color w:val="000000" w:themeColor="text1"/>
                <w:sz w:val="24"/>
                <w:highlight w:val="none"/>
              </w:rPr>
              <w:t>4</w:t>
            </w:r>
            <w:r>
              <w:rPr>
                <w:color w:val="000000" w:themeColor="text1"/>
                <w:sz w:val="24"/>
                <w:highlight w:val="none"/>
                <w:lang w:val="zh-CN"/>
              </w:rPr>
              <w:t>）</w:t>
            </w:r>
            <w:r>
              <w:rPr>
                <w:rFonts w:hint="eastAsia"/>
                <w:color w:val="000000" w:themeColor="text1"/>
                <w:sz w:val="24"/>
                <w:highlight w:val="none"/>
                <w:lang w:val="zh-CN"/>
              </w:rPr>
              <w:t>场内</w:t>
            </w:r>
            <w:r>
              <w:rPr>
                <w:color w:val="000000" w:themeColor="text1"/>
                <w:sz w:val="24"/>
                <w:highlight w:val="none"/>
                <w:lang w:val="zh-CN"/>
              </w:rPr>
              <w:t>道路</w:t>
            </w:r>
            <w:r>
              <w:rPr>
                <w:rFonts w:hint="eastAsia"/>
                <w:color w:val="000000" w:themeColor="text1"/>
                <w:sz w:val="24"/>
                <w:highlight w:val="none"/>
                <w:lang w:val="zh-CN"/>
              </w:rPr>
              <w:t>以及硬化的</w:t>
            </w:r>
            <w:r>
              <w:rPr>
                <w:color w:val="000000" w:themeColor="text1"/>
                <w:sz w:val="24"/>
                <w:highlight w:val="none"/>
                <w:lang w:val="zh-CN"/>
              </w:rPr>
              <w:t>施工</w:t>
            </w:r>
          </w:p>
          <w:p w14:paraId="6C33E33D">
            <w:pPr>
              <w:pStyle w:val="9"/>
              <w:spacing w:after="0" w:line="360" w:lineRule="auto"/>
              <w:ind w:left="0" w:leftChars="0" w:firstLine="480" w:firstLineChars="200"/>
              <w:rPr>
                <w:color w:val="000000" w:themeColor="text1"/>
                <w:sz w:val="24"/>
                <w:highlight w:val="none"/>
              </w:rPr>
            </w:pPr>
            <w:r>
              <w:rPr>
                <w:snapToGrid w:val="0"/>
                <w:color w:val="000000" w:themeColor="text1"/>
                <w:sz w:val="24"/>
                <w:highlight w:val="none"/>
              </w:rPr>
              <w:t>路面宽度为4.0m，长度为</w:t>
            </w:r>
            <w:r>
              <w:rPr>
                <w:rFonts w:hint="eastAsia"/>
                <w:snapToGrid w:val="0"/>
                <w:color w:val="000000" w:themeColor="text1"/>
                <w:sz w:val="24"/>
                <w:highlight w:val="none"/>
              </w:rPr>
              <w:t>20</w:t>
            </w:r>
            <w:r>
              <w:rPr>
                <w:snapToGrid w:val="0"/>
                <w:color w:val="000000" w:themeColor="text1"/>
                <w:sz w:val="24"/>
                <w:highlight w:val="none"/>
              </w:rPr>
              <w:t>0m</w:t>
            </w:r>
            <w:r>
              <w:rPr>
                <w:rFonts w:hint="eastAsia"/>
                <w:snapToGrid w:val="0"/>
                <w:color w:val="000000" w:themeColor="text1"/>
                <w:sz w:val="24"/>
                <w:highlight w:val="none"/>
                <w:lang w:eastAsia="zh-CN"/>
              </w:rPr>
              <w:t>，</w:t>
            </w:r>
            <w:r>
              <w:rPr>
                <w:rFonts w:hint="eastAsia"/>
                <w:snapToGrid w:val="0"/>
                <w:color w:val="000000" w:themeColor="text1"/>
                <w:sz w:val="24"/>
                <w:highlight w:val="none"/>
                <w:lang w:val="en-US" w:eastAsia="zh-CN"/>
              </w:rPr>
              <w:t>总面积800m</w:t>
            </w:r>
            <w:r>
              <w:rPr>
                <w:rFonts w:hint="eastAsia"/>
                <w:snapToGrid w:val="0"/>
                <w:color w:val="000000" w:themeColor="text1"/>
                <w:sz w:val="24"/>
                <w:highlight w:val="none"/>
                <w:vertAlign w:val="superscript"/>
                <w:lang w:val="en-US" w:eastAsia="zh-CN"/>
              </w:rPr>
              <w:t>2</w:t>
            </w:r>
            <w:r>
              <w:rPr>
                <w:snapToGrid w:val="0"/>
                <w:color w:val="000000" w:themeColor="text1"/>
                <w:sz w:val="24"/>
                <w:highlight w:val="none"/>
              </w:rPr>
              <w:t>。路面为20cm厚30号水泥混凝土路面板，基层为15cm厚5%水泥稳定碎石，垫层为15cm厚天然砂砾。路基施工时，先对地面进行压实，然后铺筑路基、路面，最后全部实施硬化。</w:t>
            </w:r>
            <w:r>
              <w:rPr>
                <w:snapToGrid w:val="0"/>
                <w:color w:val="000000" w:themeColor="text1"/>
                <w:sz w:val="24"/>
                <w:highlight w:val="none"/>
                <w:lang w:val="zh-CN"/>
              </w:rPr>
              <w:t>风井工业</w:t>
            </w:r>
            <w:r>
              <w:rPr>
                <w:color w:val="000000" w:themeColor="text1"/>
                <w:sz w:val="24"/>
                <w:highlight w:val="none"/>
                <w:lang w:val="zh-CN"/>
              </w:rPr>
              <w:t>场地各建构物间部分空地区要采取硬化措施</w:t>
            </w:r>
            <w:r>
              <w:rPr>
                <w:rFonts w:hint="eastAsia"/>
                <w:color w:val="000000" w:themeColor="text1"/>
                <w:sz w:val="24"/>
                <w:highlight w:val="none"/>
                <w:lang w:val="zh-CN"/>
              </w:rPr>
              <w:t>，</w:t>
            </w:r>
            <w:r>
              <w:rPr>
                <w:rFonts w:hint="eastAsia"/>
                <w:color w:val="000000" w:themeColor="text1"/>
                <w:sz w:val="24"/>
                <w:highlight w:val="none"/>
                <w:lang w:val="en-US" w:eastAsia="zh-CN"/>
              </w:rPr>
              <w:t>总硬化面积约1800m</w:t>
            </w:r>
            <w:r>
              <w:rPr>
                <w:rFonts w:hint="eastAsia"/>
                <w:color w:val="000000" w:themeColor="text1"/>
                <w:sz w:val="24"/>
                <w:highlight w:val="none"/>
                <w:vertAlign w:val="superscript"/>
                <w:lang w:val="en-US" w:eastAsia="zh-CN"/>
              </w:rPr>
              <w:t>2</w:t>
            </w:r>
            <w:r>
              <w:rPr>
                <w:color w:val="000000" w:themeColor="text1"/>
                <w:sz w:val="24"/>
                <w:highlight w:val="none"/>
                <w:lang w:val="zh-CN"/>
              </w:rPr>
              <w:t>，首先铺设20cm厚的砂砾垫层，初步平整，再采用砼硬化，混凝土采用机械搅拌，自卸小汽车运输。</w:t>
            </w:r>
          </w:p>
          <w:p w14:paraId="38261152">
            <w:pPr>
              <w:pStyle w:val="3"/>
              <w:spacing w:before="0" w:after="0" w:line="360" w:lineRule="auto"/>
              <w:ind w:firstLine="482" w:firstLineChars="200"/>
              <w:rPr>
                <w:rFonts w:ascii="Times New Roman" w:hAnsi="Times New Roman" w:eastAsia="宋体"/>
                <w:color w:val="000000" w:themeColor="text1"/>
                <w:sz w:val="24"/>
                <w:szCs w:val="24"/>
                <w:highlight w:val="none"/>
              </w:rPr>
            </w:pPr>
            <w:bookmarkStart w:id="9" w:name="_Toc386963632"/>
            <w:bookmarkStart w:id="10" w:name="_Toc98973285"/>
            <w:bookmarkStart w:id="11" w:name="_Toc222454891"/>
            <w:r>
              <w:rPr>
                <w:rFonts w:hint="eastAsia" w:ascii="Times New Roman" w:hAnsi="Times New Roman" w:eastAsia="宋体"/>
                <w:color w:val="000000" w:themeColor="text1"/>
                <w:sz w:val="24"/>
                <w:szCs w:val="24"/>
                <w:highlight w:val="none"/>
              </w:rPr>
              <w:t>三、</w:t>
            </w:r>
            <w:r>
              <w:rPr>
                <w:rFonts w:ascii="Times New Roman" w:hAnsi="Times New Roman" w:eastAsia="宋体"/>
                <w:color w:val="000000" w:themeColor="text1"/>
                <w:sz w:val="24"/>
                <w:szCs w:val="24"/>
                <w:highlight w:val="none"/>
              </w:rPr>
              <w:t>施工进度</w:t>
            </w:r>
            <w:bookmarkEnd w:id="9"/>
            <w:bookmarkEnd w:id="10"/>
            <w:bookmarkEnd w:id="11"/>
          </w:p>
          <w:p w14:paraId="252D1369">
            <w:pPr>
              <w:pStyle w:val="35"/>
              <w:rPr>
                <w:color w:val="000000" w:themeColor="text1"/>
                <w:sz w:val="24"/>
                <w:highlight w:val="none"/>
              </w:rPr>
            </w:pPr>
            <w:r>
              <w:rPr>
                <w:color w:val="000000" w:themeColor="text1"/>
                <w:sz w:val="24"/>
                <w:highlight w:val="none"/>
              </w:rPr>
              <w:t>根据工程实际情况及施工进度安排，</w:t>
            </w:r>
            <w:r>
              <w:rPr>
                <w:rFonts w:hint="eastAsia"/>
                <w:color w:val="000000" w:themeColor="text1"/>
                <w:sz w:val="24"/>
                <w:highlight w:val="none"/>
              </w:rPr>
              <w:t>本项目施工期为3个月</w:t>
            </w:r>
            <w:r>
              <w:rPr>
                <w:color w:val="000000" w:themeColor="text1"/>
                <w:sz w:val="24"/>
                <w:highlight w:val="none"/>
              </w:rPr>
              <w:t>。</w:t>
            </w:r>
          </w:p>
          <w:p w14:paraId="1CBA77FC">
            <w:pPr>
              <w:widowControl/>
              <w:spacing w:line="360" w:lineRule="auto"/>
              <w:ind w:firstLine="482" w:firstLineChars="200"/>
              <w:jc w:val="left"/>
              <w:rPr>
                <w:color w:val="000000" w:themeColor="text1"/>
                <w:highlight w:val="none"/>
              </w:rPr>
            </w:pPr>
            <w:r>
              <w:rPr>
                <w:rFonts w:hint="eastAsia" w:ascii="宋体" w:hAnsi="宋体" w:cs="宋体"/>
                <w:b/>
                <w:bCs/>
                <w:color w:val="000000" w:themeColor="text1"/>
                <w:kern w:val="0"/>
                <w:sz w:val="24"/>
                <w:highlight w:val="none"/>
              </w:rPr>
              <w:t>四、工艺流程简述</w:t>
            </w:r>
          </w:p>
          <w:p w14:paraId="0E146531">
            <w:pPr>
              <w:widowControl/>
              <w:adjustRightInd w:val="0"/>
              <w:snapToGrid w:val="0"/>
              <w:spacing w:line="360" w:lineRule="auto"/>
              <w:ind w:firstLine="482" w:firstLineChars="200"/>
              <w:jc w:val="left"/>
              <w:rPr>
                <w:rFonts w:ascii="宋体" w:hAnsi="宋体" w:cs="宋体"/>
                <w:b/>
                <w:bCs/>
                <w:color w:val="000000" w:themeColor="text1"/>
                <w:kern w:val="0"/>
                <w:sz w:val="24"/>
                <w:highlight w:val="none"/>
              </w:rPr>
            </w:pPr>
            <w:r>
              <w:rPr>
                <w:b/>
                <w:bCs/>
                <w:color w:val="000000" w:themeColor="text1"/>
                <w:kern w:val="0"/>
                <w:sz w:val="24"/>
                <w:highlight w:val="none"/>
              </w:rPr>
              <w:t>1.</w:t>
            </w:r>
            <w:r>
              <w:rPr>
                <w:rFonts w:hint="eastAsia" w:ascii="宋体" w:hAnsi="宋体" w:cs="宋体"/>
                <w:b/>
                <w:bCs/>
                <w:color w:val="000000" w:themeColor="text1"/>
                <w:kern w:val="0"/>
                <w:sz w:val="24"/>
                <w:highlight w:val="none"/>
              </w:rPr>
              <w:t>施工工艺流程及产污节点</w:t>
            </w:r>
          </w:p>
          <w:p w14:paraId="27B71A78">
            <w:pPr>
              <w:widowControl/>
              <w:adjustRightInd w:val="0"/>
              <w:snapToGrid w:val="0"/>
              <w:spacing w:line="360" w:lineRule="auto"/>
              <w:ind w:firstLine="480" w:firstLineChars="200"/>
              <w:jc w:val="left"/>
              <w:rPr>
                <w:color w:val="000000" w:themeColor="text1"/>
                <w:kern w:val="0"/>
                <w:sz w:val="24"/>
                <w:highlight w:val="none"/>
              </w:rPr>
            </w:pPr>
            <w:r>
              <w:rPr>
                <w:color w:val="000000" w:themeColor="text1"/>
                <w:kern w:val="0"/>
                <w:sz w:val="24"/>
                <w:highlight w:val="none"/>
              </w:rPr>
              <w:t>施工工艺流程及产污环节见图</w:t>
            </w:r>
            <w:r>
              <w:rPr>
                <w:rFonts w:hint="eastAsia"/>
                <w:color w:val="000000" w:themeColor="text1"/>
                <w:kern w:val="0"/>
                <w:sz w:val="24"/>
                <w:highlight w:val="none"/>
              </w:rPr>
              <w:t>2-</w:t>
            </w:r>
            <w:r>
              <w:rPr>
                <w:color w:val="000000" w:themeColor="text1"/>
                <w:kern w:val="0"/>
                <w:sz w:val="24"/>
                <w:highlight w:val="none"/>
              </w:rPr>
              <w:t>1。</w:t>
            </w:r>
          </w:p>
          <w:p w14:paraId="2F4D5B09">
            <w:pPr>
              <w:widowControl/>
              <w:jc w:val="left"/>
              <w:rPr>
                <w:rFonts w:ascii="宋体" w:hAnsi="宋体" w:cs="宋体"/>
                <w:b/>
                <w:bCs/>
                <w:color w:val="000000" w:themeColor="text1"/>
                <w:kern w:val="0"/>
                <w:sz w:val="24"/>
                <w:highlight w:val="none"/>
              </w:rPr>
            </w:pPr>
            <w:r>
              <w:rPr>
                <w:color w:val="000000" w:themeColor="text1"/>
                <w:highlight w:val="none"/>
              </w:rPr>
              <w:drawing>
                <wp:inline distT="0" distB="0" distL="114300" distR="114300">
                  <wp:extent cx="4914265" cy="1268095"/>
                  <wp:effectExtent l="0" t="0" r="0" b="0"/>
                  <wp:docPr id="3" name="ECB019B1-382A-4266-B25C-5B523AA43C14-1" descr="C:/Users/li/AppData/Local/Temp/wps.FbTkBl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B019B1-382A-4266-B25C-5B523AA43C14-1" descr="C:/Users/li/AppData/Local/Temp/wps.FbTkBlwps"/>
                          <pic:cNvPicPr>
                            <a:picLocks noChangeAspect="1"/>
                          </pic:cNvPicPr>
                        </pic:nvPicPr>
                        <pic:blipFill>
                          <a:blip r:embed="rId11" cstate="print"/>
                          <a:stretch>
                            <a:fillRect/>
                          </a:stretch>
                        </pic:blipFill>
                        <pic:spPr>
                          <a:xfrm>
                            <a:off x="0" y="0"/>
                            <a:ext cx="4914265" cy="1268095"/>
                          </a:xfrm>
                          <a:prstGeom prst="rect">
                            <a:avLst/>
                          </a:prstGeom>
                        </pic:spPr>
                      </pic:pic>
                    </a:graphicData>
                  </a:graphic>
                </wp:inline>
              </w:drawing>
            </w:r>
          </w:p>
          <w:p w14:paraId="0149A408">
            <w:pPr>
              <w:pStyle w:val="9"/>
              <w:ind w:left="0" w:leftChars="0" w:firstLine="0"/>
              <w:jc w:val="center"/>
              <w:rPr>
                <w:color w:val="000000" w:themeColor="text1"/>
                <w:highlight w:val="none"/>
              </w:rPr>
            </w:pPr>
            <w:r>
              <w:rPr>
                <w:b/>
                <w:bCs/>
                <w:color w:val="000000" w:themeColor="text1"/>
                <w:kern w:val="0"/>
                <w:sz w:val="24"/>
                <w:highlight w:val="none"/>
              </w:rPr>
              <w:t>图</w:t>
            </w:r>
            <w:r>
              <w:rPr>
                <w:rFonts w:hint="eastAsia"/>
                <w:b/>
                <w:bCs/>
                <w:color w:val="000000" w:themeColor="text1"/>
                <w:kern w:val="0"/>
                <w:sz w:val="24"/>
                <w:highlight w:val="none"/>
              </w:rPr>
              <w:t>2-</w:t>
            </w:r>
            <w:r>
              <w:rPr>
                <w:b/>
                <w:bCs/>
                <w:color w:val="000000" w:themeColor="text1"/>
                <w:kern w:val="0"/>
                <w:sz w:val="24"/>
                <w:highlight w:val="none"/>
              </w:rPr>
              <w:t>1</w:t>
            </w:r>
            <w:r>
              <w:rPr>
                <w:rFonts w:hint="eastAsia"/>
                <w:b/>
                <w:bCs/>
                <w:color w:val="000000" w:themeColor="text1"/>
                <w:kern w:val="0"/>
                <w:sz w:val="24"/>
                <w:highlight w:val="none"/>
              </w:rPr>
              <w:t xml:space="preserve"> </w:t>
            </w:r>
            <w:r>
              <w:rPr>
                <w:b/>
                <w:bCs/>
                <w:color w:val="000000" w:themeColor="text1"/>
                <w:kern w:val="0"/>
                <w:sz w:val="24"/>
                <w:highlight w:val="none"/>
              </w:rPr>
              <w:t xml:space="preserve"> 施工工艺流程及产污环节图</w:t>
            </w:r>
          </w:p>
          <w:p w14:paraId="5F89BE02">
            <w:pPr>
              <w:pStyle w:val="35"/>
              <w:ind w:firstLine="482"/>
              <w:rPr>
                <w:rFonts w:ascii="宋体" w:hAnsi="宋体" w:cs="宋体"/>
                <w:b/>
                <w:bCs/>
                <w:color w:val="000000" w:themeColor="text1"/>
                <w:kern w:val="0"/>
                <w:sz w:val="24"/>
                <w:highlight w:val="none"/>
              </w:rPr>
            </w:pPr>
            <w:r>
              <w:rPr>
                <w:b/>
                <w:bCs/>
                <w:color w:val="000000" w:themeColor="text1"/>
                <w:kern w:val="0"/>
                <w:sz w:val="24"/>
                <w:highlight w:val="none"/>
              </w:rPr>
              <w:t>2.</w:t>
            </w:r>
            <w:r>
              <w:rPr>
                <w:rFonts w:hint="eastAsia" w:ascii="宋体" w:hAnsi="宋体" w:cs="宋体"/>
                <w:b/>
                <w:bCs/>
                <w:color w:val="000000" w:themeColor="text1"/>
                <w:kern w:val="0"/>
                <w:sz w:val="24"/>
                <w:highlight w:val="none"/>
              </w:rPr>
              <w:t>运营期工艺简述</w:t>
            </w:r>
          </w:p>
          <w:p w14:paraId="6F658A7D">
            <w:pPr>
              <w:pStyle w:val="35"/>
              <w:ind w:firstLine="482"/>
              <w:rPr>
                <w:b/>
                <w:bCs/>
                <w:color w:val="000000" w:themeColor="text1"/>
                <w:sz w:val="24"/>
                <w:highlight w:val="none"/>
              </w:rPr>
            </w:pPr>
            <w:r>
              <w:rPr>
                <w:rFonts w:hint="eastAsia"/>
                <w:b/>
                <w:bCs/>
                <w:color w:val="000000" w:themeColor="text1"/>
                <w:sz w:val="24"/>
                <w:highlight w:val="none"/>
              </w:rPr>
              <w:t>运营期煤矿通风线路（方案）</w:t>
            </w:r>
          </w:p>
          <w:p w14:paraId="72EFC306">
            <w:pPr>
              <w:pStyle w:val="35"/>
              <w:rPr>
                <w:color w:val="000000" w:themeColor="text1"/>
                <w:sz w:val="24"/>
                <w:highlight w:val="none"/>
              </w:rPr>
            </w:pPr>
            <w:r>
              <w:rPr>
                <w:rFonts w:hint="eastAsia"/>
                <w:color w:val="000000" w:themeColor="text1"/>
                <w:sz w:val="24"/>
                <w:highlight w:val="none"/>
              </w:rPr>
              <w:t>本项目建成后，担任6-1</w:t>
            </w:r>
            <w:r>
              <w:rPr>
                <w:color w:val="000000" w:themeColor="text1"/>
                <w:sz w:val="24"/>
                <w:highlight w:val="none"/>
              </w:rPr>
              <w:t>煤二、</w:t>
            </w:r>
            <w:r>
              <w:rPr>
                <w:rFonts w:hint="eastAsia" w:ascii="宋体" w:hAnsi="宋体" w:cs="宋体"/>
                <w:color w:val="000000" w:themeColor="text1"/>
                <w:sz w:val="24"/>
                <w:highlight w:val="none"/>
              </w:rPr>
              <w:t>三盘区回风任务，根据开拓布置及采掘接替，</w:t>
            </w:r>
            <w:r>
              <w:rPr>
                <w:color w:val="000000" w:themeColor="text1"/>
                <w:sz w:val="24"/>
                <w:highlight w:val="none"/>
              </w:rPr>
              <w:t>6-1煤</w:t>
            </w:r>
            <w:r>
              <w:rPr>
                <w:rFonts w:hint="eastAsia" w:ascii="宋体" w:hAnsi="宋体" w:cs="宋体"/>
                <w:color w:val="000000" w:themeColor="text1"/>
                <w:sz w:val="24"/>
                <w:highlight w:val="none"/>
              </w:rPr>
              <w:t>层开采时：</w:t>
            </w:r>
          </w:p>
          <w:p w14:paraId="6D9375A6">
            <w:pPr>
              <w:adjustRightInd w:val="0"/>
              <w:snapToGrid w:val="0"/>
              <w:spacing w:line="360" w:lineRule="auto"/>
              <w:ind w:firstLine="480" w:firstLineChars="200"/>
              <w:rPr>
                <w:bCs/>
                <w:color w:val="000000" w:themeColor="text1"/>
                <w:sz w:val="24"/>
                <w:highlight w:val="none"/>
              </w:rPr>
            </w:pPr>
            <w:r>
              <w:rPr>
                <w:rFonts w:hint="eastAsia"/>
                <w:bCs/>
                <w:color w:val="000000" w:themeColor="text1"/>
                <w:sz w:val="24"/>
                <w:highlight w:val="none"/>
              </w:rPr>
              <w:t>（1）</w:t>
            </w:r>
            <w:r>
              <w:rPr>
                <w:bCs/>
                <w:color w:val="000000" w:themeColor="text1"/>
                <w:sz w:val="24"/>
                <w:highlight w:val="none"/>
              </w:rPr>
              <w:t>回风立井通风容易时期通风系统为一盘区26202工作面回采时，其通风线路为：</w:t>
            </w:r>
          </w:p>
          <w:p w14:paraId="546C90DD">
            <w:pPr>
              <w:adjustRightInd w:val="0"/>
              <w:snapToGrid w:val="0"/>
              <w:spacing w:line="360" w:lineRule="auto"/>
              <w:ind w:firstLine="480" w:firstLineChars="200"/>
              <w:rPr>
                <w:bCs/>
                <w:color w:val="000000" w:themeColor="text1"/>
                <w:sz w:val="24"/>
                <w:highlight w:val="none"/>
              </w:rPr>
            </w:pPr>
            <w:r>
              <w:rPr>
                <w:bCs/>
                <w:color w:val="000000" w:themeColor="text1"/>
                <w:sz w:val="24"/>
                <w:highlight w:val="none"/>
              </w:rPr>
              <w:t>主斜井、一副井、二副井入风，经井底车场→</w:t>
            </w:r>
            <w:r>
              <w:rPr>
                <w:color w:val="000000" w:themeColor="text1"/>
                <w:sz w:val="24"/>
                <w:highlight w:val="none"/>
                <w:lang w:val="zh-CN"/>
              </w:rPr>
              <w:t>一水平</w:t>
            </w:r>
            <w:r>
              <w:rPr>
                <w:bCs/>
                <w:color w:val="000000" w:themeColor="text1"/>
                <w:sz w:val="24"/>
                <w:highlight w:val="none"/>
              </w:rPr>
              <w:t>辅运大巷→5-1煤辅运暗斜井→5-1煤辅运大巷→6-1煤辅运斜巷→6-1煤二盘区辅运大巷→26202运输顺槽→26202综采工作面→26202辅运顺槽→6-1煤二盘区回风大巷→6-1煤二盘区集中回风巷→回风立井。</w:t>
            </w:r>
          </w:p>
          <w:p w14:paraId="791C7C0E">
            <w:pPr>
              <w:adjustRightInd w:val="0"/>
              <w:snapToGrid w:val="0"/>
              <w:spacing w:line="360" w:lineRule="auto"/>
              <w:ind w:firstLine="480" w:firstLineChars="200"/>
              <w:rPr>
                <w:bCs/>
                <w:color w:val="000000" w:themeColor="text1"/>
                <w:sz w:val="24"/>
                <w:highlight w:val="none"/>
              </w:rPr>
            </w:pPr>
            <w:r>
              <w:rPr>
                <w:rFonts w:hint="eastAsia"/>
                <w:bCs/>
                <w:color w:val="000000" w:themeColor="text1"/>
                <w:sz w:val="24"/>
                <w:highlight w:val="none"/>
              </w:rPr>
              <w:t>（2）</w:t>
            </w:r>
            <w:r>
              <w:rPr>
                <w:bCs/>
                <w:color w:val="000000" w:themeColor="text1"/>
                <w:sz w:val="24"/>
                <w:highlight w:val="none"/>
              </w:rPr>
              <w:t>回风立井通风困难时期通风系统为一盘区26306工作面回采时，其通风线路为：</w:t>
            </w:r>
          </w:p>
          <w:p w14:paraId="6B1D5432">
            <w:pPr>
              <w:adjustRightInd w:val="0"/>
              <w:snapToGrid w:val="0"/>
              <w:spacing w:line="360" w:lineRule="auto"/>
              <w:ind w:firstLine="480" w:firstLineChars="200"/>
              <w:rPr>
                <w:bCs/>
                <w:color w:val="000000" w:themeColor="text1"/>
                <w:sz w:val="24"/>
                <w:highlight w:val="none"/>
              </w:rPr>
            </w:pPr>
            <w:r>
              <w:rPr>
                <w:bCs/>
                <w:color w:val="000000" w:themeColor="text1"/>
                <w:sz w:val="24"/>
                <w:highlight w:val="none"/>
              </w:rPr>
              <w:t>主斜井、一副井、二副井入风，经井底车场→</w:t>
            </w:r>
            <w:r>
              <w:rPr>
                <w:color w:val="000000" w:themeColor="text1"/>
                <w:sz w:val="24"/>
                <w:highlight w:val="none"/>
                <w:lang w:val="zh-CN"/>
              </w:rPr>
              <w:t>一水平</w:t>
            </w:r>
            <w:r>
              <w:rPr>
                <w:bCs/>
                <w:color w:val="000000" w:themeColor="text1"/>
                <w:sz w:val="24"/>
                <w:highlight w:val="none"/>
              </w:rPr>
              <w:t>辅运大巷→5-1煤辅运暗斜井→5-1煤辅运大巷→5-1煤三盘区辅运斜巷→6-1煤三盘区辅运斜巷→6-1煤三盘区辅运大巷→26306运输顺槽→26306综采工作面→26306辅运顺槽→6-1煤三盘区回风大巷→6-1煤三盘区回风斜巷→5-1煤三盘区回风斜巷→6-1煤三盘区集中回风巷→回风立井。</w:t>
            </w:r>
          </w:p>
          <w:p w14:paraId="1387DFF2">
            <w:pPr>
              <w:adjustRightInd w:val="0"/>
              <w:snapToGrid w:val="0"/>
              <w:spacing w:line="360" w:lineRule="auto"/>
              <w:ind w:firstLine="480" w:firstLineChars="200"/>
              <w:rPr>
                <w:bCs/>
                <w:color w:val="000000" w:themeColor="text1"/>
                <w:sz w:val="24"/>
                <w:highlight w:val="none"/>
              </w:rPr>
            </w:pPr>
            <w:r>
              <w:rPr>
                <w:rFonts w:hint="eastAsia"/>
                <w:bCs/>
                <w:color w:val="000000" w:themeColor="text1"/>
                <w:sz w:val="24"/>
                <w:highlight w:val="none"/>
              </w:rPr>
              <w:t>（3）</w:t>
            </w:r>
            <w:r>
              <w:rPr>
                <w:color w:val="000000" w:themeColor="text1"/>
                <w:sz w:val="24"/>
                <w:highlight w:val="none"/>
              </w:rPr>
              <w:t>移交生产时为</w:t>
            </w:r>
            <w:r>
              <w:rPr>
                <w:bCs/>
                <w:color w:val="000000" w:themeColor="text1"/>
                <w:sz w:val="24"/>
                <w:highlight w:val="none"/>
              </w:rPr>
              <w:t>6-1煤</w:t>
            </w:r>
            <w:r>
              <w:rPr>
                <w:color w:val="000000" w:themeColor="text1"/>
                <w:sz w:val="24"/>
                <w:highlight w:val="none"/>
              </w:rPr>
              <w:t>三</w:t>
            </w:r>
            <w:r>
              <w:rPr>
                <w:bCs/>
                <w:color w:val="000000" w:themeColor="text1"/>
                <w:sz w:val="24"/>
                <w:highlight w:val="none"/>
              </w:rPr>
              <w:t>盘区26302工作面回采时，其通风线路为：</w:t>
            </w:r>
          </w:p>
          <w:p w14:paraId="303DEB18">
            <w:pPr>
              <w:pStyle w:val="54"/>
              <w:spacing w:line="360" w:lineRule="auto"/>
              <w:ind w:firstLine="480"/>
              <w:rPr>
                <w:rFonts w:ascii="Times New Roman" w:hAnsi="Times New Roman" w:eastAsia="宋体" w:cs="Times New Roman"/>
                <w:color w:val="000000" w:themeColor="text1"/>
                <w:szCs w:val="24"/>
                <w:highlight w:val="none"/>
                <w:lang w:val="zh-CN"/>
              </w:rPr>
            </w:pPr>
            <w:r>
              <w:rPr>
                <w:rFonts w:ascii="Times New Roman" w:hAnsi="Times New Roman" w:eastAsia="宋体" w:cs="Times New Roman"/>
                <w:color w:val="000000" w:themeColor="text1"/>
                <w:szCs w:val="24"/>
                <w:highlight w:val="none"/>
              </w:rPr>
              <w:t>主斜井、一副井、二副井入风，经井底车场→4-1煤一辅运大巷→5-1煤辅运暗斜井→5-1煤辅运大巷→5-1煤三盘区辅运斜巷→6-1煤三盘区辅运斜巷→6-1煤三盘区辅运大巷→26302运输顺槽→26302综采工作面→26302辅运顺槽→6-1煤三盘区回风大巷→6-1煤三盘区回风斜巷→5-1煤三盘区回风斜巷→6-1煤三盘区集中回风巷→回风立井</w:t>
            </w:r>
            <w:r>
              <w:rPr>
                <w:rFonts w:hint="eastAsia" w:ascii="宋体" w:hAnsi="宋体" w:cs="宋体"/>
                <w:color w:val="000000" w:themeColor="text1"/>
                <w:highlight w:val="none"/>
              </w:rPr>
              <w:t>。</w:t>
            </w:r>
          </w:p>
          <w:p w14:paraId="33C6A9FF">
            <w:pPr>
              <w:pStyle w:val="8"/>
              <w:spacing w:line="360" w:lineRule="auto"/>
              <w:ind w:firstLine="482"/>
              <w:rPr>
                <w:rFonts w:ascii="宋体" w:hAnsi="宋体" w:cs="宋体"/>
                <w:b/>
                <w:bCs/>
                <w:color w:val="000000" w:themeColor="text1"/>
                <w:kern w:val="0"/>
                <w:sz w:val="24"/>
                <w:highlight w:val="none"/>
              </w:rPr>
            </w:pPr>
            <w:r>
              <w:rPr>
                <w:b/>
                <w:bCs/>
                <w:color w:val="000000" w:themeColor="text1"/>
                <w:kern w:val="0"/>
                <w:sz w:val="24"/>
                <w:highlight w:val="none"/>
              </w:rPr>
              <w:t>3.</w:t>
            </w:r>
            <w:r>
              <w:rPr>
                <w:rFonts w:ascii="宋体" w:hAnsi="宋体" w:cs="宋体"/>
                <w:b/>
                <w:bCs/>
                <w:color w:val="000000" w:themeColor="text1"/>
                <w:kern w:val="0"/>
                <w:sz w:val="24"/>
                <w:highlight w:val="none"/>
              </w:rPr>
              <w:t>主要污染工序</w:t>
            </w:r>
          </w:p>
          <w:p w14:paraId="34342A3D">
            <w:pPr>
              <w:pStyle w:val="8"/>
              <w:spacing w:line="360" w:lineRule="auto"/>
              <w:ind w:firstLine="480"/>
              <w:rPr>
                <w:color w:val="000000" w:themeColor="text1"/>
                <w:kern w:val="0"/>
                <w:sz w:val="24"/>
                <w:highlight w:val="none"/>
              </w:rPr>
            </w:pPr>
            <w:r>
              <w:rPr>
                <w:rFonts w:hint="eastAsia"/>
                <w:color w:val="000000" w:themeColor="text1"/>
                <w:kern w:val="0"/>
                <w:sz w:val="24"/>
                <w:highlight w:val="none"/>
              </w:rPr>
              <w:t>①施工期</w:t>
            </w:r>
          </w:p>
          <w:p w14:paraId="7A3EB720">
            <w:pPr>
              <w:pStyle w:val="8"/>
              <w:spacing w:line="360" w:lineRule="auto"/>
              <w:ind w:firstLine="480"/>
              <w:rPr>
                <w:color w:val="000000" w:themeColor="text1"/>
                <w:kern w:val="0"/>
                <w:sz w:val="24"/>
                <w:highlight w:val="none"/>
              </w:rPr>
            </w:pPr>
            <w:r>
              <w:rPr>
                <w:color w:val="000000" w:themeColor="text1"/>
                <w:kern w:val="0"/>
                <w:sz w:val="24"/>
                <w:highlight w:val="none"/>
              </w:rPr>
              <w:t>废气：</w:t>
            </w:r>
            <w:r>
              <w:rPr>
                <w:color w:val="000000" w:themeColor="text1"/>
                <w:sz w:val="24"/>
                <w:highlight w:val="none"/>
              </w:rPr>
              <w:t>施工扬尘、施工机械与运输车辆尾气等</w:t>
            </w:r>
          </w:p>
          <w:p w14:paraId="138E9263">
            <w:pPr>
              <w:pStyle w:val="8"/>
              <w:spacing w:line="360" w:lineRule="auto"/>
              <w:ind w:firstLine="480"/>
              <w:rPr>
                <w:color w:val="000000" w:themeColor="text1"/>
                <w:kern w:val="0"/>
                <w:sz w:val="24"/>
                <w:highlight w:val="none"/>
              </w:rPr>
            </w:pPr>
            <w:r>
              <w:rPr>
                <w:color w:val="000000" w:themeColor="text1"/>
                <w:kern w:val="0"/>
                <w:sz w:val="24"/>
                <w:highlight w:val="none"/>
              </w:rPr>
              <w:t>废水：主要为施工废水</w:t>
            </w:r>
            <w:r>
              <w:rPr>
                <w:rFonts w:hint="eastAsia"/>
                <w:color w:val="000000" w:themeColor="text1"/>
                <w:kern w:val="0"/>
                <w:sz w:val="24"/>
                <w:highlight w:val="none"/>
              </w:rPr>
              <w:t>、</w:t>
            </w:r>
            <w:r>
              <w:rPr>
                <w:color w:val="000000" w:themeColor="text1"/>
                <w:kern w:val="0"/>
                <w:sz w:val="24"/>
                <w:highlight w:val="none"/>
              </w:rPr>
              <w:t>施工</w:t>
            </w:r>
            <w:r>
              <w:rPr>
                <w:color w:val="000000" w:themeColor="text1"/>
                <w:sz w:val="24"/>
                <w:highlight w:val="none"/>
              </w:rPr>
              <w:t>人员</w:t>
            </w:r>
            <w:r>
              <w:rPr>
                <w:color w:val="000000" w:themeColor="text1"/>
                <w:kern w:val="0"/>
                <w:sz w:val="24"/>
                <w:highlight w:val="none"/>
              </w:rPr>
              <w:t>生活污水和</w:t>
            </w:r>
            <w:r>
              <w:rPr>
                <w:rFonts w:hint="eastAsia"/>
                <w:color w:val="000000" w:themeColor="text1"/>
                <w:kern w:val="0"/>
                <w:sz w:val="24"/>
                <w:highlight w:val="none"/>
              </w:rPr>
              <w:t>井筒掘进废水</w:t>
            </w:r>
            <w:r>
              <w:rPr>
                <w:color w:val="000000" w:themeColor="text1"/>
                <w:kern w:val="0"/>
                <w:sz w:val="24"/>
                <w:highlight w:val="none"/>
              </w:rPr>
              <w:t>。</w:t>
            </w:r>
          </w:p>
          <w:p w14:paraId="219EE207">
            <w:pPr>
              <w:pStyle w:val="8"/>
              <w:spacing w:line="360" w:lineRule="auto"/>
              <w:ind w:firstLine="480"/>
              <w:rPr>
                <w:color w:val="000000" w:themeColor="text1"/>
                <w:kern w:val="0"/>
                <w:sz w:val="24"/>
                <w:highlight w:val="none"/>
              </w:rPr>
            </w:pPr>
            <w:r>
              <w:rPr>
                <w:color w:val="000000" w:themeColor="text1"/>
                <w:kern w:val="0"/>
                <w:sz w:val="24"/>
                <w:highlight w:val="none"/>
              </w:rPr>
              <w:t>噪声：主要为施工过程中作业机械运行时产生的噪声。</w:t>
            </w:r>
          </w:p>
          <w:p w14:paraId="3F71D132">
            <w:pPr>
              <w:pStyle w:val="8"/>
              <w:spacing w:line="360" w:lineRule="auto"/>
              <w:ind w:firstLine="480"/>
              <w:rPr>
                <w:color w:val="000000" w:themeColor="text1"/>
                <w:kern w:val="0"/>
                <w:sz w:val="24"/>
                <w:highlight w:val="none"/>
              </w:rPr>
            </w:pPr>
            <w:r>
              <w:rPr>
                <w:color w:val="000000" w:themeColor="text1"/>
                <w:kern w:val="0"/>
                <w:sz w:val="24"/>
                <w:highlight w:val="none"/>
              </w:rPr>
              <w:t>固废：主要包括施工人员生活垃圾、井筒掘进产生的</w:t>
            </w:r>
            <w:r>
              <w:rPr>
                <w:rFonts w:hint="eastAsia"/>
                <w:color w:val="000000" w:themeColor="text1"/>
                <w:kern w:val="0"/>
                <w:sz w:val="24"/>
                <w:highlight w:val="none"/>
              </w:rPr>
              <w:t>土</w:t>
            </w:r>
            <w:r>
              <w:rPr>
                <w:color w:val="000000" w:themeColor="text1"/>
                <w:kern w:val="0"/>
                <w:sz w:val="24"/>
                <w:highlight w:val="none"/>
              </w:rPr>
              <w:t>岩和建筑垃圾。</w:t>
            </w:r>
          </w:p>
          <w:p w14:paraId="0B4E6FDE">
            <w:pPr>
              <w:spacing w:line="360" w:lineRule="auto"/>
              <w:ind w:firstLine="480" w:firstLineChars="200"/>
              <w:rPr>
                <w:color w:val="000000" w:themeColor="text1"/>
                <w:highlight w:val="none"/>
              </w:rPr>
            </w:pPr>
            <w:r>
              <w:rPr>
                <w:rFonts w:hint="eastAsia"/>
                <w:color w:val="000000" w:themeColor="text1"/>
                <w:kern w:val="0"/>
                <w:sz w:val="24"/>
                <w:highlight w:val="none"/>
              </w:rPr>
              <w:t>②运营期</w:t>
            </w:r>
          </w:p>
          <w:p w14:paraId="35D741E6">
            <w:pPr>
              <w:pStyle w:val="8"/>
              <w:spacing w:line="360" w:lineRule="auto"/>
              <w:ind w:firstLine="480"/>
              <w:rPr>
                <w:color w:val="000000" w:themeColor="text1"/>
                <w:kern w:val="0"/>
                <w:sz w:val="24"/>
                <w:highlight w:val="none"/>
              </w:rPr>
            </w:pPr>
            <w:r>
              <w:rPr>
                <w:color w:val="000000" w:themeColor="text1"/>
                <w:kern w:val="0"/>
                <w:sz w:val="24"/>
                <w:highlight w:val="none"/>
              </w:rPr>
              <w:t>废水：</w:t>
            </w:r>
            <w:r>
              <w:rPr>
                <w:rFonts w:hint="eastAsia"/>
                <w:color w:val="000000" w:themeColor="text1"/>
                <w:kern w:val="21"/>
                <w:sz w:val="24"/>
                <w:highlight w:val="none"/>
              </w:rPr>
              <w:t>项目无废水产生</w:t>
            </w:r>
            <w:r>
              <w:rPr>
                <w:color w:val="000000" w:themeColor="text1"/>
                <w:kern w:val="0"/>
                <w:sz w:val="24"/>
                <w:highlight w:val="none"/>
              </w:rPr>
              <w:t>。</w:t>
            </w:r>
          </w:p>
          <w:p w14:paraId="2CF30120">
            <w:pPr>
              <w:pStyle w:val="8"/>
              <w:spacing w:line="360" w:lineRule="auto"/>
              <w:ind w:firstLine="480"/>
              <w:rPr>
                <w:color w:val="000000" w:themeColor="text1"/>
                <w:kern w:val="0"/>
                <w:sz w:val="24"/>
                <w:highlight w:val="none"/>
              </w:rPr>
            </w:pPr>
            <w:r>
              <w:rPr>
                <w:color w:val="000000" w:themeColor="text1"/>
                <w:kern w:val="0"/>
                <w:sz w:val="24"/>
                <w:highlight w:val="none"/>
              </w:rPr>
              <w:t>噪声：</w:t>
            </w:r>
            <w:r>
              <w:rPr>
                <w:rFonts w:hint="eastAsia"/>
                <w:color w:val="000000" w:themeColor="text1"/>
                <w:kern w:val="0"/>
                <w:sz w:val="24"/>
                <w:highlight w:val="none"/>
              </w:rPr>
              <w:t>生产设备噪声</w:t>
            </w:r>
            <w:r>
              <w:rPr>
                <w:color w:val="000000" w:themeColor="text1"/>
                <w:kern w:val="0"/>
                <w:sz w:val="24"/>
                <w:highlight w:val="none"/>
              </w:rPr>
              <w:t>。</w:t>
            </w:r>
          </w:p>
          <w:p w14:paraId="061A6F5F">
            <w:pPr>
              <w:spacing w:line="360" w:lineRule="auto"/>
              <w:ind w:firstLine="480" w:firstLineChars="200"/>
              <w:rPr>
                <w:color w:val="000000" w:themeColor="text1"/>
                <w:highlight w:val="none"/>
              </w:rPr>
            </w:pPr>
            <w:r>
              <w:rPr>
                <w:color w:val="000000" w:themeColor="text1"/>
                <w:kern w:val="0"/>
                <w:sz w:val="24"/>
                <w:highlight w:val="none"/>
              </w:rPr>
              <w:t>固废：</w:t>
            </w:r>
            <w:r>
              <w:rPr>
                <w:rFonts w:hint="eastAsia"/>
                <w:color w:val="000000" w:themeColor="text1"/>
                <w:kern w:val="0"/>
                <w:sz w:val="24"/>
                <w:highlight w:val="none"/>
              </w:rPr>
              <w:t>设备维修产生的废机</w:t>
            </w:r>
            <w:r>
              <w:rPr>
                <w:rFonts w:hint="eastAsia"/>
                <w:color w:val="000000" w:themeColor="text1"/>
                <w:kern w:val="0"/>
                <w:sz w:val="24"/>
                <w:szCs w:val="24"/>
                <w:highlight w:val="none"/>
              </w:rPr>
              <w:t>油</w:t>
            </w:r>
            <w:r>
              <w:rPr>
                <w:rStyle w:val="31"/>
                <w:rFonts w:hint="eastAsia"/>
                <w:color w:val="000000" w:themeColor="text1"/>
                <w:kern w:val="0"/>
                <w:sz w:val="24"/>
                <w:szCs w:val="24"/>
                <w:highlight w:val="none"/>
                <w:lang w:val="en-US" w:eastAsia="zh-CN"/>
              </w:rPr>
              <w:t>及废油桶</w:t>
            </w:r>
            <w:r>
              <w:rPr>
                <w:rFonts w:hint="eastAsia"/>
                <w:color w:val="000000" w:themeColor="text1"/>
                <w:kern w:val="0"/>
                <w:sz w:val="24"/>
                <w:highlight w:val="none"/>
              </w:rPr>
              <w:t>。</w:t>
            </w:r>
          </w:p>
        </w:tc>
      </w:tr>
      <w:tr w14:paraId="5632FF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16" w:hRule="atLeast"/>
        </w:trPr>
        <w:tc>
          <w:tcPr>
            <w:tcW w:w="588" w:type="dxa"/>
            <w:vAlign w:val="center"/>
          </w:tcPr>
          <w:p w14:paraId="64299EBA">
            <w:pPr>
              <w:adjustRightInd w:val="0"/>
              <w:snapToGrid w:val="0"/>
              <w:jc w:val="center"/>
              <w:rPr>
                <w:rFonts w:ascii="宋体" w:hAnsi="宋体" w:cs="宋体"/>
                <w:color w:val="000000" w:themeColor="text1"/>
                <w:kern w:val="0"/>
                <w:szCs w:val="21"/>
                <w:highlight w:val="none"/>
              </w:rPr>
            </w:pPr>
            <w:r>
              <w:rPr>
                <w:rFonts w:hint="eastAsia" w:ascii="宋体" w:hAnsi="宋体" w:cs="宋体"/>
                <w:color w:val="000000" w:themeColor="text1"/>
                <w:kern w:val="0"/>
                <w:sz w:val="24"/>
                <w:highlight w:val="none"/>
              </w:rPr>
              <w:t>其他</w:t>
            </w:r>
          </w:p>
        </w:tc>
        <w:tc>
          <w:tcPr>
            <w:tcW w:w="8044" w:type="dxa"/>
            <w:vAlign w:val="center"/>
          </w:tcPr>
          <w:p w14:paraId="12037193">
            <w:pPr>
              <w:adjustRightInd w:val="0"/>
              <w:snapToGrid w:val="0"/>
              <w:jc w:val="center"/>
              <w:rPr>
                <w:rFonts w:ascii="宋体" w:hAnsi="宋体" w:cs="宋体"/>
                <w:color w:val="000000" w:themeColor="text1"/>
                <w:kern w:val="0"/>
                <w:szCs w:val="21"/>
                <w:highlight w:val="none"/>
              </w:rPr>
            </w:pPr>
            <w:r>
              <w:rPr>
                <w:rFonts w:hint="eastAsia" w:ascii="宋体" w:hAnsi="宋体" w:cs="宋体"/>
                <w:color w:val="000000" w:themeColor="text1"/>
                <w:kern w:val="0"/>
                <w:sz w:val="24"/>
                <w:highlight w:val="none"/>
              </w:rPr>
              <w:t>无</w:t>
            </w:r>
          </w:p>
        </w:tc>
      </w:tr>
    </w:tbl>
    <w:p w14:paraId="158D34A0">
      <w:pPr>
        <w:pStyle w:val="23"/>
        <w:jc w:val="center"/>
        <w:rPr>
          <w:rFonts w:ascii="黑体" w:hAnsi="黑体" w:eastAsia="黑体"/>
          <w:snapToGrid w:val="0"/>
          <w:color w:val="000000" w:themeColor="text1"/>
          <w:sz w:val="30"/>
          <w:szCs w:val="30"/>
          <w:highlight w:val="none"/>
        </w:rPr>
      </w:pPr>
    </w:p>
    <w:p w14:paraId="60FFFACA">
      <w:pPr>
        <w:pStyle w:val="23"/>
        <w:jc w:val="center"/>
        <w:outlineLvl w:val="0"/>
        <w:rPr>
          <w:rFonts w:ascii="黑体" w:hAnsi="黑体" w:eastAsia="黑体"/>
          <w:snapToGrid w:val="0"/>
          <w:color w:val="000000" w:themeColor="text1"/>
          <w:sz w:val="30"/>
          <w:szCs w:val="30"/>
          <w:highlight w:val="none"/>
        </w:rPr>
      </w:pPr>
      <w:r>
        <w:rPr>
          <w:rFonts w:eastAsia="仿宋_GB2312"/>
          <w:b/>
          <w:bCs/>
          <w:color w:val="000000" w:themeColor="text1"/>
          <w:highlight w:val="none"/>
        </w:rPr>
        <w:br w:type="page"/>
      </w:r>
      <w:r>
        <w:rPr>
          <w:rFonts w:hint="eastAsia" w:ascii="黑体" w:hAnsi="黑体" w:eastAsia="黑体"/>
          <w:snapToGrid w:val="0"/>
          <w:color w:val="000000" w:themeColor="text1"/>
          <w:sz w:val="30"/>
          <w:szCs w:val="30"/>
          <w:highlight w:val="none"/>
        </w:rPr>
        <w:t>三、生态环境现状、保护目标及评价标准</w:t>
      </w:r>
    </w:p>
    <w:tbl>
      <w:tblPr>
        <w:tblStyle w:val="26"/>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3"/>
        <w:gridCol w:w="7769"/>
      </w:tblGrid>
      <w:tr w14:paraId="6F3455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72" w:hRule="atLeast"/>
          <w:jc w:val="center"/>
        </w:trPr>
        <w:tc>
          <w:tcPr>
            <w:tcW w:w="442" w:type="pct"/>
            <w:vAlign w:val="center"/>
          </w:tcPr>
          <w:p w14:paraId="44D79F45">
            <w:pPr>
              <w:adjustRightInd w:val="0"/>
              <w:snapToGrid w:val="0"/>
              <w:jc w:val="center"/>
              <w:rPr>
                <w:rFonts w:ascii="宋体" w:hAnsi="宋体" w:cs="宋体"/>
                <w:color w:val="000000" w:themeColor="text1"/>
                <w:kern w:val="0"/>
                <w:szCs w:val="21"/>
                <w:highlight w:val="none"/>
              </w:rPr>
            </w:pPr>
            <w:r>
              <w:rPr>
                <w:rFonts w:hint="eastAsia" w:ascii="宋体" w:hAnsi="宋体" w:cs="宋体"/>
                <w:color w:val="000000" w:themeColor="text1"/>
                <w:kern w:val="0"/>
                <w:sz w:val="24"/>
                <w:highlight w:val="none"/>
              </w:rPr>
              <w:t>生态环境现状</w:t>
            </w:r>
          </w:p>
        </w:tc>
        <w:tc>
          <w:tcPr>
            <w:tcW w:w="4557" w:type="pct"/>
            <w:vAlign w:val="center"/>
          </w:tcPr>
          <w:p w14:paraId="0C972CA0">
            <w:pPr>
              <w:spacing w:line="360" w:lineRule="auto"/>
              <w:ind w:firstLine="480" w:firstLineChars="200"/>
              <w:rPr>
                <w:color w:val="000000" w:themeColor="text1"/>
                <w:sz w:val="24"/>
                <w:highlight w:val="none"/>
              </w:rPr>
            </w:pPr>
            <w:r>
              <w:rPr>
                <w:rFonts w:hint="eastAsia"/>
                <w:color w:val="000000" w:themeColor="text1"/>
                <w:sz w:val="24"/>
                <w:highlight w:val="none"/>
              </w:rPr>
              <w:t>一、生态环境现状</w:t>
            </w:r>
          </w:p>
          <w:p w14:paraId="24DBE675">
            <w:pPr>
              <w:pStyle w:val="14"/>
              <w:spacing w:before="0" w:after="0" w:line="360" w:lineRule="auto"/>
              <w:ind w:right="0" w:firstLine="480" w:firstLineChars="200"/>
              <w:rPr>
                <w:color w:val="000000" w:themeColor="text1"/>
                <w:sz w:val="24"/>
                <w:szCs w:val="24"/>
                <w:highlight w:val="none"/>
              </w:rPr>
            </w:pPr>
            <w:r>
              <w:rPr>
                <w:rFonts w:hint="eastAsia"/>
                <w:color w:val="000000" w:themeColor="text1"/>
                <w:sz w:val="24"/>
                <w:szCs w:val="24"/>
                <w:highlight w:val="none"/>
              </w:rPr>
              <w:t>本项目位于</w:t>
            </w:r>
            <w:r>
              <w:rPr>
                <w:rFonts w:hint="eastAsia" w:ascii="宋体" w:hAnsi="宋体" w:cs="宋体"/>
                <w:color w:val="000000" w:themeColor="text1"/>
                <w:sz w:val="24"/>
                <w:szCs w:val="24"/>
                <w:highlight w:val="none"/>
              </w:rPr>
              <w:t>伊金霍洛旗纳林陶亥镇朱日根沟村三社</w:t>
            </w:r>
            <w:r>
              <w:rPr>
                <w:rFonts w:hint="eastAsia"/>
                <w:color w:val="000000" w:themeColor="text1"/>
                <w:sz w:val="24"/>
                <w:szCs w:val="24"/>
                <w:highlight w:val="none"/>
              </w:rPr>
              <w:t>。根据《</w:t>
            </w:r>
            <w:r>
              <w:rPr>
                <w:rFonts w:hint="eastAsia"/>
                <w:color w:val="000000" w:themeColor="text1"/>
                <w:sz w:val="24"/>
                <w:szCs w:val="24"/>
                <w:highlight w:val="none"/>
                <w:lang w:eastAsia="zh-CN"/>
              </w:rPr>
              <w:t>内蒙古自治区</w:t>
            </w:r>
            <w:r>
              <w:rPr>
                <w:rFonts w:hint="eastAsia"/>
                <w:color w:val="000000" w:themeColor="text1"/>
                <w:sz w:val="24"/>
                <w:szCs w:val="24"/>
                <w:highlight w:val="none"/>
              </w:rPr>
              <w:t>主体功能区规划》，鄂尔多斯市伊金霍洛旗属于国家级重点开发区域。根据</w:t>
            </w:r>
            <w:r>
              <w:rPr>
                <w:bCs/>
                <w:color w:val="000000" w:themeColor="text1"/>
                <w:sz w:val="24"/>
                <w:szCs w:val="24"/>
                <w:highlight w:val="none"/>
              </w:rPr>
              <w:t>《鄂尔多斯市城市总体规划</w:t>
            </w:r>
            <w:r>
              <w:rPr>
                <w:color w:val="000000" w:themeColor="text1"/>
                <w:sz w:val="24"/>
                <w:szCs w:val="24"/>
                <w:highlight w:val="none"/>
              </w:rPr>
              <w:t>（2011—2030）</w:t>
            </w:r>
            <w:r>
              <w:rPr>
                <w:bCs/>
                <w:color w:val="000000" w:themeColor="text1"/>
                <w:sz w:val="24"/>
                <w:szCs w:val="24"/>
                <w:highlight w:val="none"/>
              </w:rPr>
              <w:t>》</w:t>
            </w:r>
            <w:bookmarkStart w:id="12" w:name="_Toc291533179"/>
            <w:bookmarkStart w:id="13" w:name="_Toc310435135"/>
            <w:r>
              <w:rPr>
                <w:bCs/>
                <w:color w:val="000000" w:themeColor="text1"/>
                <w:sz w:val="24"/>
                <w:szCs w:val="24"/>
                <w:highlight w:val="none"/>
              </w:rPr>
              <w:t>中</w:t>
            </w:r>
            <w:r>
              <w:rPr>
                <w:color w:val="000000" w:themeColor="text1"/>
                <w:sz w:val="24"/>
                <w:szCs w:val="24"/>
                <w:highlight w:val="none"/>
              </w:rPr>
              <w:t>市域生态</w:t>
            </w:r>
            <w:bookmarkEnd w:id="12"/>
            <w:bookmarkEnd w:id="13"/>
            <w:r>
              <w:rPr>
                <w:color w:val="000000" w:themeColor="text1"/>
                <w:sz w:val="24"/>
                <w:szCs w:val="24"/>
                <w:highlight w:val="none"/>
              </w:rPr>
              <w:t>功能区划</w:t>
            </w:r>
            <w:r>
              <w:rPr>
                <w:rFonts w:hint="eastAsia" w:ascii="宋体" w:hAnsi="宋体" w:cs="宋体"/>
                <w:color w:val="000000" w:themeColor="text1"/>
                <w:sz w:val="24"/>
                <w:szCs w:val="24"/>
                <w:highlight w:val="none"/>
              </w:rPr>
              <w:t>，本项</w:t>
            </w:r>
            <w:r>
              <w:rPr>
                <w:rFonts w:hint="eastAsia"/>
                <w:color w:val="000000" w:themeColor="text1"/>
                <w:sz w:val="24"/>
                <w:szCs w:val="24"/>
                <w:highlight w:val="none"/>
              </w:rPr>
              <w:t>目属于阿贵庙生态多样性保护生态功能区。</w:t>
            </w:r>
          </w:p>
          <w:p w14:paraId="23F7DAA9">
            <w:pPr>
              <w:pStyle w:val="25"/>
              <w:spacing w:before="0" w:after="0" w:line="360" w:lineRule="auto"/>
              <w:ind w:right="0" w:firstLine="480" w:firstLineChars="200"/>
              <w:rPr>
                <w:color w:val="000000" w:themeColor="text1"/>
                <w:sz w:val="24"/>
                <w:szCs w:val="24"/>
                <w:highlight w:val="none"/>
              </w:rPr>
            </w:pPr>
            <w:r>
              <w:rPr>
                <w:color w:val="000000" w:themeColor="text1"/>
                <w:sz w:val="24"/>
                <w:szCs w:val="24"/>
                <w:highlight w:val="none"/>
              </w:rPr>
              <w:t>本次生态环境</w:t>
            </w:r>
            <w:r>
              <w:rPr>
                <w:rFonts w:hint="eastAsia"/>
                <w:color w:val="000000" w:themeColor="text1"/>
                <w:sz w:val="24"/>
                <w:szCs w:val="24"/>
                <w:highlight w:val="none"/>
              </w:rPr>
              <w:t>现状</w:t>
            </w:r>
            <w:r>
              <w:rPr>
                <w:color w:val="000000" w:themeColor="text1"/>
                <w:sz w:val="24"/>
                <w:szCs w:val="24"/>
                <w:highlight w:val="none"/>
              </w:rPr>
              <w:t>调查</w:t>
            </w:r>
            <w:r>
              <w:rPr>
                <w:rFonts w:hint="eastAsia"/>
                <w:color w:val="000000" w:themeColor="text1"/>
                <w:sz w:val="24"/>
                <w:szCs w:val="24"/>
                <w:highlight w:val="none"/>
              </w:rPr>
              <w:t>采用现场调查与</w:t>
            </w:r>
            <w:r>
              <w:rPr>
                <w:color w:val="000000" w:themeColor="text1"/>
                <w:sz w:val="24"/>
                <w:szCs w:val="24"/>
                <w:highlight w:val="none"/>
              </w:rPr>
              <w:t>遥感解译</w:t>
            </w:r>
            <w:r>
              <w:rPr>
                <w:rFonts w:hint="eastAsia"/>
                <w:color w:val="000000" w:themeColor="text1"/>
                <w:sz w:val="24"/>
                <w:szCs w:val="24"/>
                <w:highlight w:val="none"/>
              </w:rPr>
              <w:t>结合</w:t>
            </w:r>
            <w:r>
              <w:rPr>
                <w:color w:val="000000" w:themeColor="text1"/>
                <w:sz w:val="24"/>
                <w:szCs w:val="24"/>
                <w:highlight w:val="none"/>
              </w:rPr>
              <w:t>的方式</w:t>
            </w:r>
            <w:r>
              <w:rPr>
                <w:rFonts w:hint="eastAsia"/>
                <w:color w:val="000000" w:themeColor="text1"/>
                <w:sz w:val="24"/>
                <w:szCs w:val="24"/>
                <w:highlight w:val="none"/>
              </w:rPr>
              <w:t>，对项目区别边界外扩500m进行调查</w:t>
            </w:r>
            <w:r>
              <w:rPr>
                <w:color w:val="000000" w:themeColor="text1"/>
                <w:sz w:val="24"/>
                <w:szCs w:val="24"/>
                <w:highlight w:val="none"/>
              </w:rPr>
              <w:t>，</w:t>
            </w:r>
            <w:r>
              <w:rPr>
                <w:rFonts w:hint="eastAsia"/>
                <w:color w:val="000000" w:themeColor="text1"/>
                <w:sz w:val="24"/>
                <w:szCs w:val="24"/>
                <w:highlight w:val="none"/>
              </w:rPr>
              <w:t>遥感影像数据源为2024年8月30日哨兵2A卫星数据8-4-3波段合成，融合分辨率10米。</w:t>
            </w:r>
          </w:p>
          <w:p w14:paraId="5FFF83F3">
            <w:pPr>
              <w:pStyle w:val="14"/>
              <w:spacing w:before="0" w:after="0" w:line="360" w:lineRule="auto"/>
              <w:ind w:right="0" w:firstLine="480" w:firstLineChars="200"/>
              <w:rPr>
                <w:color w:val="000000" w:themeColor="text1"/>
                <w:sz w:val="24"/>
                <w:szCs w:val="24"/>
                <w:highlight w:val="none"/>
              </w:rPr>
            </w:pPr>
            <w:r>
              <w:rPr>
                <w:rFonts w:hint="eastAsia"/>
                <w:color w:val="000000" w:themeColor="text1"/>
                <w:sz w:val="24"/>
                <w:szCs w:val="24"/>
                <w:highlight w:val="none"/>
              </w:rPr>
              <w:t>遥感影像图见图3-1。</w:t>
            </w:r>
          </w:p>
          <w:p w14:paraId="731609D8">
            <w:pPr>
              <w:jc w:val="center"/>
              <w:rPr>
                <w:color w:val="000000" w:themeColor="text1"/>
                <w:sz w:val="24"/>
                <w:highlight w:val="none"/>
              </w:rPr>
            </w:pPr>
            <w:r>
              <w:rPr>
                <w:rFonts w:hint="eastAsia"/>
                <w:color w:val="000000" w:themeColor="text1"/>
                <w:sz w:val="24"/>
                <w:highlight w:val="none"/>
              </w:rPr>
              <w:drawing>
                <wp:inline distT="0" distB="0" distL="114300" distR="114300">
                  <wp:extent cx="4792345" cy="3387725"/>
                  <wp:effectExtent l="0" t="0" r="8255" b="3175"/>
                  <wp:docPr id="63" name="图片 63" descr="遥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遥感2"/>
                          <pic:cNvPicPr>
                            <a:picLocks noChangeAspect="1"/>
                          </pic:cNvPicPr>
                        </pic:nvPicPr>
                        <pic:blipFill>
                          <a:blip r:embed="rId12" cstate="print"/>
                          <a:stretch>
                            <a:fillRect/>
                          </a:stretch>
                        </pic:blipFill>
                        <pic:spPr>
                          <a:xfrm>
                            <a:off x="0" y="0"/>
                            <a:ext cx="4792345" cy="3387725"/>
                          </a:xfrm>
                          <a:prstGeom prst="rect">
                            <a:avLst/>
                          </a:prstGeom>
                        </pic:spPr>
                      </pic:pic>
                    </a:graphicData>
                  </a:graphic>
                </wp:inline>
              </w:drawing>
            </w:r>
          </w:p>
          <w:p w14:paraId="38F37A96">
            <w:pPr>
              <w:pStyle w:val="25"/>
              <w:spacing w:before="0" w:after="0" w:line="260" w:lineRule="auto"/>
              <w:ind w:right="0" w:firstLine="0" w:firstLineChars="0"/>
              <w:jc w:val="center"/>
              <w:rPr>
                <w:color w:val="000000" w:themeColor="text1"/>
                <w:sz w:val="24"/>
                <w:szCs w:val="24"/>
                <w:highlight w:val="none"/>
              </w:rPr>
            </w:pPr>
            <w:r>
              <w:rPr>
                <w:rFonts w:hint="eastAsia"/>
                <w:color w:val="000000" w:themeColor="text1"/>
                <w:sz w:val="24"/>
                <w:szCs w:val="24"/>
                <w:highlight w:val="none"/>
              </w:rPr>
              <w:t>图3-1 本项目遥感影像图</w:t>
            </w:r>
          </w:p>
          <w:p w14:paraId="6C8AD9B9">
            <w:pPr>
              <w:numPr>
                <w:ilvl w:val="0"/>
                <w:numId w:val="5"/>
              </w:numPr>
              <w:adjustRightInd w:val="0"/>
              <w:snapToGrid w:val="0"/>
              <w:spacing w:line="360" w:lineRule="auto"/>
              <w:ind w:firstLine="480" w:firstLineChars="200"/>
              <w:rPr>
                <w:color w:val="000000" w:themeColor="text1"/>
                <w:sz w:val="24"/>
                <w:highlight w:val="none"/>
              </w:rPr>
            </w:pPr>
            <w:r>
              <w:rPr>
                <w:color w:val="000000" w:themeColor="text1"/>
                <w:sz w:val="24"/>
                <w:highlight w:val="none"/>
              </w:rPr>
              <w:t>土地利用现状</w:t>
            </w:r>
          </w:p>
          <w:p w14:paraId="214535B7">
            <w:pPr>
              <w:pStyle w:val="14"/>
              <w:spacing w:before="0" w:after="0" w:line="360" w:lineRule="auto"/>
              <w:ind w:right="0" w:firstLine="480" w:firstLineChars="200"/>
              <w:rPr>
                <w:color w:val="000000" w:themeColor="text1"/>
                <w:sz w:val="24"/>
                <w:szCs w:val="24"/>
                <w:highlight w:val="none"/>
              </w:rPr>
            </w:pPr>
            <w:r>
              <w:rPr>
                <w:color w:val="000000" w:themeColor="text1"/>
                <w:sz w:val="24"/>
                <w:szCs w:val="24"/>
                <w:highlight w:val="none"/>
              </w:rPr>
              <w:t>参照国土部门GB/T21010</w:t>
            </w:r>
            <w:r>
              <w:rPr>
                <w:rFonts w:hint="eastAsia"/>
                <w:color w:val="000000" w:themeColor="text1"/>
                <w:sz w:val="24"/>
                <w:szCs w:val="24"/>
                <w:highlight w:val="none"/>
              </w:rPr>
              <w:t>-</w:t>
            </w:r>
            <w:r>
              <w:rPr>
                <w:color w:val="000000" w:themeColor="text1"/>
                <w:sz w:val="24"/>
                <w:szCs w:val="24"/>
                <w:highlight w:val="none"/>
              </w:rPr>
              <w:t>2017土地利用分类</w:t>
            </w:r>
            <w:r>
              <w:rPr>
                <w:rFonts w:hint="eastAsia"/>
                <w:color w:val="000000" w:themeColor="text1"/>
                <w:sz w:val="24"/>
                <w:szCs w:val="24"/>
                <w:highlight w:val="none"/>
              </w:rPr>
              <w:t>，</w:t>
            </w:r>
            <w:r>
              <w:rPr>
                <w:color w:val="000000" w:themeColor="text1"/>
                <w:sz w:val="24"/>
                <w:szCs w:val="24"/>
                <w:highlight w:val="none"/>
              </w:rPr>
              <w:t>通过遥感解译对本项目区内的土地利用类型现状分析，土地利用现状结果统计见表3</w:t>
            </w:r>
            <w:r>
              <w:rPr>
                <w:rFonts w:hint="eastAsia"/>
                <w:color w:val="000000" w:themeColor="text1"/>
                <w:sz w:val="24"/>
                <w:szCs w:val="24"/>
                <w:highlight w:val="none"/>
              </w:rPr>
              <w:t>-1</w:t>
            </w:r>
            <w:r>
              <w:rPr>
                <w:color w:val="000000" w:themeColor="text1"/>
                <w:sz w:val="24"/>
                <w:szCs w:val="24"/>
                <w:highlight w:val="none"/>
              </w:rPr>
              <w:t>和</w:t>
            </w:r>
            <w:r>
              <w:rPr>
                <w:rFonts w:hint="eastAsia"/>
                <w:color w:val="000000" w:themeColor="text1"/>
                <w:sz w:val="24"/>
                <w:szCs w:val="24"/>
                <w:highlight w:val="none"/>
              </w:rPr>
              <w:t>表3-2</w:t>
            </w:r>
            <w:r>
              <w:rPr>
                <w:color w:val="000000" w:themeColor="text1"/>
                <w:sz w:val="24"/>
                <w:szCs w:val="24"/>
                <w:highlight w:val="none"/>
              </w:rPr>
              <w:t>，项目区及评价区土地利用情况见图3</w:t>
            </w:r>
            <w:r>
              <w:rPr>
                <w:rFonts w:hint="eastAsia"/>
                <w:color w:val="000000" w:themeColor="text1"/>
                <w:sz w:val="24"/>
                <w:szCs w:val="24"/>
                <w:highlight w:val="none"/>
              </w:rPr>
              <w:t>-2</w:t>
            </w:r>
            <w:r>
              <w:rPr>
                <w:color w:val="000000" w:themeColor="text1"/>
                <w:sz w:val="24"/>
                <w:szCs w:val="24"/>
                <w:highlight w:val="none"/>
              </w:rPr>
              <w:t>。</w:t>
            </w:r>
          </w:p>
          <w:p w14:paraId="5CFE380A">
            <w:pPr>
              <w:pStyle w:val="14"/>
              <w:spacing w:before="0" w:after="0" w:line="240" w:lineRule="auto"/>
              <w:ind w:right="0"/>
              <w:jc w:val="center"/>
              <w:rPr>
                <w:color w:val="000000" w:themeColor="text1"/>
                <w:szCs w:val="21"/>
                <w:highlight w:val="none"/>
              </w:rPr>
            </w:pPr>
            <w:r>
              <w:rPr>
                <w:color w:val="000000" w:themeColor="text1"/>
                <w:sz w:val="24"/>
                <w:szCs w:val="24"/>
                <w:highlight w:val="none"/>
              </w:rPr>
              <w:t>表3</w:t>
            </w:r>
            <w:r>
              <w:rPr>
                <w:rFonts w:hint="eastAsia"/>
                <w:color w:val="000000" w:themeColor="text1"/>
                <w:sz w:val="24"/>
                <w:szCs w:val="24"/>
                <w:highlight w:val="none"/>
              </w:rPr>
              <w:t>-</w:t>
            </w:r>
            <w:r>
              <w:rPr>
                <w:color w:val="000000" w:themeColor="text1"/>
                <w:sz w:val="24"/>
                <w:szCs w:val="24"/>
                <w:highlight w:val="none"/>
              </w:rPr>
              <w:t>1评价区土地利用现状统计结果</w:t>
            </w:r>
          </w:p>
          <w:tbl>
            <w:tblPr>
              <w:tblStyle w:val="26"/>
              <w:tblW w:w="4998" w:type="pct"/>
              <w:jc w:val="center"/>
              <w:tblLayout w:type="fixed"/>
              <w:tblCellMar>
                <w:top w:w="0" w:type="dxa"/>
                <w:left w:w="108" w:type="dxa"/>
                <w:bottom w:w="0" w:type="dxa"/>
                <w:right w:w="108" w:type="dxa"/>
              </w:tblCellMar>
            </w:tblPr>
            <w:tblGrid>
              <w:gridCol w:w="1475"/>
              <w:gridCol w:w="1267"/>
              <w:gridCol w:w="1474"/>
              <w:gridCol w:w="1474"/>
              <w:gridCol w:w="1860"/>
            </w:tblGrid>
            <w:tr w14:paraId="088780A9">
              <w:tblPrEx>
                <w:tblCellMar>
                  <w:top w:w="0" w:type="dxa"/>
                  <w:left w:w="108" w:type="dxa"/>
                  <w:bottom w:w="0" w:type="dxa"/>
                  <w:right w:w="108" w:type="dxa"/>
                </w:tblCellMar>
              </w:tblPrEx>
              <w:trPr>
                <w:trHeight w:val="272" w:hRule="atLeast"/>
                <w:jc w:val="center"/>
              </w:trPr>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B02E1">
                  <w:pPr>
                    <w:widowControl/>
                    <w:jc w:val="center"/>
                    <w:textAlignment w:val="center"/>
                    <w:rPr>
                      <w:color w:val="000000" w:themeColor="text1"/>
                      <w:szCs w:val="21"/>
                      <w:highlight w:val="none"/>
                    </w:rPr>
                  </w:pPr>
                  <w:r>
                    <w:rPr>
                      <w:color w:val="000000" w:themeColor="text1"/>
                      <w:kern w:val="0"/>
                      <w:szCs w:val="21"/>
                      <w:highlight w:val="none"/>
                    </w:rPr>
                    <w:t>一级类型</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FF042">
                  <w:pPr>
                    <w:widowControl/>
                    <w:jc w:val="center"/>
                    <w:textAlignment w:val="center"/>
                    <w:rPr>
                      <w:color w:val="000000" w:themeColor="text1"/>
                      <w:szCs w:val="21"/>
                      <w:highlight w:val="none"/>
                    </w:rPr>
                  </w:pPr>
                  <w:r>
                    <w:rPr>
                      <w:color w:val="000000" w:themeColor="text1"/>
                      <w:kern w:val="0"/>
                      <w:szCs w:val="21"/>
                      <w:highlight w:val="none"/>
                    </w:rPr>
                    <w:t>二级类型</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4E421">
                  <w:pPr>
                    <w:widowControl/>
                    <w:jc w:val="center"/>
                    <w:textAlignment w:val="center"/>
                    <w:rPr>
                      <w:color w:val="000000" w:themeColor="text1"/>
                      <w:szCs w:val="21"/>
                      <w:highlight w:val="none"/>
                    </w:rPr>
                  </w:pPr>
                  <w:r>
                    <w:rPr>
                      <w:color w:val="000000" w:themeColor="text1"/>
                      <w:kern w:val="0"/>
                      <w:szCs w:val="21"/>
                      <w:highlight w:val="none"/>
                    </w:rPr>
                    <w:t>斑块数（个）</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E1284">
                  <w:pPr>
                    <w:widowControl/>
                    <w:jc w:val="center"/>
                    <w:textAlignment w:val="center"/>
                    <w:rPr>
                      <w:color w:val="000000" w:themeColor="text1"/>
                      <w:szCs w:val="21"/>
                      <w:highlight w:val="none"/>
                    </w:rPr>
                  </w:pPr>
                  <w:r>
                    <w:rPr>
                      <w:color w:val="000000" w:themeColor="text1"/>
                      <w:kern w:val="0"/>
                      <w:szCs w:val="21"/>
                      <w:highlight w:val="none"/>
                    </w:rPr>
                    <w:t>面积（平米）</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5A8E9">
                  <w:pPr>
                    <w:widowControl/>
                    <w:jc w:val="center"/>
                    <w:textAlignment w:val="center"/>
                    <w:rPr>
                      <w:color w:val="000000" w:themeColor="text1"/>
                      <w:kern w:val="0"/>
                      <w:szCs w:val="21"/>
                      <w:highlight w:val="none"/>
                    </w:rPr>
                  </w:pPr>
                  <w:r>
                    <w:rPr>
                      <w:color w:val="000000" w:themeColor="text1"/>
                      <w:kern w:val="0"/>
                      <w:szCs w:val="21"/>
                      <w:highlight w:val="none"/>
                    </w:rPr>
                    <w:t>占</w:t>
                  </w:r>
                  <w:r>
                    <w:rPr>
                      <w:rFonts w:hint="eastAsia"/>
                      <w:color w:val="000000" w:themeColor="text1"/>
                      <w:kern w:val="0"/>
                      <w:szCs w:val="21"/>
                      <w:highlight w:val="none"/>
                    </w:rPr>
                    <w:t>评价</w:t>
                  </w:r>
                  <w:r>
                    <w:rPr>
                      <w:color w:val="000000" w:themeColor="text1"/>
                      <w:kern w:val="0"/>
                      <w:szCs w:val="21"/>
                      <w:highlight w:val="none"/>
                    </w:rPr>
                    <w:t>区面积的%</w:t>
                  </w:r>
                </w:p>
              </w:tc>
            </w:tr>
            <w:tr w14:paraId="74FEBE0B">
              <w:tblPrEx>
                <w:tblCellMar>
                  <w:top w:w="0" w:type="dxa"/>
                  <w:left w:w="108" w:type="dxa"/>
                  <w:bottom w:w="0" w:type="dxa"/>
                  <w:right w:w="108" w:type="dxa"/>
                </w:tblCellMar>
              </w:tblPrEx>
              <w:trPr>
                <w:trHeight w:val="90" w:hRule="atLeast"/>
                <w:jc w:val="center"/>
              </w:trPr>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3828">
                  <w:pPr>
                    <w:widowControl/>
                    <w:jc w:val="center"/>
                    <w:textAlignment w:val="center"/>
                    <w:rPr>
                      <w:color w:val="000000" w:themeColor="text1"/>
                      <w:szCs w:val="21"/>
                      <w:highlight w:val="none"/>
                    </w:rPr>
                  </w:pPr>
                  <w:r>
                    <w:rPr>
                      <w:color w:val="000000" w:themeColor="text1"/>
                      <w:kern w:val="0"/>
                      <w:szCs w:val="21"/>
                      <w:highlight w:val="none"/>
                    </w:rPr>
                    <w:t>林地</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ECB2">
                  <w:pPr>
                    <w:widowControl/>
                    <w:jc w:val="center"/>
                    <w:textAlignment w:val="center"/>
                    <w:rPr>
                      <w:color w:val="000000" w:themeColor="text1"/>
                      <w:szCs w:val="21"/>
                      <w:highlight w:val="none"/>
                    </w:rPr>
                  </w:pPr>
                  <w:r>
                    <w:rPr>
                      <w:color w:val="000000" w:themeColor="text1"/>
                      <w:kern w:val="0"/>
                      <w:szCs w:val="21"/>
                      <w:highlight w:val="none"/>
                    </w:rPr>
                    <w:t>乔木林地</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9727C">
                  <w:pPr>
                    <w:widowControl/>
                    <w:jc w:val="center"/>
                    <w:textAlignment w:val="center"/>
                    <w:rPr>
                      <w:color w:val="000000" w:themeColor="text1"/>
                      <w:szCs w:val="21"/>
                      <w:highlight w:val="none"/>
                    </w:rPr>
                  </w:pPr>
                  <w:r>
                    <w:rPr>
                      <w:color w:val="000000" w:themeColor="text1"/>
                      <w:kern w:val="0"/>
                      <w:szCs w:val="21"/>
                      <w:highlight w:val="none"/>
                    </w:rPr>
                    <w:t>33</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6CE99">
                  <w:pPr>
                    <w:widowControl/>
                    <w:jc w:val="center"/>
                    <w:textAlignment w:val="center"/>
                    <w:rPr>
                      <w:color w:val="000000" w:themeColor="text1"/>
                      <w:szCs w:val="21"/>
                      <w:highlight w:val="none"/>
                    </w:rPr>
                  </w:pPr>
                  <w:r>
                    <w:rPr>
                      <w:color w:val="000000" w:themeColor="text1"/>
                      <w:kern w:val="0"/>
                      <w:szCs w:val="21"/>
                      <w:highlight w:val="none"/>
                    </w:rPr>
                    <w:t>105937.89</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AEB39">
                  <w:pPr>
                    <w:jc w:val="center"/>
                    <w:rPr>
                      <w:color w:val="000000" w:themeColor="text1"/>
                      <w:szCs w:val="21"/>
                      <w:highlight w:val="none"/>
                    </w:rPr>
                  </w:pPr>
                  <w:r>
                    <w:rPr>
                      <w:rFonts w:hint="eastAsia"/>
                      <w:color w:val="000000" w:themeColor="text1"/>
                      <w:szCs w:val="21"/>
                      <w:highlight w:val="none"/>
                    </w:rPr>
                    <w:t>11.09</w:t>
                  </w:r>
                </w:p>
              </w:tc>
            </w:tr>
            <w:tr w14:paraId="008B5E55">
              <w:tblPrEx>
                <w:tblCellMar>
                  <w:top w:w="0" w:type="dxa"/>
                  <w:left w:w="108" w:type="dxa"/>
                  <w:bottom w:w="0" w:type="dxa"/>
                  <w:right w:w="108" w:type="dxa"/>
                </w:tblCellMar>
              </w:tblPrEx>
              <w:trPr>
                <w:trHeight w:val="272" w:hRule="atLeast"/>
                <w:jc w:val="center"/>
              </w:trPr>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F082">
                  <w:pPr>
                    <w:widowControl/>
                    <w:jc w:val="center"/>
                    <w:textAlignment w:val="center"/>
                    <w:rPr>
                      <w:color w:val="000000" w:themeColor="text1"/>
                      <w:szCs w:val="21"/>
                      <w:highlight w:val="none"/>
                    </w:rPr>
                  </w:pPr>
                  <w:r>
                    <w:rPr>
                      <w:color w:val="000000" w:themeColor="text1"/>
                      <w:kern w:val="0"/>
                      <w:szCs w:val="21"/>
                      <w:highlight w:val="none"/>
                    </w:rPr>
                    <w:t>草地</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C979">
                  <w:pPr>
                    <w:widowControl/>
                    <w:jc w:val="center"/>
                    <w:textAlignment w:val="center"/>
                    <w:rPr>
                      <w:color w:val="000000" w:themeColor="text1"/>
                      <w:szCs w:val="21"/>
                      <w:highlight w:val="none"/>
                    </w:rPr>
                  </w:pPr>
                  <w:r>
                    <w:rPr>
                      <w:color w:val="000000" w:themeColor="text1"/>
                      <w:kern w:val="0"/>
                      <w:szCs w:val="21"/>
                      <w:highlight w:val="none"/>
                    </w:rPr>
                    <w:t>天然草地</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29C85">
                  <w:pPr>
                    <w:widowControl/>
                    <w:jc w:val="center"/>
                    <w:textAlignment w:val="center"/>
                    <w:rPr>
                      <w:color w:val="000000" w:themeColor="text1"/>
                      <w:szCs w:val="21"/>
                      <w:highlight w:val="none"/>
                    </w:rPr>
                  </w:pPr>
                  <w:r>
                    <w:rPr>
                      <w:color w:val="000000" w:themeColor="text1"/>
                      <w:kern w:val="0"/>
                      <w:szCs w:val="21"/>
                      <w:highlight w:val="none"/>
                    </w:rPr>
                    <w:t>25</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2DAF1">
                  <w:pPr>
                    <w:widowControl/>
                    <w:jc w:val="center"/>
                    <w:textAlignment w:val="center"/>
                    <w:rPr>
                      <w:color w:val="000000" w:themeColor="text1"/>
                      <w:szCs w:val="21"/>
                      <w:highlight w:val="none"/>
                    </w:rPr>
                  </w:pPr>
                  <w:r>
                    <w:rPr>
                      <w:color w:val="000000" w:themeColor="text1"/>
                      <w:kern w:val="0"/>
                      <w:szCs w:val="21"/>
                      <w:highlight w:val="none"/>
                    </w:rPr>
                    <w:t>719977.17</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68AC9">
                  <w:pPr>
                    <w:widowControl/>
                    <w:jc w:val="center"/>
                    <w:textAlignment w:val="center"/>
                    <w:rPr>
                      <w:color w:val="000000" w:themeColor="text1"/>
                      <w:kern w:val="0"/>
                      <w:szCs w:val="21"/>
                      <w:highlight w:val="none"/>
                    </w:rPr>
                  </w:pPr>
                  <w:r>
                    <w:rPr>
                      <w:rFonts w:hint="eastAsia"/>
                      <w:color w:val="000000" w:themeColor="text1"/>
                      <w:kern w:val="0"/>
                      <w:szCs w:val="21"/>
                      <w:highlight w:val="none"/>
                    </w:rPr>
                    <w:t>75.40</w:t>
                  </w:r>
                </w:p>
              </w:tc>
            </w:tr>
            <w:tr w14:paraId="6CA952C9">
              <w:tblPrEx>
                <w:tblCellMar>
                  <w:top w:w="0" w:type="dxa"/>
                  <w:left w:w="108" w:type="dxa"/>
                  <w:bottom w:w="0" w:type="dxa"/>
                  <w:right w:w="108" w:type="dxa"/>
                </w:tblCellMar>
              </w:tblPrEx>
              <w:trPr>
                <w:trHeight w:val="272" w:hRule="atLeast"/>
                <w:jc w:val="center"/>
              </w:trPr>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C605F">
                  <w:pPr>
                    <w:widowControl/>
                    <w:jc w:val="center"/>
                    <w:textAlignment w:val="center"/>
                    <w:rPr>
                      <w:color w:val="000000" w:themeColor="text1"/>
                      <w:szCs w:val="21"/>
                      <w:highlight w:val="none"/>
                    </w:rPr>
                  </w:pPr>
                  <w:r>
                    <w:rPr>
                      <w:color w:val="000000" w:themeColor="text1"/>
                      <w:kern w:val="0"/>
                      <w:szCs w:val="21"/>
                      <w:highlight w:val="none"/>
                    </w:rPr>
                    <w:t>耕地</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ED7FD">
                  <w:pPr>
                    <w:widowControl/>
                    <w:jc w:val="center"/>
                    <w:textAlignment w:val="center"/>
                    <w:rPr>
                      <w:color w:val="000000" w:themeColor="text1"/>
                      <w:szCs w:val="21"/>
                      <w:highlight w:val="none"/>
                    </w:rPr>
                  </w:pPr>
                  <w:r>
                    <w:rPr>
                      <w:color w:val="000000" w:themeColor="text1"/>
                      <w:kern w:val="0"/>
                      <w:szCs w:val="21"/>
                      <w:highlight w:val="none"/>
                    </w:rPr>
                    <w:t>旱地</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843DF">
                  <w:pPr>
                    <w:widowControl/>
                    <w:jc w:val="center"/>
                    <w:textAlignment w:val="center"/>
                    <w:rPr>
                      <w:color w:val="000000" w:themeColor="text1"/>
                      <w:szCs w:val="21"/>
                      <w:highlight w:val="none"/>
                    </w:rPr>
                  </w:pPr>
                  <w:r>
                    <w:rPr>
                      <w:color w:val="000000" w:themeColor="text1"/>
                      <w:kern w:val="0"/>
                      <w:szCs w:val="21"/>
                      <w:highlight w:val="none"/>
                    </w:rPr>
                    <w:t>5</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50F33">
                  <w:pPr>
                    <w:widowControl/>
                    <w:jc w:val="center"/>
                    <w:textAlignment w:val="center"/>
                    <w:rPr>
                      <w:color w:val="000000" w:themeColor="text1"/>
                      <w:szCs w:val="21"/>
                      <w:highlight w:val="none"/>
                    </w:rPr>
                  </w:pPr>
                  <w:r>
                    <w:rPr>
                      <w:color w:val="000000" w:themeColor="text1"/>
                      <w:kern w:val="0"/>
                      <w:szCs w:val="21"/>
                      <w:highlight w:val="none"/>
                    </w:rPr>
                    <w:t>13232.93</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9793B">
                  <w:pPr>
                    <w:jc w:val="center"/>
                    <w:rPr>
                      <w:color w:val="000000" w:themeColor="text1"/>
                      <w:szCs w:val="21"/>
                      <w:highlight w:val="none"/>
                    </w:rPr>
                  </w:pPr>
                  <w:r>
                    <w:rPr>
                      <w:rFonts w:hint="eastAsia"/>
                      <w:color w:val="000000" w:themeColor="text1"/>
                      <w:szCs w:val="21"/>
                      <w:highlight w:val="none"/>
                    </w:rPr>
                    <w:t>1.39</w:t>
                  </w:r>
                </w:p>
              </w:tc>
            </w:tr>
            <w:tr w14:paraId="6C7E7ED1">
              <w:tblPrEx>
                <w:tblCellMar>
                  <w:top w:w="0" w:type="dxa"/>
                  <w:left w:w="108" w:type="dxa"/>
                  <w:bottom w:w="0" w:type="dxa"/>
                  <w:right w:w="108" w:type="dxa"/>
                </w:tblCellMar>
              </w:tblPrEx>
              <w:trPr>
                <w:trHeight w:val="272" w:hRule="atLeast"/>
                <w:jc w:val="center"/>
              </w:trPr>
              <w:tc>
                <w:tcPr>
                  <w:tcW w:w="97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B2B4">
                  <w:pPr>
                    <w:widowControl/>
                    <w:jc w:val="center"/>
                    <w:textAlignment w:val="center"/>
                    <w:rPr>
                      <w:color w:val="000000" w:themeColor="text1"/>
                      <w:szCs w:val="21"/>
                      <w:highlight w:val="none"/>
                    </w:rPr>
                  </w:pPr>
                  <w:r>
                    <w:rPr>
                      <w:color w:val="000000" w:themeColor="text1"/>
                      <w:kern w:val="0"/>
                      <w:szCs w:val="21"/>
                      <w:highlight w:val="none"/>
                    </w:rPr>
                    <w:t>工矿仓储用地</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B0933">
                  <w:pPr>
                    <w:widowControl/>
                    <w:jc w:val="center"/>
                    <w:textAlignment w:val="center"/>
                    <w:rPr>
                      <w:color w:val="000000" w:themeColor="text1"/>
                      <w:szCs w:val="21"/>
                      <w:highlight w:val="none"/>
                    </w:rPr>
                  </w:pPr>
                  <w:r>
                    <w:rPr>
                      <w:color w:val="000000" w:themeColor="text1"/>
                      <w:kern w:val="0"/>
                      <w:szCs w:val="21"/>
                      <w:highlight w:val="none"/>
                    </w:rPr>
                    <w:t>采矿用地</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8969B">
                  <w:pPr>
                    <w:widowControl/>
                    <w:jc w:val="center"/>
                    <w:textAlignment w:val="center"/>
                    <w:rPr>
                      <w:color w:val="000000" w:themeColor="text1"/>
                      <w:szCs w:val="21"/>
                      <w:highlight w:val="none"/>
                    </w:rPr>
                  </w:pPr>
                  <w:r>
                    <w:rPr>
                      <w:color w:val="000000" w:themeColor="text1"/>
                      <w:kern w:val="0"/>
                      <w:szCs w:val="21"/>
                      <w:highlight w:val="none"/>
                    </w:rPr>
                    <w:t>1</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3804A">
                  <w:pPr>
                    <w:widowControl/>
                    <w:jc w:val="center"/>
                    <w:textAlignment w:val="center"/>
                    <w:rPr>
                      <w:color w:val="000000" w:themeColor="text1"/>
                      <w:szCs w:val="21"/>
                      <w:highlight w:val="none"/>
                    </w:rPr>
                  </w:pPr>
                  <w:r>
                    <w:rPr>
                      <w:color w:val="000000" w:themeColor="text1"/>
                      <w:kern w:val="0"/>
                      <w:szCs w:val="21"/>
                      <w:highlight w:val="none"/>
                    </w:rPr>
                    <w:t>64974.42</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02C9">
                  <w:pPr>
                    <w:jc w:val="center"/>
                    <w:rPr>
                      <w:color w:val="000000" w:themeColor="text1"/>
                      <w:szCs w:val="21"/>
                      <w:highlight w:val="none"/>
                    </w:rPr>
                  </w:pPr>
                  <w:r>
                    <w:rPr>
                      <w:rFonts w:hint="eastAsia"/>
                      <w:color w:val="000000" w:themeColor="text1"/>
                      <w:szCs w:val="21"/>
                      <w:highlight w:val="none"/>
                    </w:rPr>
                    <w:t>6.8</w:t>
                  </w:r>
                </w:p>
              </w:tc>
            </w:tr>
            <w:tr w14:paraId="16957E4F">
              <w:tblPrEx>
                <w:tblCellMar>
                  <w:top w:w="0" w:type="dxa"/>
                  <w:left w:w="108" w:type="dxa"/>
                  <w:bottom w:w="0" w:type="dxa"/>
                  <w:right w:w="108" w:type="dxa"/>
                </w:tblCellMar>
              </w:tblPrEx>
              <w:trPr>
                <w:trHeight w:val="272" w:hRule="atLeast"/>
                <w:jc w:val="center"/>
              </w:trPr>
              <w:tc>
                <w:tcPr>
                  <w:tcW w:w="97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29991">
                  <w:pPr>
                    <w:jc w:val="center"/>
                    <w:rPr>
                      <w:color w:val="000000" w:themeColor="text1"/>
                      <w:szCs w:val="21"/>
                      <w:highlight w:val="none"/>
                    </w:rPr>
                  </w:pP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9768">
                  <w:pPr>
                    <w:widowControl/>
                    <w:jc w:val="center"/>
                    <w:textAlignment w:val="center"/>
                    <w:rPr>
                      <w:color w:val="000000" w:themeColor="text1"/>
                      <w:szCs w:val="21"/>
                      <w:highlight w:val="none"/>
                    </w:rPr>
                  </w:pPr>
                  <w:r>
                    <w:rPr>
                      <w:color w:val="000000" w:themeColor="text1"/>
                      <w:kern w:val="0"/>
                      <w:szCs w:val="21"/>
                      <w:highlight w:val="none"/>
                    </w:rPr>
                    <w:t>工业用地</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FBAAD">
                  <w:pPr>
                    <w:widowControl/>
                    <w:jc w:val="center"/>
                    <w:textAlignment w:val="center"/>
                    <w:rPr>
                      <w:color w:val="000000" w:themeColor="text1"/>
                      <w:szCs w:val="21"/>
                      <w:highlight w:val="none"/>
                    </w:rPr>
                  </w:pPr>
                  <w:r>
                    <w:rPr>
                      <w:color w:val="000000" w:themeColor="text1"/>
                      <w:kern w:val="0"/>
                      <w:szCs w:val="21"/>
                      <w:highlight w:val="none"/>
                    </w:rPr>
                    <w:t>2</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E0CDB">
                  <w:pPr>
                    <w:widowControl/>
                    <w:jc w:val="center"/>
                    <w:textAlignment w:val="center"/>
                    <w:rPr>
                      <w:color w:val="000000" w:themeColor="text1"/>
                      <w:szCs w:val="21"/>
                      <w:highlight w:val="none"/>
                    </w:rPr>
                  </w:pPr>
                  <w:r>
                    <w:rPr>
                      <w:color w:val="000000" w:themeColor="text1"/>
                      <w:kern w:val="0"/>
                      <w:szCs w:val="21"/>
                      <w:highlight w:val="none"/>
                    </w:rPr>
                    <w:t>1160.30</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DB18C">
                  <w:pPr>
                    <w:jc w:val="center"/>
                    <w:rPr>
                      <w:color w:val="000000" w:themeColor="text1"/>
                      <w:szCs w:val="21"/>
                      <w:highlight w:val="none"/>
                    </w:rPr>
                  </w:pPr>
                  <w:r>
                    <w:rPr>
                      <w:rFonts w:hint="eastAsia"/>
                      <w:color w:val="000000" w:themeColor="text1"/>
                      <w:szCs w:val="21"/>
                      <w:highlight w:val="none"/>
                    </w:rPr>
                    <w:t>0.12</w:t>
                  </w:r>
                </w:p>
              </w:tc>
            </w:tr>
            <w:tr w14:paraId="3D19BA6F">
              <w:tblPrEx>
                <w:tblCellMar>
                  <w:top w:w="0" w:type="dxa"/>
                  <w:left w:w="108" w:type="dxa"/>
                  <w:bottom w:w="0" w:type="dxa"/>
                  <w:right w:w="108" w:type="dxa"/>
                </w:tblCellMar>
              </w:tblPrEx>
              <w:trPr>
                <w:trHeight w:val="272" w:hRule="atLeast"/>
                <w:jc w:val="center"/>
              </w:trPr>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D1E55">
                  <w:pPr>
                    <w:widowControl/>
                    <w:jc w:val="center"/>
                    <w:textAlignment w:val="center"/>
                    <w:rPr>
                      <w:color w:val="000000" w:themeColor="text1"/>
                      <w:szCs w:val="21"/>
                      <w:highlight w:val="none"/>
                    </w:rPr>
                  </w:pPr>
                  <w:r>
                    <w:rPr>
                      <w:color w:val="000000" w:themeColor="text1"/>
                      <w:kern w:val="0"/>
                      <w:szCs w:val="21"/>
                      <w:highlight w:val="none"/>
                    </w:rPr>
                    <w:t>交通建设用地</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C8654">
                  <w:pPr>
                    <w:widowControl/>
                    <w:jc w:val="center"/>
                    <w:textAlignment w:val="center"/>
                    <w:rPr>
                      <w:color w:val="000000" w:themeColor="text1"/>
                      <w:szCs w:val="21"/>
                      <w:highlight w:val="none"/>
                    </w:rPr>
                  </w:pPr>
                  <w:r>
                    <w:rPr>
                      <w:color w:val="000000" w:themeColor="text1"/>
                      <w:kern w:val="0"/>
                      <w:szCs w:val="21"/>
                      <w:highlight w:val="none"/>
                    </w:rPr>
                    <w:t>乡镇村道路</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AEB69">
                  <w:pPr>
                    <w:widowControl/>
                    <w:jc w:val="center"/>
                    <w:textAlignment w:val="center"/>
                    <w:rPr>
                      <w:color w:val="000000" w:themeColor="text1"/>
                      <w:szCs w:val="21"/>
                      <w:highlight w:val="none"/>
                    </w:rPr>
                  </w:pPr>
                  <w:r>
                    <w:rPr>
                      <w:color w:val="000000" w:themeColor="text1"/>
                      <w:kern w:val="0"/>
                      <w:szCs w:val="21"/>
                      <w:highlight w:val="none"/>
                    </w:rPr>
                    <w:t>3</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ACF40">
                  <w:pPr>
                    <w:widowControl/>
                    <w:jc w:val="center"/>
                    <w:textAlignment w:val="center"/>
                    <w:rPr>
                      <w:color w:val="000000" w:themeColor="text1"/>
                      <w:szCs w:val="21"/>
                      <w:highlight w:val="none"/>
                    </w:rPr>
                  </w:pPr>
                  <w:r>
                    <w:rPr>
                      <w:color w:val="000000" w:themeColor="text1"/>
                      <w:kern w:val="0"/>
                      <w:szCs w:val="21"/>
                      <w:highlight w:val="none"/>
                    </w:rPr>
                    <w:t>38270.70</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0E35E">
                  <w:pPr>
                    <w:jc w:val="center"/>
                    <w:rPr>
                      <w:color w:val="000000" w:themeColor="text1"/>
                      <w:szCs w:val="21"/>
                      <w:highlight w:val="none"/>
                    </w:rPr>
                  </w:pPr>
                  <w:r>
                    <w:rPr>
                      <w:rFonts w:hint="eastAsia"/>
                      <w:color w:val="000000" w:themeColor="text1"/>
                      <w:szCs w:val="21"/>
                      <w:highlight w:val="none"/>
                    </w:rPr>
                    <w:t>4.01</w:t>
                  </w:r>
                </w:p>
              </w:tc>
            </w:tr>
            <w:tr w14:paraId="11FD24EE">
              <w:tblPrEx>
                <w:tblCellMar>
                  <w:top w:w="0" w:type="dxa"/>
                  <w:left w:w="108" w:type="dxa"/>
                  <w:bottom w:w="0" w:type="dxa"/>
                  <w:right w:w="108" w:type="dxa"/>
                </w:tblCellMar>
              </w:tblPrEx>
              <w:trPr>
                <w:trHeight w:val="272" w:hRule="atLeast"/>
                <w:jc w:val="center"/>
              </w:trPr>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D9B9C">
                  <w:pPr>
                    <w:widowControl/>
                    <w:jc w:val="center"/>
                    <w:textAlignment w:val="center"/>
                    <w:rPr>
                      <w:color w:val="000000" w:themeColor="text1"/>
                      <w:szCs w:val="21"/>
                      <w:highlight w:val="none"/>
                    </w:rPr>
                  </w:pPr>
                  <w:r>
                    <w:rPr>
                      <w:color w:val="000000" w:themeColor="text1"/>
                      <w:kern w:val="0"/>
                      <w:szCs w:val="21"/>
                      <w:highlight w:val="none"/>
                    </w:rPr>
                    <w:t>其他</w:t>
                  </w:r>
                </w:p>
              </w:tc>
              <w:tc>
                <w:tcPr>
                  <w:tcW w:w="8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9850E">
                  <w:pPr>
                    <w:widowControl/>
                    <w:jc w:val="center"/>
                    <w:textAlignment w:val="center"/>
                    <w:rPr>
                      <w:color w:val="000000" w:themeColor="text1"/>
                      <w:szCs w:val="21"/>
                      <w:highlight w:val="none"/>
                    </w:rPr>
                  </w:pPr>
                  <w:r>
                    <w:rPr>
                      <w:color w:val="000000" w:themeColor="text1"/>
                      <w:kern w:val="0"/>
                      <w:szCs w:val="21"/>
                      <w:highlight w:val="none"/>
                    </w:rPr>
                    <w:t>裸土地</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D1159">
                  <w:pPr>
                    <w:widowControl/>
                    <w:jc w:val="center"/>
                    <w:textAlignment w:val="center"/>
                    <w:rPr>
                      <w:color w:val="000000" w:themeColor="text1"/>
                      <w:szCs w:val="21"/>
                      <w:highlight w:val="none"/>
                    </w:rPr>
                  </w:pPr>
                  <w:r>
                    <w:rPr>
                      <w:color w:val="000000" w:themeColor="text1"/>
                      <w:kern w:val="0"/>
                      <w:szCs w:val="21"/>
                      <w:highlight w:val="none"/>
                    </w:rPr>
                    <w:t>5</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A8A7D">
                  <w:pPr>
                    <w:widowControl/>
                    <w:jc w:val="center"/>
                    <w:textAlignment w:val="center"/>
                    <w:rPr>
                      <w:color w:val="000000" w:themeColor="text1"/>
                      <w:szCs w:val="21"/>
                      <w:highlight w:val="none"/>
                    </w:rPr>
                  </w:pPr>
                  <w:r>
                    <w:rPr>
                      <w:color w:val="000000" w:themeColor="text1"/>
                      <w:kern w:val="0"/>
                      <w:szCs w:val="21"/>
                      <w:highlight w:val="none"/>
                    </w:rPr>
                    <w:t>11381.05</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BBD42">
                  <w:pPr>
                    <w:jc w:val="center"/>
                    <w:rPr>
                      <w:color w:val="000000" w:themeColor="text1"/>
                      <w:szCs w:val="21"/>
                      <w:highlight w:val="none"/>
                    </w:rPr>
                  </w:pPr>
                  <w:r>
                    <w:rPr>
                      <w:rFonts w:hint="eastAsia"/>
                      <w:color w:val="000000" w:themeColor="text1"/>
                      <w:szCs w:val="21"/>
                      <w:highlight w:val="none"/>
                    </w:rPr>
                    <w:t>1.19</w:t>
                  </w:r>
                </w:p>
              </w:tc>
            </w:tr>
            <w:tr w14:paraId="0B9F0A2D">
              <w:tblPrEx>
                <w:tblCellMar>
                  <w:top w:w="0" w:type="dxa"/>
                  <w:left w:w="108" w:type="dxa"/>
                  <w:bottom w:w="0" w:type="dxa"/>
                  <w:right w:w="108" w:type="dxa"/>
                </w:tblCellMar>
              </w:tblPrEx>
              <w:trPr>
                <w:trHeight w:val="272" w:hRule="atLeast"/>
                <w:jc w:val="center"/>
              </w:trPr>
              <w:tc>
                <w:tcPr>
                  <w:tcW w:w="1815"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B4A5F">
                  <w:pPr>
                    <w:widowControl/>
                    <w:jc w:val="center"/>
                    <w:textAlignment w:val="center"/>
                    <w:rPr>
                      <w:color w:val="000000" w:themeColor="text1"/>
                      <w:kern w:val="0"/>
                      <w:szCs w:val="21"/>
                      <w:highlight w:val="none"/>
                    </w:rPr>
                  </w:pPr>
                  <w:r>
                    <w:rPr>
                      <w:color w:val="000000" w:themeColor="text1"/>
                      <w:kern w:val="0"/>
                      <w:szCs w:val="21"/>
                      <w:highlight w:val="none"/>
                    </w:rPr>
                    <w:t>合计</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0FC81">
                  <w:pPr>
                    <w:widowControl/>
                    <w:jc w:val="center"/>
                    <w:textAlignment w:val="center"/>
                    <w:rPr>
                      <w:color w:val="000000" w:themeColor="text1"/>
                      <w:kern w:val="0"/>
                      <w:szCs w:val="21"/>
                      <w:highlight w:val="none"/>
                    </w:rPr>
                  </w:pPr>
                  <w:r>
                    <w:rPr>
                      <w:rFonts w:hint="eastAsia"/>
                      <w:color w:val="000000" w:themeColor="text1"/>
                      <w:kern w:val="0"/>
                      <w:szCs w:val="21"/>
                      <w:highlight w:val="none"/>
                    </w:rPr>
                    <w:t>74</w:t>
                  </w:r>
                </w:p>
              </w:tc>
              <w:tc>
                <w:tcPr>
                  <w:tcW w:w="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26823">
                  <w:pPr>
                    <w:widowControl/>
                    <w:jc w:val="right"/>
                    <w:textAlignment w:val="center"/>
                    <w:rPr>
                      <w:color w:val="000000" w:themeColor="text1"/>
                      <w:szCs w:val="21"/>
                      <w:highlight w:val="none"/>
                    </w:rPr>
                  </w:pPr>
                  <w:r>
                    <w:rPr>
                      <w:color w:val="000000" w:themeColor="text1"/>
                      <w:kern w:val="0"/>
                      <w:szCs w:val="21"/>
                      <w:highlight w:val="none"/>
                    </w:rPr>
                    <w:t>954934.4534</w:t>
                  </w:r>
                </w:p>
              </w:tc>
              <w:tc>
                <w:tcPr>
                  <w:tcW w:w="1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4B513">
                  <w:pPr>
                    <w:jc w:val="center"/>
                    <w:rPr>
                      <w:color w:val="000000" w:themeColor="text1"/>
                      <w:szCs w:val="21"/>
                      <w:highlight w:val="none"/>
                    </w:rPr>
                  </w:pPr>
                  <w:r>
                    <w:rPr>
                      <w:rFonts w:hint="eastAsia"/>
                      <w:color w:val="000000" w:themeColor="text1"/>
                      <w:szCs w:val="21"/>
                      <w:highlight w:val="none"/>
                    </w:rPr>
                    <w:t>100</w:t>
                  </w:r>
                </w:p>
              </w:tc>
            </w:tr>
          </w:tbl>
          <w:p w14:paraId="46D1D0E3">
            <w:pPr>
              <w:pStyle w:val="14"/>
              <w:spacing w:before="0" w:after="0" w:line="240" w:lineRule="auto"/>
              <w:ind w:right="0"/>
              <w:jc w:val="center"/>
              <w:rPr>
                <w:color w:val="000000" w:themeColor="text1"/>
                <w:sz w:val="24"/>
                <w:szCs w:val="24"/>
                <w:highlight w:val="none"/>
              </w:rPr>
            </w:pPr>
            <w:r>
              <w:rPr>
                <w:color w:val="000000" w:themeColor="text1"/>
                <w:sz w:val="24"/>
                <w:szCs w:val="24"/>
                <w:highlight w:val="none"/>
              </w:rPr>
              <w:t>表3</w:t>
            </w:r>
            <w:r>
              <w:rPr>
                <w:rFonts w:hint="eastAsia"/>
                <w:color w:val="000000" w:themeColor="text1"/>
                <w:sz w:val="24"/>
                <w:szCs w:val="24"/>
                <w:highlight w:val="none"/>
              </w:rPr>
              <w:t>-2项目</w:t>
            </w:r>
            <w:r>
              <w:rPr>
                <w:color w:val="000000" w:themeColor="text1"/>
                <w:sz w:val="24"/>
                <w:szCs w:val="24"/>
                <w:highlight w:val="none"/>
              </w:rPr>
              <w:t>区土地利用现状统计结果</w:t>
            </w:r>
          </w:p>
          <w:tbl>
            <w:tblPr>
              <w:tblStyle w:val="26"/>
              <w:tblW w:w="7664" w:type="dxa"/>
              <w:jc w:val="center"/>
              <w:tblLayout w:type="fixed"/>
              <w:tblCellMar>
                <w:top w:w="0" w:type="dxa"/>
                <w:left w:w="108" w:type="dxa"/>
                <w:bottom w:w="0" w:type="dxa"/>
                <w:right w:w="108" w:type="dxa"/>
              </w:tblCellMar>
            </w:tblPr>
            <w:tblGrid>
              <w:gridCol w:w="1103"/>
              <w:gridCol w:w="1513"/>
              <w:gridCol w:w="1573"/>
              <w:gridCol w:w="1782"/>
              <w:gridCol w:w="1693"/>
            </w:tblGrid>
            <w:tr w14:paraId="75F3CF51">
              <w:tblPrEx>
                <w:tblCellMar>
                  <w:top w:w="0" w:type="dxa"/>
                  <w:left w:w="108" w:type="dxa"/>
                  <w:bottom w:w="0" w:type="dxa"/>
                  <w:right w:w="108" w:type="dxa"/>
                </w:tblCellMar>
              </w:tblPrEx>
              <w:trPr>
                <w:trHeight w:val="272"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31ABC">
                  <w:pPr>
                    <w:widowControl/>
                    <w:jc w:val="center"/>
                    <w:textAlignment w:val="center"/>
                    <w:rPr>
                      <w:color w:val="000000" w:themeColor="text1"/>
                      <w:szCs w:val="21"/>
                      <w:highlight w:val="none"/>
                    </w:rPr>
                  </w:pPr>
                  <w:r>
                    <w:rPr>
                      <w:color w:val="000000" w:themeColor="text1"/>
                      <w:kern w:val="0"/>
                      <w:szCs w:val="21"/>
                      <w:highlight w:val="none"/>
                    </w:rPr>
                    <w:t>一级类型</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5D0B2">
                  <w:pPr>
                    <w:widowControl/>
                    <w:jc w:val="center"/>
                    <w:textAlignment w:val="center"/>
                    <w:rPr>
                      <w:color w:val="000000" w:themeColor="text1"/>
                      <w:szCs w:val="21"/>
                      <w:highlight w:val="none"/>
                    </w:rPr>
                  </w:pPr>
                  <w:r>
                    <w:rPr>
                      <w:color w:val="000000" w:themeColor="text1"/>
                      <w:kern w:val="0"/>
                      <w:szCs w:val="21"/>
                      <w:highlight w:val="none"/>
                    </w:rPr>
                    <w:t>二级类型</w:t>
                  </w: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CEA08">
                  <w:pPr>
                    <w:widowControl/>
                    <w:jc w:val="center"/>
                    <w:textAlignment w:val="center"/>
                    <w:rPr>
                      <w:color w:val="000000" w:themeColor="text1"/>
                      <w:szCs w:val="21"/>
                      <w:highlight w:val="none"/>
                    </w:rPr>
                  </w:pPr>
                  <w:r>
                    <w:rPr>
                      <w:color w:val="000000" w:themeColor="text1"/>
                      <w:kern w:val="0"/>
                      <w:szCs w:val="21"/>
                      <w:highlight w:val="none"/>
                    </w:rPr>
                    <w:t>斑块数（个）</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8E49D">
                  <w:pPr>
                    <w:widowControl/>
                    <w:jc w:val="center"/>
                    <w:textAlignment w:val="center"/>
                    <w:rPr>
                      <w:color w:val="000000" w:themeColor="text1"/>
                      <w:szCs w:val="21"/>
                      <w:highlight w:val="none"/>
                    </w:rPr>
                  </w:pPr>
                  <w:r>
                    <w:rPr>
                      <w:color w:val="000000" w:themeColor="text1"/>
                      <w:kern w:val="0"/>
                      <w:szCs w:val="21"/>
                      <w:highlight w:val="none"/>
                    </w:rPr>
                    <w:t>面积（平米）</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3BEB5">
                  <w:pPr>
                    <w:widowControl/>
                    <w:jc w:val="center"/>
                    <w:textAlignment w:val="center"/>
                    <w:rPr>
                      <w:color w:val="000000" w:themeColor="text1"/>
                      <w:kern w:val="0"/>
                      <w:szCs w:val="21"/>
                      <w:highlight w:val="none"/>
                    </w:rPr>
                  </w:pPr>
                  <w:r>
                    <w:rPr>
                      <w:color w:val="000000" w:themeColor="text1"/>
                      <w:kern w:val="0"/>
                      <w:szCs w:val="21"/>
                      <w:highlight w:val="none"/>
                    </w:rPr>
                    <w:t>占项目区面积的%</w:t>
                  </w:r>
                </w:p>
              </w:tc>
            </w:tr>
            <w:tr w14:paraId="5C76E385">
              <w:tblPrEx>
                <w:tblCellMar>
                  <w:top w:w="0" w:type="dxa"/>
                  <w:left w:w="108" w:type="dxa"/>
                  <w:bottom w:w="0" w:type="dxa"/>
                  <w:right w:w="108" w:type="dxa"/>
                </w:tblCellMar>
              </w:tblPrEx>
              <w:trPr>
                <w:trHeight w:val="272"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F9F7E">
                  <w:pPr>
                    <w:widowControl/>
                    <w:jc w:val="center"/>
                    <w:textAlignment w:val="center"/>
                    <w:rPr>
                      <w:color w:val="000000" w:themeColor="text1"/>
                      <w:szCs w:val="21"/>
                      <w:highlight w:val="none"/>
                    </w:rPr>
                  </w:pPr>
                  <w:r>
                    <w:rPr>
                      <w:color w:val="000000" w:themeColor="text1"/>
                      <w:kern w:val="0"/>
                      <w:szCs w:val="21"/>
                      <w:highlight w:val="none"/>
                    </w:rPr>
                    <w:t>草地</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C491">
                  <w:pPr>
                    <w:widowControl/>
                    <w:jc w:val="center"/>
                    <w:textAlignment w:val="center"/>
                    <w:rPr>
                      <w:color w:val="000000" w:themeColor="text1"/>
                      <w:szCs w:val="21"/>
                      <w:highlight w:val="none"/>
                    </w:rPr>
                  </w:pPr>
                  <w:r>
                    <w:rPr>
                      <w:color w:val="000000" w:themeColor="text1"/>
                      <w:kern w:val="0"/>
                      <w:szCs w:val="21"/>
                      <w:highlight w:val="none"/>
                    </w:rPr>
                    <w:t>天然草地</w:t>
                  </w: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E442F">
                  <w:pPr>
                    <w:widowControl/>
                    <w:jc w:val="center"/>
                    <w:textAlignment w:val="center"/>
                    <w:rPr>
                      <w:color w:val="000000" w:themeColor="text1"/>
                      <w:szCs w:val="21"/>
                      <w:highlight w:val="none"/>
                    </w:rPr>
                  </w:pPr>
                  <w:r>
                    <w:rPr>
                      <w:color w:val="000000" w:themeColor="text1"/>
                      <w:kern w:val="0"/>
                      <w:szCs w:val="21"/>
                      <w:highlight w:val="none"/>
                    </w:rPr>
                    <w:t>1</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21A76">
                  <w:pPr>
                    <w:widowControl/>
                    <w:jc w:val="center"/>
                    <w:textAlignment w:val="center"/>
                    <w:rPr>
                      <w:color w:val="000000" w:themeColor="text1"/>
                      <w:szCs w:val="21"/>
                      <w:highlight w:val="none"/>
                    </w:rPr>
                  </w:pPr>
                  <w:r>
                    <w:rPr>
                      <w:color w:val="000000" w:themeColor="text1"/>
                      <w:kern w:val="0"/>
                      <w:szCs w:val="21"/>
                      <w:highlight w:val="none"/>
                    </w:rPr>
                    <w:t>5107.84</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1224F">
                  <w:pPr>
                    <w:widowControl/>
                    <w:jc w:val="center"/>
                    <w:textAlignment w:val="center"/>
                    <w:rPr>
                      <w:color w:val="000000" w:themeColor="text1"/>
                      <w:kern w:val="0"/>
                      <w:szCs w:val="21"/>
                      <w:highlight w:val="none"/>
                    </w:rPr>
                  </w:pPr>
                  <w:r>
                    <w:rPr>
                      <w:rFonts w:hint="eastAsia"/>
                      <w:color w:val="000000" w:themeColor="text1"/>
                      <w:kern w:val="0"/>
                      <w:szCs w:val="21"/>
                      <w:highlight w:val="none"/>
                    </w:rPr>
                    <w:t>85</w:t>
                  </w:r>
                </w:p>
              </w:tc>
            </w:tr>
            <w:tr w14:paraId="487EC64C">
              <w:tblPrEx>
                <w:tblCellMar>
                  <w:top w:w="0" w:type="dxa"/>
                  <w:left w:w="108" w:type="dxa"/>
                  <w:bottom w:w="0" w:type="dxa"/>
                  <w:right w:w="108" w:type="dxa"/>
                </w:tblCellMar>
              </w:tblPrEx>
              <w:trPr>
                <w:trHeight w:val="272"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571F4">
                  <w:pPr>
                    <w:widowControl/>
                    <w:jc w:val="center"/>
                    <w:textAlignment w:val="center"/>
                    <w:rPr>
                      <w:color w:val="000000" w:themeColor="text1"/>
                      <w:kern w:val="0"/>
                      <w:szCs w:val="21"/>
                      <w:highlight w:val="none"/>
                    </w:rPr>
                  </w:pPr>
                  <w:r>
                    <w:rPr>
                      <w:rFonts w:hint="eastAsia"/>
                      <w:color w:val="000000" w:themeColor="text1"/>
                      <w:kern w:val="0"/>
                      <w:szCs w:val="21"/>
                      <w:highlight w:val="none"/>
                    </w:rPr>
                    <w:t>林地</w:t>
                  </w:r>
                </w:p>
              </w:tc>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A11FE">
                  <w:pPr>
                    <w:widowControl/>
                    <w:jc w:val="center"/>
                    <w:textAlignment w:val="center"/>
                    <w:rPr>
                      <w:color w:val="000000" w:themeColor="text1"/>
                      <w:kern w:val="0"/>
                      <w:szCs w:val="21"/>
                      <w:highlight w:val="none"/>
                    </w:rPr>
                  </w:pPr>
                  <w:r>
                    <w:rPr>
                      <w:rFonts w:hint="eastAsia"/>
                      <w:color w:val="000000" w:themeColor="text1"/>
                      <w:kern w:val="0"/>
                      <w:szCs w:val="21"/>
                      <w:highlight w:val="none"/>
                    </w:rPr>
                    <w:t>乔木林地</w:t>
                  </w:r>
                </w:p>
              </w:tc>
              <w:tc>
                <w:tcPr>
                  <w:tcW w:w="15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839CD">
                  <w:pPr>
                    <w:widowControl/>
                    <w:jc w:val="center"/>
                    <w:textAlignment w:val="center"/>
                    <w:rPr>
                      <w:color w:val="000000" w:themeColor="text1"/>
                      <w:kern w:val="0"/>
                      <w:szCs w:val="21"/>
                      <w:highlight w:val="none"/>
                    </w:rPr>
                  </w:pPr>
                  <w:r>
                    <w:rPr>
                      <w:color w:val="000000" w:themeColor="text1"/>
                      <w:kern w:val="0"/>
                      <w:szCs w:val="21"/>
                      <w:highlight w:val="none"/>
                    </w:rPr>
                    <w:t>1</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4E33">
                  <w:pPr>
                    <w:widowControl/>
                    <w:jc w:val="center"/>
                    <w:textAlignment w:val="center"/>
                    <w:rPr>
                      <w:color w:val="000000" w:themeColor="text1"/>
                      <w:szCs w:val="21"/>
                      <w:highlight w:val="none"/>
                    </w:rPr>
                  </w:pPr>
                  <w:r>
                    <w:rPr>
                      <w:color w:val="000000" w:themeColor="text1"/>
                      <w:kern w:val="0"/>
                      <w:szCs w:val="21"/>
                      <w:highlight w:val="none"/>
                    </w:rPr>
                    <w:t>891.11</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82019">
                  <w:pPr>
                    <w:widowControl/>
                    <w:jc w:val="center"/>
                    <w:textAlignment w:val="center"/>
                    <w:rPr>
                      <w:color w:val="000000" w:themeColor="text1"/>
                      <w:kern w:val="0"/>
                      <w:szCs w:val="21"/>
                      <w:highlight w:val="none"/>
                    </w:rPr>
                  </w:pPr>
                  <w:r>
                    <w:rPr>
                      <w:rFonts w:hint="eastAsia"/>
                      <w:color w:val="000000" w:themeColor="text1"/>
                      <w:kern w:val="0"/>
                      <w:szCs w:val="21"/>
                      <w:highlight w:val="none"/>
                    </w:rPr>
                    <w:t>15</w:t>
                  </w:r>
                </w:p>
              </w:tc>
            </w:tr>
            <w:tr w14:paraId="055714CB">
              <w:tblPrEx>
                <w:tblCellMar>
                  <w:top w:w="0" w:type="dxa"/>
                  <w:left w:w="108" w:type="dxa"/>
                  <w:bottom w:w="0" w:type="dxa"/>
                  <w:right w:w="108" w:type="dxa"/>
                </w:tblCellMar>
              </w:tblPrEx>
              <w:trPr>
                <w:trHeight w:val="272" w:hRule="atLeast"/>
                <w:jc w:val="center"/>
              </w:trPr>
              <w:tc>
                <w:tcPr>
                  <w:tcW w:w="41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2C61C">
                  <w:pPr>
                    <w:widowControl/>
                    <w:jc w:val="center"/>
                    <w:textAlignment w:val="center"/>
                    <w:rPr>
                      <w:color w:val="000000" w:themeColor="text1"/>
                      <w:kern w:val="0"/>
                      <w:szCs w:val="21"/>
                      <w:highlight w:val="none"/>
                    </w:rPr>
                  </w:pPr>
                  <w:r>
                    <w:rPr>
                      <w:rFonts w:hint="eastAsia"/>
                      <w:color w:val="000000" w:themeColor="text1"/>
                      <w:kern w:val="0"/>
                      <w:szCs w:val="21"/>
                      <w:highlight w:val="none"/>
                    </w:rPr>
                    <w:t>合计</w:t>
                  </w:r>
                </w:p>
              </w:tc>
              <w:tc>
                <w:tcPr>
                  <w:tcW w:w="17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BAB2E">
                  <w:pPr>
                    <w:widowControl/>
                    <w:jc w:val="center"/>
                    <w:textAlignment w:val="center"/>
                    <w:rPr>
                      <w:color w:val="000000" w:themeColor="text1"/>
                      <w:szCs w:val="21"/>
                      <w:highlight w:val="none"/>
                    </w:rPr>
                  </w:pPr>
                  <w:r>
                    <w:rPr>
                      <w:color w:val="000000" w:themeColor="text1"/>
                      <w:kern w:val="0"/>
                      <w:szCs w:val="21"/>
                      <w:highlight w:val="none"/>
                    </w:rPr>
                    <w:t>5998.950892</w:t>
                  </w:r>
                </w:p>
              </w:tc>
              <w:tc>
                <w:tcPr>
                  <w:tcW w:w="16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92239">
                  <w:pPr>
                    <w:widowControl/>
                    <w:jc w:val="center"/>
                    <w:textAlignment w:val="center"/>
                    <w:rPr>
                      <w:color w:val="000000" w:themeColor="text1"/>
                      <w:kern w:val="0"/>
                      <w:szCs w:val="21"/>
                      <w:highlight w:val="none"/>
                    </w:rPr>
                  </w:pPr>
                  <w:r>
                    <w:rPr>
                      <w:rFonts w:hint="eastAsia"/>
                      <w:color w:val="000000" w:themeColor="text1"/>
                      <w:kern w:val="0"/>
                      <w:szCs w:val="21"/>
                      <w:highlight w:val="none"/>
                    </w:rPr>
                    <w:t>100</w:t>
                  </w:r>
                </w:p>
              </w:tc>
            </w:tr>
          </w:tbl>
          <w:p w14:paraId="0EFB8852">
            <w:pPr>
              <w:pStyle w:val="14"/>
              <w:spacing w:before="0" w:after="0" w:line="360" w:lineRule="auto"/>
              <w:ind w:right="0" w:firstLine="480" w:firstLineChars="200"/>
              <w:rPr>
                <w:color w:val="000000" w:themeColor="text1"/>
                <w:sz w:val="24"/>
                <w:szCs w:val="24"/>
                <w:highlight w:val="none"/>
              </w:rPr>
            </w:pPr>
            <w:r>
              <w:rPr>
                <w:color w:val="000000" w:themeColor="text1"/>
                <w:sz w:val="24"/>
                <w:szCs w:val="24"/>
                <w:highlight w:val="none"/>
              </w:rPr>
              <w:t>由土地利用现状统计结果可知，项目区</w:t>
            </w:r>
            <w:r>
              <w:rPr>
                <w:rFonts w:hint="eastAsia"/>
                <w:color w:val="000000" w:themeColor="text1"/>
                <w:sz w:val="24"/>
                <w:szCs w:val="24"/>
                <w:highlight w:val="none"/>
              </w:rPr>
              <w:t>土地利用类型主要为乔木林地、天然草地。</w:t>
            </w:r>
          </w:p>
          <w:p w14:paraId="2CB56557">
            <w:pPr>
              <w:spacing w:line="360" w:lineRule="auto"/>
              <w:ind w:firstLine="480" w:firstLineChars="200"/>
              <w:rPr>
                <w:color w:val="000000" w:themeColor="text1"/>
                <w:sz w:val="24"/>
                <w:highlight w:val="none"/>
              </w:rPr>
            </w:pPr>
            <w:r>
              <w:rPr>
                <w:color w:val="000000" w:themeColor="text1"/>
                <w:kern w:val="0"/>
                <w:sz w:val="24"/>
                <w:highlight w:val="none"/>
              </w:rPr>
              <w:t>评价区土地利用类型以天然草地为主，面积为719977.17m</w:t>
            </w:r>
            <w:r>
              <w:rPr>
                <w:color w:val="000000" w:themeColor="text1"/>
                <w:kern w:val="0"/>
                <w:sz w:val="24"/>
                <w:highlight w:val="none"/>
                <w:vertAlign w:val="superscript"/>
              </w:rPr>
              <w:t>2</w:t>
            </w:r>
            <w:r>
              <w:rPr>
                <w:color w:val="000000" w:themeColor="text1"/>
                <w:kern w:val="0"/>
                <w:sz w:val="24"/>
                <w:highlight w:val="none"/>
              </w:rPr>
              <w:t>，占评价区面积的</w:t>
            </w:r>
            <w:r>
              <w:rPr>
                <w:rFonts w:hint="eastAsia"/>
                <w:color w:val="000000" w:themeColor="text1"/>
                <w:kern w:val="0"/>
                <w:sz w:val="24"/>
                <w:highlight w:val="none"/>
              </w:rPr>
              <w:t>75.4</w:t>
            </w:r>
            <w:r>
              <w:rPr>
                <w:color w:val="000000" w:themeColor="text1"/>
                <w:kern w:val="0"/>
                <w:sz w:val="24"/>
                <w:highlight w:val="none"/>
              </w:rPr>
              <w:t>%，其次是乔木林地、</w:t>
            </w:r>
            <w:r>
              <w:rPr>
                <w:rFonts w:hint="eastAsia"/>
                <w:color w:val="000000" w:themeColor="text1"/>
                <w:kern w:val="0"/>
                <w:sz w:val="24"/>
                <w:highlight w:val="none"/>
              </w:rPr>
              <w:t>采矿用</w:t>
            </w:r>
            <w:r>
              <w:rPr>
                <w:color w:val="000000" w:themeColor="text1"/>
                <w:kern w:val="0"/>
                <w:sz w:val="24"/>
                <w:highlight w:val="none"/>
              </w:rPr>
              <w:t>地、乡镇村道路、</w:t>
            </w:r>
            <w:r>
              <w:rPr>
                <w:rFonts w:hint="eastAsia"/>
                <w:color w:val="000000" w:themeColor="text1"/>
                <w:kern w:val="0"/>
                <w:sz w:val="24"/>
                <w:highlight w:val="none"/>
              </w:rPr>
              <w:t>旱地</w:t>
            </w:r>
            <w:r>
              <w:rPr>
                <w:color w:val="000000" w:themeColor="text1"/>
                <w:kern w:val="0"/>
                <w:sz w:val="24"/>
                <w:highlight w:val="none"/>
              </w:rPr>
              <w:t>、</w:t>
            </w:r>
            <w:r>
              <w:rPr>
                <w:rFonts w:hint="eastAsia"/>
                <w:color w:val="000000" w:themeColor="text1"/>
                <w:kern w:val="0"/>
                <w:sz w:val="24"/>
                <w:highlight w:val="none"/>
              </w:rPr>
              <w:t>裸土地及工业用地</w:t>
            </w:r>
            <w:r>
              <w:rPr>
                <w:color w:val="000000" w:themeColor="text1"/>
                <w:kern w:val="0"/>
                <w:sz w:val="24"/>
                <w:highlight w:val="none"/>
              </w:rPr>
              <w:t>，分别占评价区面积的</w:t>
            </w:r>
            <w:r>
              <w:rPr>
                <w:rFonts w:hint="eastAsia"/>
                <w:color w:val="000000" w:themeColor="text1"/>
                <w:kern w:val="0"/>
                <w:sz w:val="24"/>
                <w:highlight w:val="none"/>
              </w:rPr>
              <w:t>11.09</w:t>
            </w:r>
            <w:r>
              <w:rPr>
                <w:color w:val="000000" w:themeColor="text1"/>
                <w:sz w:val="24"/>
                <w:highlight w:val="none"/>
              </w:rPr>
              <w:t>%</w:t>
            </w:r>
            <w:r>
              <w:rPr>
                <w:rFonts w:hint="eastAsia"/>
                <w:color w:val="000000" w:themeColor="text1"/>
                <w:sz w:val="24"/>
                <w:highlight w:val="none"/>
              </w:rPr>
              <w:t>、6.8</w:t>
            </w:r>
            <w:r>
              <w:rPr>
                <w:color w:val="000000" w:themeColor="text1"/>
                <w:sz w:val="24"/>
                <w:highlight w:val="none"/>
              </w:rPr>
              <w:t>%</w:t>
            </w:r>
            <w:r>
              <w:rPr>
                <w:rFonts w:hint="eastAsia"/>
                <w:color w:val="000000" w:themeColor="text1"/>
                <w:sz w:val="24"/>
                <w:highlight w:val="none"/>
              </w:rPr>
              <w:t>、4.01</w:t>
            </w:r>
            <w:r>
              <w:rPr>
                <w:color w:val="000000" w:themeColor="text1"/>
                <w:sz w:val="24"/>
                <w:highlight w:val="none"/>
              </w:rPr>
              <w:t>%</w:t>
            </w:r>
            <w:r>
              <w:rPr>
                <w:rFonts w:hint="eastAsia"/>
                <w:color w:val="000000" w:themeColor="text1"/>
                <w:sz w:val="24"/>
                <w:highlight w:val="none"/>
              </w:rPr>
              <w:t>、1.39</w:t>
            </w:r>
            <w:r>
              <w:rPr>
                <w:color w:val="000000" w:themeColor="text1"/>
                <w:sz w:val="24"/>
                <w:highlight w:val="none"/>
              </w:rPr>
              <w:t>%</w:t>
            </w:r>
            <w:r>
              <w:rPr>
                <w:rFonts w:hint="eastAsia"/>
                <w:color w:val="000000" w:themeColor="text1"/>
                <w:sz w:val="24"/>
                <w:highlight w:val="none"/>
              </w:rPr>
              <w:t>、1.19</w:t>
            </w:r>
            <w:r>
              <w:rPr>
                <w:color w:val="000000" w:themeColor="text1"/>
                <w:sz w:val="24"/>
                <w:highlight w:val="none"/>
              </w:rPr>
              <w:t>%</w:t>
            </w:r>
            <w:r>
              <w:rPr>
                <w:rFonts w:hint="eastAsia"/>
                <w:color w:val="000000" w:themeColor="text1"/>
                <w:sz w:val="24"/>
                <w:highlight w:val="none"/>
              </w:rPr>
              <w:t>、0.12</w:t>
            </w:r>
            <w:r>
              <w:rPr>
                <w:color w:val="000000" w:themeColor="text1"/>
                <w:sz w:val="24"/>
                <w:highlight w:val="none"/>
              </w:rPr>
              <w:t>%</w:t>
            </w:r>
            <w:r>
              <w:rPr>
                <w:rFonts w:hint="eastAsia"/>
                <w:color w:val="000000" w:themeColor="text1"/>
                <w:sz w:val="24"/>
                <w:highlight w:val="none"/>
              </w:rPr>
              <w:t>。</w:t>
            </w:r>
          </w:p>
          <w:p w14:paraId="63E164BC">
            <w:pPr>
              <w:jc w:val="center"/>
              <w:rPr>
                <w:color w:val="000000" w:themeColor="text1"/>
                <w:szCs w:val="21"/>
                <w:highlight w:val="none"/>
              </w:rPr>
            </w:pPr>
            <w:r>
              <w:rPr>
                <w:color w:val="000000" w:themeColor="text1"/>
                <w:szCs w:val="21"/>
                <w:highlight w:val="none"/>
              </w:rPr>
              <w:drawing>
                <wp:inline distT="0" distB="0" distL="114300" distR="114300">
                  <wp:extent cx="4792345" cy="3387725"/>
                  <wp:effectExtent l="0" t="0" r="8255" b="3175"/>
                  <wp:docPr id="64" name="图片 64" descr="土地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土地1"/>
                          <pic:cNvPicPr>
                            <a:picLocks noChangeAspect="1"/>
                          </pic:cNvPicPr>
                        </pic:nvPicPr>
                        <pic:blipFill>
                          <a:blip r:embed="rId13" cstate="print"/>
                          <a:stretch>
                            <a:fillRect/>
                          </a:stretch>
                        </pic:blipFill>
                        <pic:spPr>
                          <a:xfrm>
                            <a:off x="0" y="0"/>
                            <a:ext cx="4792345" cy="3387725"/>
                          </a:xfrm>
                          <a:prstGeom prst="rect">
                            <a:avLst/>
                          </a:prstGeom>
                        </pic:spPr>
                      </pic:pic>
                    </a:graphicData>
                  </a:graphic>
                </wp:inline>
              </w:drawing>
            </w:r>
          </w:p>
          <w:p w14:paraId="2F5100BB">
            <w:pPr>
              <w:spacing w:line="360" w:lineRule="auto"/>
              <w:ind w:firstLine="480" w:firstLineChars="200"/>
              <w:jc w:val="center"/>
              <w:rPr>
                <w:color w:val="000000" w:themeColor="text1"/>
                <w:sz w:val="24"/>
                <w:highlight w:val="none"/>
              </w:rPr>
            </w:pPr>
            <w:r>
              <w:rPr>
                <w:color w:val="000000" w:themeColor="text1"/>
                <w:sz w:val="24"/>
                <w:highlight w:val="none"/>
              </w:rPr>
              <w:t>图3</w:t>
            </w:r>
            <w:r>
              <w:rPr>
                <w:rFonts w:hint="eastAsia"/>
                <w:color w:val="000000" w:themeColor="text1"/>
                <w:sz w:val="24"/>
                <w:highlight w:val="none"/>
              </w:rPr>
              <w:t xml:space="preserve">-2 </w:t>
            </w:r>
            <w:r>
              <w:rPr>
                <w:color w:val="000000" w:themeColor="text1"/>
                <w:sz w:val="24"/>
                <w:highlight w:val="none"/>
              </w:rPr>
              <w:t>项目区及评价区土地利用情况</w:t>
            </w:r>
          </w:p>
          <w:p w14:paraId="6D43BCAF">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（2）</w:t>
            </w:r>
            <w:r>
              <w:rPr>
                <w:color w:val="000000" w:themeColor="text1"/>
                <w:sz w:val="24"/>
                <w:highlight w:val="none"/>
              </w:rPr>
              <w:t>植被分布</w:t>
            </w:r>
          </w:p>
          <w:p w14:paraId="44915022">
            <w:pPr>
              <w:pStyle w:val="14"/>
              <w:spacing w:before="0" w:after="0" w:line="360" w:lineRule="auto"/>
              <w:ind w:right="0" w:firstLine="480" w:firstLineChars="200"/>
              <w:rPr>
                <w:color w:val="000000" w:themeColor="text1"/>
                <w:sz w:val="24"/>
                <w:szCs w:val="24"/>
                <w:highlight w:val="none"/>
              </w:rPr>
            </w:pPr>
            <w:r>
              <w:rPr>
                <w:color w:val="000000" w:themeColor="text1"/>
                <w:sz w:val="24"/>
                <w:szCs w:val="24"/>
                <w:highlight w:val="none"/>
              </w:rPr>
              <w:t>结合实际调查和遥感，利用gis系统进行制图</w:t>
            </w:r>
            <w:r>
              <w:rPr>
                <w:rFonts w:hint="eastAsia"/>
                <w:color w:val="000000" w:themeColor="text1"/>
                <w:sz w:val="24"/>
                <w:szCs w:val="24"/>
                <w:highlight w:val="none"/>
              </w:rPr>
              <w:t>，</w:t>
            </w:r>
            <w:r>
              <w:rPr>
                <w:color w:val="000000" w:themeColor="text1"/>
                <w:sz w:val="24"/>
                <w:szCs w:val="24"/>
                <w:highlight w:val="none"/>
              </w:rPr>
              <w:t>遥感解译结果对项目区及评价区内植被类型特征进行统计。</w:t>
            </w:r>
            <w:r>
              <w:rPr>
                <w:rFonts w:hint="eastAsia"/>
                <w:color w:val="000000" w:themeColor="text1"/>
                <w:sz w:val="24"/>
                <w:szCs w:val="24"/>
                <w:highlight w:val="none"/>
              </w:rPr>
              <w:t>评价范围植被平均覆盖度约30.33%，评价区植被覆盖度类型见图3-4。</w:t>
            </w:r>
            <w:r>
              <w:rPr>
                <w:color w:val="000000" w:themeColor="text1"/>
                <w:sz w:val="24"/>
                <w:szCs w:val="24"/>
                <w:highlight w:val="none"/>
              </w:rPr>
              <w:t>植被类型现状结果统计见表3</w:t>
            </w:r>
            <w:r>
              <w:rPr>
                <w:rFonts w:hint="eastAsia"/>
                <w:color w:val="000000" w:themeColor="text1"/>
                <w:sz w:val="24"/>
                <w:szCs w:val="24"/>
                <w:highlight w:val="none"/>
              </w:rPr>
              <w:t>-3和表3-4</w:t>
            </w:r>
            <w:r>
              <w:rPr>
                <w:color w:val="000000" w:themeColor="text1"/>
                <w:sz w:val="24"/>
                <w:szCs w:val="24"/>
                <w:highlight w:val="none"/>
              </w:rPr>
              <w:t>，项目区及评价区植被类型见图3</w:t>
            </w:r>
            <w:r>
              <w:rPr>
                <w:rFonts w:hint="eastAsia"/>
                <w:color w:val="000000" w:themeColor="text1"/>
                <w:sz w:val="24"/>
                <w:szCs w:val="24"/>
                <w:highlight w:val="none"/>
              </w:rPr>
              <w:t>-3</w:t>
            </w:r>
            <w:r>
              <w:rPr>
                <w:color w:val="000000" w:themeColor="text1"/>
                <w:sz w:val="24"/>
                <w:szCs w:val="24"/>
                <w:highlight w:val="none"/>
              </w:rPr>
              <w:t>。</w:t>
            </w:r>
          </w:p>
          <w:p w14:paraId="06603AF5">
            <w:pPr>
              <w:pStyle w:val="14"/>
              <w:spacing w:before="0" w:after="0" w:line="0" w:lineRule="atLeast"/>
              <w:ind w:right="0"/>
              <w:jc w:val="center"/>
              <w:rPr>
                <w:color w:val="000000" w:themeColor="text1"/>
                <w:sz w:val="24"/>
                <w:szCs w:val="24"/>
                <w:highlight w:val="none"/>
              </w:rPr>
            </w:pPr>
            <w:r>
              <w:rPr>
                <w:color w:val="000000" w:themeColor="text1"/>
                <w:sz w:val="24"/>
                <w:szCs w:val="24"/>
                <w:highlight w:val="none"/>
              </w:rPr>
              <w:t>表3</w:t>
            </w:r>
            <w:r>
              <w:rPr>
                <w:rFonts w:hint="eastAsia"/>
                <w:color w:val="000000" w:themeColor="text1"/>
                <w:sz w:val="24"/>
                <w:szCs w:val="24"/>
                <w:highlight w:val="none"/>
              </w:rPr>
              <w:t xml:space="preserve">-3 </w:t>
            </w:r>
            <w:r>
              <w:rPr>
                <w:color w:val="000000" w:themeColor="text1"/>
                <w:sz w:val="24"/>
                <w:szCs w:val="24"/>
                <w:highlight w:val="none"/>
              </w:rPr>
              <w:t>评价区植被类型现状统计结果</w:t>
            </w:r>
          </w:p>
          <w:tbl>
            <w:tblPr>
              <w:tblStyle w:val="26"/>
              <w:tblW w:w="7551" w:type="dxa"/>
              <w:jc w:val="center"/>
              <w:tblLayout w:type="fixed"/>
              <w:tblCellMar>
                <w:top w:w="0" w:type="dxa"/>
                <w:left w:w="108" w:type="dxa"/>
                <w:bottom w:w="0" w:type="dxa"/>
                <w:right w:w="108" w:type="dxa"/>
              </w:tblCellMar>
            </w:tblPr>
            <w:tblGrid>
              <w:gridCol w:w="1594"/>
              <w:gridCol w:w="2021"/>
              <w:gridCol w:w="1249"/>
              <w:gridCol w:w="1420"/>
              <w:gridCol w:w="1267"/>
            </w:tblGrid>
            <w:tr w14:paraId="33B4D91C">
              <w:tblPrEx>
                <w:tblCellMar>
                  <w:top w:w="0" w:type="dxa"/>
                  <w:left w:w="108" w:type="dxa"/>
                  <w:bottom w:w="0" w:type="dxa"/>
                  <w:right w:w="108" w:type="dxa"/>
                </w:tblCellMar>
              </w:tblPrEx>
              <w:trPr>
                <w:trHeight w:val="272" w:hRule="atLeast"/>
                <w:jc w:val="center"/>
              </w:trPr>
              <w:tc>
                <w:tcPr>
                  <w:tcW w:w="10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C3628D">
                  <w:pPr>
                    <w:widowControl/>
                    <w:jc w:val="center"/>
                    <w:textAlignment w:val="center"/>
                    <w:rPr>
                      <w:color w:val="000000" w:themeColor="text1"/>
                      <w:szCs w:val="21"/>
                      <w:highlight w:val="none"/>
                    </w:rPr>
                  </w:pPr>
                  <w:r>
                    <w:rPr>
                      <w:color w:val="000000" w:themeColor="text1"/>
                      <w:kern w:val="0"/>
                      <w:szCs w:val="21"/>
                      <w:highlight w:val="none"/>
                    </w:rPr>
                    <w:t>一级类型</w:t>
                  </w:r>
                </w:p>
              </w:tc>
              <w:tc>
                <w:tcPr>
                  <w:tcW w:w="13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1776E5">
                  <w:pPr>
                    <w:widowControl/>
                    <w:jc w:val="center"/>
                    <w:textAlignment w:val="center"/>
                    <w:rPr>
                      <w:color w:val="000000" w:themeColor="text1"/>
                      <w:szCs w:val="21"/>
                      <w:highlight w:val="none"/>
                    </w:rPr>
                  </w:pPr>
                  <w:r>
                    <w:rPr>
                      <w:color w:val="000000" w:themeColor="text1"/>
                      <w:kern w:val="0"/>
                      <w:szCs w:val="21"/>
                      <w:highlight w:val="none"/>
                    </w:rPr>
                    <w:t>二级类型</w:t>
                  </w:r>
                </w:p>
              </w:tc>
              <w:tc>
                <w:tcPr>
                  <w:tcW w:w="82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97AF92">
                  <w:pPr>
                    <w:widowControl/>
                    <w:jc w:val="center"/>
                    <w:textAlignment w:val="center"/>
                    <w:rPr>
                      <w:color w:val="000000" w:themeColor="text1"/>
                      <w:szCs w:val="21"/>
                      <w:highlight w:val="none"/>
                    </w:rPr>
                  </w:pPr>
                  <w:r>
                    <w:rPr>
                      <w:color w:val="000000" w:themeColor="text1"/>
                      <w:kern w:val="0"/>
                      <w:szCs w:val="21"/>
                      <w:highlight w:val="none"/>
                    </w:rPr>
                    <w:t>斑块数（个）</w:t>
                  </w:r>
                </w:p>
              </w:tc>
              <w:tc>
                <w:tcPr>
                  <w:tcW w:w="94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25B4FB">
                  <w:pPr>
                    <w:widowControl/>
                    <w:jc w:val="center"/>
                    <w:textAlignment w:val="center"/>
                    <w:rPr>
                      <w:color w:val="000000" w:themeColor="text1"/>
                      <w:szCs w:val="21"/>
                      <w:highlight w:val="none"/>
                    </w:rPr>
                  </w:pPr>
                  <w:r>
                    <w:rPr>
                      <w:color w:val="000000" w:themeColor="text1"/>
                      <w:kern w:val="0"/>
                      <w:szCs w:val="21"/>
                      <w:highlight w:val="none"/>
                    </w:rPr>
                    <w:t>面积（平米）</w:t>
                  </w:r>
                </w:p>
              </w:tc>
              <w:tc>
                <w:tcPr>
                  <w:tcW w:w="8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75A103">
                  <w:pPr>
                    <w:jc w:val="center"/>
                    <w:rPr>
                      <w:color w:val="000000" w:themeColor="text1"/>
                      <w:szCs w:val="21"/>
                      <w:highlight w:val="none"/>
                    </w:rPr>
                  </w:pPr>
                  <w:r>
                    <w:rPr>
                      <w:color w:val="000000" w:themeColor="text1"/>
                      <w:szCs w:val="21"/>
                      <w:highlight w:val="none"/>
                    </w:rPr>
                    <w:t>占评价区面积的%</w:t>
                  </w:r>
                </w:p>
              </w:tc>
            </w:tr>
            <w:tr w14:paraId="5B337430">
              <w:tblPrEx>
                <w:tblCellMar>
                  <w:top w:w="0" w:type="dxa"/>
                  <w:left w:w="108" w:type="dxa"/>
                  <w:bottom w:w="0" w:type="dxa"/>
                  <w:right w:w="108" w:type="dxa"/>
                </w:tblCellMar>
              </w:tblPrEx>
              <w:trPr>
                <w:trHeight w:val="272" w:hRule="atLeast"/>
                <w:jc w:val="center"/>
              </w:trPr>
              <w:tc>
                <w:tcPr>
                  <w:tcW w:w="1055"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A44F7AC">
                  <w:pPr>
                    <w:widowControl/>
                    <w:jc w:val="center"/>
                    <w:textAlignment w:val="center"/>
                    <w:rPr>
                      <w:color w:val="000000" w:themeColor="text1"/>
                      <w:szCs w:val="21"/>
                      <w:highlight w:val="none"/>
                    </w:rPr>
                  </w:pPr>
                  <w:r>
                    <w:rPr>
                      <w:color w:val="000000" w:themeColor="text1"/>
                      <w:kern w:val="0"/>
                      <w:szCs w:val="21"/>
                      <w:highlight w:val="none"/>
                    </w:rPr>
                    <w:t>人工林</w:t>
                  </w:r>
                </w:p>
              </w:tc>
              <w:tc>
                <w:tcPr>
                  <w:tcW w:w="13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9767DA">
                  <w:pPr>
                    <w:widowControl/>
                    <w:jc w:val="center"/>
                    <w:textAlignment w:val="center"/>
                    <w:rPr>
                      <w:color w:val="000000" w:themeColor="text1"/>
                      <w:szCs w:val="21"/>
                      <w:highlight w:val="none"/>
                    </w:rPr>
                  </w:pPr>
                  <w:r>
                    <w:rPr>
                      <w:rFonts w:hint="eastAsia"/>
                      <w:color w:val="000000" w:themeColor="text1"/>
                      <w:kern w:val="0"/>
                      <w:szCs w:val="21"/>
                      <w:highlight w:val="none"/>
                    </w:rPr>
                    <w:t>没有樟子松</w:t>
                  </w:r>
                </w:p>
              </w:tc>
              <w:tc>
                <w:tcPr>
                  <w:tcW w:w="82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894C2B">
                  <w:pPr>
                    <w:widowControl/>
                    <w:jc w:val="center"/>
                    <w:textAlignment w:val="center"/>
                    <w:rPr>
                      <w:color w:val="000000" w:themeColor="text1"/>
                      <w:szCs w:val="21"/>
                      <w:highlight w:val="none"/>
                    </w:rPr>
                  </w:pPr>
                  <w:r>
                    <w:rPr>
                      <w:color w:val="000000" w:themeColor="text1"/>
                      <w:kern w:val="0"/>
                      <w:szCs w:val="21"/>
                      <w:highlight w:val="none"/>
                    </w:rPr>
                    <w:t>5</w:t>
                  </w:r>
                </w:p>
              </w:tc>
              <w:tc>
                <w:tcPr>
                  <w:tcW w:w="94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246297">
                  <w:pPr>
                    <w:widowControl/>
                    <w:jc w:val="center"/>
                    <w:textAlignment w:val="center"/>
                    <w:rPr>
                      <w:color w:val="000000" w:themeColor="text1"/>
                      <w:szCs w:val="21"/>
                      <w:highlight w:val="none"/>
                    </w:rPr>
                  </w:pPr>
                  <w:r>
                    <w:rPr>
                      <w:color w:val="000000" w:themeColor="text1"/>
                      <w:kern w:val="0"/>
                      <w:szCs w:val="21"/>
                      <w:highlight w:val="none"/>
                    </w:rPr>
                    <w:t>55788.69</w:t>
                  </w:r>
                </w:p>
              </w:tc>
              <w:tc>
                <w:tcPr>
                  <w:tcW w:w="8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82A6C4">
                  <w:pPr>
                    <w:widowControl/>
                    <w:jc w:val="center"/>
                    <w:textAlignment w:val="center"/>
                    <w:rPr>
                      <w:color w:val="000000" w:themeColor="text1"/>
                      <w:szCs w:val="21"/>
                      <w:highlight w:val="none"/>
                    </w:rPr>
                  </w:pPr>
                  <w:r>
                    <w:rPr>
                      <w:rFonts w:hint="eastAsia"/>
                      <w:color w:val="000000" w:themeColor="text1"/>
                      <w:kern w:val="0"/>
                      <w:szCs w:val="21"/>
                      <w:highlight w:val="none"/>
                    </w:rPr>
                    <w:t>5.84</w:t>
                  </w:r>
                </w:p>
              </w:tc>
            </w:tr>
            <w:tr w14:paraId="09EC4E3E">
              <w:tblPrEx>
                <w:tblCellMar>
                  <w:top w:w="0" w:type="dxa"/>
                  <w:left w:w="108" w:type="dxa"/>
                  <w:bottom w:w="0" w:type="dxa"/>
                  <w:right w:w="108" w:type="dxa"/>
                </w:tblCellMar>
              </w:tblPrEx>
              <w:trPr>
                <w:trHeight w:val="272" w:hRule="atLeast"/>
                <w:jc w:val="center"/>
              </w:trPr>
              <w:tc>
                <w:tcPr>
                  <w:tcW w:w="105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9D2B0A9">
                  <w:pPr>
                    <w:jc w:val="center"/>
                    <w:rPr>
                      <w:color w:val="000000" w:themeColor="text1"/>
                      <w:szCs w:val="21"/>
                      <w:highlight w:val="none"/>
                    </w:rPr>
                  </w:pPr>
                </w:p>
              </w:tc>
              <w:tc>
                <w:tcPr>
                  <w:tcW w:w="13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A7E205">
                  <w:pPr>
                    <w:widowControl/>
                    <w:jc w:val="center"/>
                    <w:textAlignment w:val="center"/>
                    <w:rPr>
                      <w:color w:val="000000" w:themeColor="text1"/>
                      <w:szCs w:val="21"/>
                      <w:highlight w:val="none"/>
                    </w:rPr>
                  </w:pPr>
                  <w:r>
                    <w:rPr>
                      <w:color w:val="000000" w:themeColor="text1"/>
                      <w:kern w:val="0"/>
                      <w:szCs w:val="21"/>
                      <w:highlight w:val="none"/>
                    </w:rPr>
                    <w:t>杨树</w:t>
                  </w:r>
                </w:p>
              </w:tc>
              <w:tc>
                <w:tcPr>
                  <w:tcW w:w="82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26F515">
                  <w:pPr>
                    <w:widowControl/>
                    <w:jc w:val="center"/>
                    <w:textAlignment w:val="center"/>
                    <w:rPr>
                      <w:color w:val="000000" w:themeColor="text1"/>
                      <w:szCs w:val="21"/>
                      <w:highlight w:val="none"/>
                    </w:rPr>
                  </w:pPr>
                  <w:r>
                    <w:rPr>
                      <w:color w:val="000000" w:themeColor="text1"/>
                      <w:kern w:val="0"/>
                      <w:szCs w:val="21"/>
                      <w:highlight w:val="none"/>
                    </w:rPr>
                    <w:t>28</w:t>
                  </w:r>
                </w:p>
              </w:tc>
              <w:tc>
                <w:tcPr>
                  <w:tcW w:w="94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A23D111">
                  <w:pPr>
                    <w:widowControl/>
                    <w:jc w:val="center"/>
                    <w:textAlignment w:val="center"/>
                    <w:rPr>
                      <w:color w:val="000000" w:themeColor="text1"/>
                      <w:szCs w:val="21"/>
                      <w:highlight w:val="none"/>
                    </w:rPr>
                  </w:pPr>
                  <w:r>
                    <w:rPr>
                      <w:color w:val="000000" w:themeColor="text1"/>
                      <w:kern w:val="0"/>
                      <w:szCs w:val="21"/>
                      <w:highlight w:val="none"/>
                    </w:rPr>
                    <w:t>50149.19</w:t>
                  </w:r>
                </w:p>
              </w:tc>
              <w:tc>
                <w:tcPr>
                  <w:tcW w:w="8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498812F">
                  <w:pPr>
                    <w:widowControl/>
                    <w:jc w:val="center"/>
                    <w:textAlignment w:val="center"/>
                    <w:rPr>
                      <w:color w:val="000000" w:themeColor="text1"/>
                      <w:szCs w:val="21"/>
                      <w:highlight w:val="none"/>
                    </w:rPr>
                  </w:pPr>
                  <w:r>
                    <w:rPr>
                      <w:rFonts w:hint="eastAsia"/>
                      <w:color w:val="000000" w:themeColor="text1"/>
                      <w:kern w:val="0"/>
                      <w:szCs w:val="21"/>
                      <w:highlight w:val="none"/>
                    </w:rPr>
                    <w:t>5.25</w:t>
                  </w:r>
                </w:p>
              </w:tc>
            </w:tr>
            <w:tr w14:paraId="4A387E83">
              <w:tblPrEx>
                <w:tblCellMar>
                  <w:top w:w="0" w:type="dxa"/>
                  <w:left w:w="108" w:type="dxa"/>
                  <w:bottom w:w="0" w:type="dxa"/>
                  <w:right w:w="108" w:type="dxa"/>
                </w:tblCellMar>
              </w:tblPrEx>
              <w:trPr>
                <w:trHeight w:val="272" w:hRule="atLeast"/>
                <w:jc w:val="center"/>
              </w:trPr>
              <w:tc>
                <w:tcPr>
                  <w:tcW w:w="10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529F9E">
                  <w:pPr>
                    <w:widowControl/>
                    <w:jc w:val="center"/>
                    <w:textAlignment w:val="center"/>
                    <w:rPr>
                      <w:color w:val="000000" w:themeColor="text1"/>
                      <w:szCs w:val="21"/>
                      <w:highlight w:val="none"/>
                    </w:rPr>
                  </w:pPr>
                  <w:r>
                    <w:rPr>
                      <w:color w:val="000000" w:themeColor="text1"/>
                      <w:kern w:val="0"/>
                      <w:szCs w:val="21"/>
                      <w:highlight w:val="none"/>
                    </w:rPr>
                    <w:t>其他人工植被</w:t>
                  </w:r>
                </w:p>
              </w:tc>
              <w:tc>
                <w:tcPr>
                  <w:tcW w:w="13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0086AD">
                  <w:pPr>
                    <w:widowControl/>
                    <w:jc w:val="center"/>
                    <w:textAlignment w:val="center"/>
                    <w:rPr>
                      <w:color w:val="000000" w:themeColor="text1"/>
                      <w:szCs w:val="21"/>
                      <w:highlight w:val="none"/>
                    </w:rPr>
                  </w:pPr>
                  <w:r>
                    <w:rPr>
                      <w:color w:val="000000" w:themeColor="text1"/>
                      <w:kern w:val="0"/>
                      <w:szCs w:val="21"/>
                      <w:highlight w:val="none"/>
                    </w:rPr>
                    <w:t>旱地</w:t>
                  </w:r>
                </w:p>
              </w:tc>
              <w:tc>
                <w:tcPr>
                  <w:tcW w:w="82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B9BF5F">
                  <w:pPr>
                    <w:widowControl/>
                    <w:jc w:val="center"/>
                    <w:textAlignment w:val="center"/>
                    <w:rPr>
                      <w:color w:val="000000" w:themeColor="text1"/>
                      <w:szCs w:val="21"/>
                      <w:highlight w:val="none"/>
                    </w:rPr>
                  </w:pPr>
                  <w:r>
                    <w:rPr>
                      <w:color w:val="000000" w:themeColor="text1"/>
                      <w:kern w:val="0"/>
                      <w:szCs w:val="21"/>
                      <w:highlight w:val="none"/>
                    </w:rPr>
                    <w:t>5</w:t>
                  </w:r>
                </w:p>
              </w:tc>
              <w:tc>
                <w:tcPr>
                  <w:tcW w:w="94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B585DF">
                  <w:pPr>
                    <w:widowControl/>
                    <w:jc w:val="center"/>
                    <w:textAlignment w:val="center"/>
                    <w:rPr>
                      <w:color w:val="000000" w:themeColor="text1"/>
                      <w:szCs w:val="21"/>
                      <w:highlight w:val="none"/>
                    </w:rPr>
                  </w:pPr>
                  <w:r>
                    <w:rPr>
                      <w:color w:val="000000" w:themeColor="text1"/>
                      <w:kern w:val="0"/>
                      <w:szCs w:val="21"/>
                      <w:highlight w:val="none"/>
                    </w:rPr>
                    <w:t>13232.93</w:t>
                  </w:r>
                </w:p>
              </w:tc>
              <w:tc>
                <w:tcPr>
                  <w:tcW w:w="8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A86E95">
                  <w:pPr>
                    <w:widowControl/>
                    <w:jc w:val="center"/>
                    <w:textAlignment w:val="center"/>
                    <w:rPr>
                      <w:color w:val="000000" w:themeColor="text1"/>
                      <w:szCs w:val="21"/>
                      <w:highlight w:val="none"/>
                    </w:rPr>
                  </w:pPr>
                  <w:r>
                    <w:rPr>
                      <w:rFonts w:hint="eastAsia"/>
                      <w:color w:val="000000" w:themeColor="text1"/>
                      <w:kern w:val="0"/>
                      <w:szCs w:val="21"/>
                      <w:highlight w:val="none"/>
                    </w:rPr>
                    <w:t>1.39</w:t>
                  </w:r>
                </w:p>
              </w:tc>
            </w:tr>
            <w:tr w14:paraId="3B7D1C48">
              <w:tblPrEx>
                <w:tblCellMar>
                  <w:top w:w="0" w:type="dxa"/>
                  <w:left w:w="108" w:type="dxa"/>
                  <w:bottom w:w="0" w:type="dxa"/>
                  <w:right w:w="108" w:type="dxa"/>
                </w:tblCellMar>
              </w:tblPrEx>
              <w:trPr>
                <w:trHeight w:val="272" w:hRule="atLeast"/>
                <w:jc w:val="center"/>
              </w:trPr>
              <w:tc>
                <w:tcPr>
                  <w:tcW w:w="1055"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D1A1E45">
                  <w:pPr>
                    <w:widowControl/>
                    <w:jc w:val="center"/>
                    <w:textAlignment w:val="center"/>
                    <w:rPr>
                      <w:color w:val="000000" w:themeColor="text1"/>
                      <w:szCs w:val="21"/>
                      <w:highlight w:val="none"/>
                    </w:rPr>
                  </w:pPr>
                  <w:r>
                    <w:rPr>
                      <w:color w:val="000000" w:themeColor="text1"/>
                      <w:kern w:val="0"/>
                      <w:szCs w:val="21"/>
                      <w:highlight w:val="none"/>
                    </w:rPr>
                    <w:t>高平原典型草原植被</w:t>
                  </w:r>
                </w:p>
              </w:tc>
              <w:tc>
                <w:tcPr>
                  <w:tcW w:w="13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836810">
                  <w:pPr>
                    <w:widowControl/>
                    <w:jc w:val="center"/>
                    <w:textAlignment w:val="center"/>
                    <w:rPr>
                      <w:color w:val="000000" w:themeColor="text1"/>
                      <w:szCs w:val="21"/>
                      <w:highlight w:val="none"/>
                    </w:rPr>
                  </w:pPr>
                  <w:r>
                    <w:rPr>
                      <w:color w:val="000000" w:themeColor="text1"/>
                      <w:kern w:val="0"/>
                      <w:szCs w:val="21"/>
                      <w:highlight w:val="none"/>
                    </w:rPr>
                    <w:t>达乌里胡枝子、本氏针茅</w:t>
                  </w:r>
                </w:p>
              </w:tc>
              <w:tc>
                <w:tcPr>
                  <w:tcW w:w="82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53961B">
                  <w:pPr>
                    <w:widowControl/>
                    <w:jc w:val="center"/>
                    <w:textAlignment w:val="center"/>
                    <w:rPr>
                      <w:color w:val="000000" w:themeColor="text1"/>
                      <w:szCs w:val="21"/>
                      <w:highlight w:val="none"/>
                    </w:rPr>
                  </w:pPr>
                  <w:r>
                    <w:rPr>
                      <w:color w:val="000000" w:themeColor="text1"/>
                      <w:kern w:val="0"/>
                      <w:szCs w:val="21"/>
                      <w:highlight w:val="none"/>
                    </w:rPr>
                    <w:t>5</w:t>
                  </w:r>
                </w:p>
              </w:tc>
              <w:tc>
                <w:tcPr>
                  <w:tcW w:w="94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A1F7A59">
                  <w:pPr>
                    <w:widowControl/>
                    <w:jc w:val="center"/>
                    <w:textAlignment w:val="center"/>
                    <w:rPr>
                      <w:color w:val="000000" w:themeColor="text1"/>
                      <w:szCs w:val="21"/>
                      <w:highlight w:val="none"/>
                    </w:rPr>
                  </w:pPr>
                  <w:r>
                    <w:rPr>
                      <w:color w:val="000000" w:themeColor="text1"/>
                      <w:kern w:val="0"/>
                      <w:szCs w:val="21"/>
                      <w:highlight w:val="none"/>
                    </w:rPr>
                    <w:t>30406.43</w:t>
                  </w:r>
                </w:p>
              </w:tc>
              <w:tc>
                <w:tcPr>
                  <w:tcW w:w="8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E59B27">
                  <w:pPr>
                    <w:widowControl/>
                    <w:jc w:val="center"/>
                    <w:textAlignment w:val="center"/>
                    <w:rPr>
                      <w:color w:val="000000" w:themeColor="text1"/>
                      <w:szCs w:val="21"/>
                      <w:highlight w:val="none"/>
                    </w:rPr>
                  </w:pPr>
                  <w:r>
                    <w:rPr>
                      <w:rFonts w:hint="eastAsia"/>
                      <w:color w:val="000000" w:themeColor="text1"/>
                      <w:kern w:val="0"/>
                      <w:szCs w:val="21"/>
                      <w:highlight w:val="none"/>
                    </w:rPr>
                    <w:t>3.18</w:t>
                  </w:r>
                </w:p>
              </w:tc>
            </w:tr>
            <w:tr w14:paraId="1D91B1FF">
              <w:tblPrEx>
                <w:tblCellMar>
                  <w:top w:w="0" w:type="dxa"/>
                  <w:left w:w="108" w:type="dxa"/>
                  <w:bottom w:w="0" w:type="dxa"/>
                  <w:right w:w="108" w:type="dxa"/>
                </w:tblCellMar>
              </w:tblPrEx>
              <w:trPr>
                <w:trHeight w:val="272" w:hRule="atLeast"/>
                <w:jc w:val="center"/>
              </w:trPr>
              <w:tc>
                <w:tcPr>
                  <w:tcW w:w="105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D85B4FE">
                  <w:pPr>
                    <w:jc w:val="center"/>
                    <w:rPr>
                      <w:color w:val="000000" w:themeColor="text1"/>
                      <w:szCs w:val="21"/>
                      <w:highlight w:val="none"/>
                    </w:rPr>
                  </w:pPr>
                </w:p>
              </w:tc>
              <w:tc>
                <w:tcPr>
                  <w:tcW w:w="13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BDE33B">
                  <w:pPr>
                    <w:widowControl/>
                    <w:jc w:val="center"/>
                    <w:textAlignment w:val="center"/>
                    <w:rPr>
                      <w:color w:val="000000" w:themeColor="text1"/>
                      <w:szCs w:val="21"/>
                      <w:highlight w:val="none"/>
                    </w:rPr>
                  </w:pPr>
                  <w:r>
                    <w:rPr>
                      <w:color w:val="000000" w:themeColor="text1"/>
                      <w:kern w:val="0"/>
                      <w:szCs w:val="21"/>
                      <w:highlight w:val="none"/>
                    </w:rPr>
                    <w:t>百里香、蒿类</w:t>
                  </w:r>
                </w:p>
              </w:tc>
              <w:tc>
                <w:tcPr>
                  <w:tcW w:w="82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A267DF">
                  <w:pPr>
                    <w:widowControl/>
                    <w:jc w:val="center"/>
                    <w:textAlignment w:val="center"/>
                    <w:rPr>
                      <w:color w:val="000000" w:themeColor="text1"/>
                      <w:szCs w:val="21"/>
                      <w:highlight w:val="none"/>
                    </w:rPr>
                  </w:pPr>
                  <w:r>
                    <w:rPr>
                      <w:color w:val="000000" w:themeColor="text1"/>
                      <w:kern w:val="0"/>
                      <w:szCs w:val="21"/>
                      <w:highlight w:val="none"/>
                    </w:rPr>
                    <w:t>15</w:t>
                  </w:r>
                </w:p>
              </w:tc>
              <w:tc>
                <w:tcPr>
                  <w:tcW w:w="94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F3C735">
                  <w:pPr>
                    <w:widowControl/>
                    <w:jc w:val="center"/>
                    <w:textAlignment w:val="center"/>
                    <w:rPr>
                      <w:color w:val="000000" w:themeColor="text1"/>
                      <w:szCs w:val="21"/>
                      <w:highlight w:val="none"/>
                    </w:rPr>
                  </w:pPr>
                  <w:r>
                    <w:rPr>
                      <w:color w:val="000000" w:themeColor="text1"/>
                      <w:kern w:val="0"/>
                      <w:szCs w:val="21"/>
                      <w:highlight w:val="none"/>
                    </w:rPr>
                    <w:t>641227.02</w:t>
                  </w:r>
                </w:p>
              </w:tc>
              <w:tc>
                <w:tcPr>
                  <w:tcW w:w="8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566039">
                  <w:pPr>
                    <w:widowControl/>
                    <w:jc w:val="center"/>
                    <w:textAlignment w:val="center"/>
                    <w:rPr>
                      <w:color w:val="000000" w:themeColor="text1"/>
                      <w:szCs w:val="21"/>
                      <w:highlight w:val="none"/>
                    </w:rPr>
                  </w:pPr>
                  <w:r>
                    <w:rPr>
                      <w:rFonts w:hint="eastAsia"/>
                      <w:color w:val="000000" w:themeColor="text1"/>
                      <w:kern w:val="0"/>
                      <w:szCs w:val="21"/>
                      <w:highlight w:val="none"/>
                    </w:rPr>
                    <w:t>67.15</w:t>
                  </w:r>
                </w:p>
              </w:tc>
            </w:tr>
            <w:tr w14:paraId="71F493D0">
              <w:tblPrEx>
                <w:tblCellMar>
                  <w:top w:w="0" w:type="dxa"/>
                  <w:left w:w="108" w:type="dxa"/>
                  <w:bottom w:w="0" w:type="dxa"/>
                  <w:right w:w="108" w:type="dxa"/>
                </w:tblCellMar>
              </w:tblPrEx>
              <w:trPr>
                <w:trHeight w:val="272" w:hRule="atLeast"/>
                <w:jc w:val="center"/>
              </w:trPr>
              <w:tc>
                <w:tcPr>
                  <w:tcW w:w="1055"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7179AC">
                  <w:pPr>
                    <w:widowControl/>
                    <w:jc w:val="center"/>
                    <w:textAlignment w:val="center"/>
                    <w:rPr>
                      <w:color w:val="000000" w:themeColor="text1"/>
                      <w:szCs w:val="21"/>
                      <w:highlight w:val="none"/>
                    </w:rPr>
                  </w:pPr>
                  <w:r>
                    <w:rPr>
                      <w:color w:val="000000" w:themeColor="text1"/>
                      <w:kern w:val="0"/>
                      <w:szCs w:val="21"/>
                      <w:highlight w:val="none"/>
                    </w:rPr>
                    <w:t>退化草地</w:t>
                  </w:r>
                </w:p>
              </w:tc>
              <w:tc>
                <w:tcPr>
                  <w:tcW w:w="13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02B27D">
                  <w:pPr>
                    <w:widowControl/>
                    <w:jc w:val="center"/>
                    <w:textAlignment w:val="center"/>
                    <w:rPr>
                      <w:color w:val="000000" w:themeColor="text1"/>
                      <w:szCs w:val="21"/>
                      <w:highlight w:val="none"/>
                    </w:rPr>
                  </w:pPr>
                  <w:r>
                    <w:rPr>
                      <w:color w:val="000000" w:themeColor="text1"/>
                      <w:kern w:val="0"/>
                      <w:szCs w:val="21"/>
                      <w:highlight w:val="none"/>
                    </w:rPr>
                    <w:t>隐子草、冷蒿</w:t>
                  </w:r>
                </w:p>
              </w:tc>
              <w:tc>
                <w:tcPr>
                  <w:tcW w:w="82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FFF6E2">
                  <w:pPr>
                    <w:widowControl/>
                    <w:jc w:val="center"/>
                    <w:textAlignment w:val="center"/>
                    <w:rPr>
                      <w:color w:val="000000" w:themeColor="text1"/>
                      <w:szCs w:val="21"/>
                      <w:highlight w:val="none"/>
                    </w:rPr>
                  </w:pPr>
                  <w:r>
                    <w:rPr>
                      <w:color w:val="000000" w:themeColor="text1"/>
                      <w:kern w:val="0"/>
                      <w:szCs w:val="21"/>
                      <w:highlight w:val="none"/>
                    </w:rPr>
                    <w:t>7</w:t>
                  </w:r>
                </w:p>
              </w:tc>
              <w:tc>
                <w:tcPr>
                  <w:tcW w:w="94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D8D01D">
                  <w:pPr>
                    <w:widowControl/>
                    <w:jc w:val="center"/>
                    <w:textAlignment w:val="center"/>
                    <w:rPr>
                      <w:color w:val="000000" w:themeColor="text1"/>
                      <w:szCs w:val="21"/>
                      <w:highlight w:val="none"/>
                    </w:rPr>
                  </w:pPr>
                  <w:r>
                    <w:rPr>
                      <w:color w:val="000000" w:themeColor="text1"/>
                      <w:kern w:val="0"/>
                      <w:szCs w:val="21"/>
                      <w:highlight w:val="none"/>
                    </w:rPr>
                    <w:t>48343.72</w:t>
                  </w:r>
                </w:p>
              </w:tc>
              <w:tc>
                <w:tcPr>
                  <w:tcW w:w="8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AAED05">
                  <w:pPr>
                    <w:widowControl/>
                    <w:jc w:val="center"/>
                    <w:textAlignment w:val="center"/>
                    <w:rPr>
                      <w:color w:val="000000" w:themeColor="text1"/>
                      <w:szCs w:val="21"/>
                      <w:highlight w:val="none"/>
                    </w:rPr>
                  </w:pPr>
                  <w:r>
                    <w:rPr>
                      <w:rFonts w:hint="eastAsia"/>
                      <w:color w:val="000000" w:themeColor="text1"/>
                      <w:kern w:val="0"/>
                      <w:szCs w:val="21"/>
                      <w:highlight w:val="none"/>
                    </w:rPr>
                    <w:t>5.06</w:t>
                  </w:r>
                </w:p>
              </w:tc>
            </w:tr>
            <w:tr w14:paraId="065B4C52">
              <w:tblPrEx>
                <w:tblCellMar>
                  <w:top w:w="0" w:type="dxa"/>
                  <w:left w:w="108" w:type="dxa"/>
                  <w:bottom w:w="0" w:type="dxa"/>
                  <w:right w:w="108" w:type="dxa"/>
                </w:tblCellMar>
              </w:tblPrEx>
              <w:trPr>
                <w:trHeight w:val="272" w:hRule="atLeast"/>
                <w:jc w:val="center"/>
              </w:trPr>
              <w:tc>
                <w:tcPr>
                  <w:tcW w:w="1055"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34C5959">
                  <w:pPr>
                    <w:widowControl/>
                    <w:jc w:val="center"/>
                    <w:textAlignment w:val="center"/>
                    <w:rPr>
                      <w:color w:val="000000" w:themeColor="text1"/>
                      <w:szCs w:val="21"/>
                      <w:highlight w:val="none"/>
                    </w:rPr>
                  </w:pPr>
                  <w:r>
                    <w:rPr>
                      <w:color w:val="000000" w:themeColor="text1"/>
                      <w:kern w:val="0"/>
                      <w:szCs w:val="21"/>
                      <w:highlight w:val="none"/>
                    </w:rPr>
                    <w:t>其他非植被</w:t>
                  </w:r>
                </w:p>
              </w:tc>
              <w:tc>
                <w:tcPr>
                  <w:tcW w:w="13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678ECA">
                  <w:pPr>
                    <w:widowControl/>
                    <w:jc w:val="center"/>
                    <w:textAlignment w:val="center"/>
                    <w:rPr>
                      <w:color w:val="000000" w:themeColor="text1"/>
                      <w:szCs w:val="21"/>
                      <w:highlight w:val="none"/>
                    </w:rPr>
                  </w:pPr>
                  <w:r>
                    <w:rPr>
                      <w:color w:val="000000" w:themeColor="text1"/>
                      <w:kern w:val="0"/>
                      <w:szCs w:val="21"/>
                      <w:highlight w:val="none"/>
                    </w:rPr>
                    <w:t>采矿用地</w:t>
                  </w:r>
                </w:p>
              </w:tc>
              <w:tc>
                <w:tcPr>
                  <w:tcW w:w="82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8F0643E">
                  <w:pPr>
                    <w:widowControl/>
                    <w:jc w:val="center"/>
                    <w:textAlignment w:val="center"/>
                    <w:rPr>
                      <w:color w:val="000000" w:themeColor="text1"/>
                      <w:szCs w:val="21"/>
                      <w:highlight w:val="none"/>
                    </w:rPr>
                  </w:pPr>
                  <w:r>
                    <w:rPr>
                      <w:color w:val="000000" w:themeColor="text1"/>
                      <w:kern w:val="0"/>
                      <w:szCs w:val="21"/>
                      <w:highlight w:val="none"/>
                    </w:rPr>
                    <w:t>1</w:t>
                  </w:r>
                </w:p>
              </w:tc>
              <w:tc>
                <w:tcPr>
                  <w:tcW w:w="94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15BF1B">
                  <w:pPr>
                    <w:widowControl/>
                    <w:jc w:val="center"/>
                    <w:textAlignment w:val="center"/>
                    <w:rPr>
                      <w:color w:val="000000" w:themeColor="text1"/>
                      <w:szCs w:val="21"/>
                      <w:highlight w:val="none"/>
                    </w:rPr>
                  </w:pPr>
                  <w:r>
                    <w:rPr>
                      <w:color w:val="000000" w:themeColor="text1"/>
                      <w:kern w:val="0"/>
                      <w:szCs w:val="21"/>
                      <w:highlight w:val="none"/>
                    </w:rPr>
                    <w:t>64974.42</w:t>
                  </w:r>
                </w:p>
              </w:tc>
              <w:tc>
                <w:tcPr>
                  <w:tcW w:w="8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24A36E">
                  <w:pPr>
                    <w:widowControl/>
                    <w:jc w:val="center"/>
                    <w:textAlignment w:val="center"/>
                    <w:rPr>
                      <w:color w:val="000000" w:themeColor="text1"/>
                      <w:szCs w:val="21"/>
                      <w:highlight w:val="none"/>
                    </w:rPr>
                  </w:pPr>
                  <w:r>
                    <w:rPr>
                      <w:rFonts w:hint="eastAsia"/>
                      <w:color w:val="000000" w:themeColor="text1"/>
                      <w:kern w:val="0"/>
                      <w:szCs w:val="21"/>
                      <w:highlight w:val="none"/>
                    </w:rPr>
                    <w:t>6.81</w:t>
                  </w:r>
                </w:p>
              </w:tc>
            </w:tr>
            <w:tr w14:paraId="4ACA7335">
              <w:tblPrEx>
                <w:tblCellMar>
                  <w:top w:w="0" w:type="dxa"/>
                  <w:left w:w="108" w:type="dxa"/>
                  <w:bottom w:w="0" w:type="dxa"/>
                  <w:right w:w="108" w:type="dxa"/>
                </w:tblCellMar>
              </w:tblPrEx>
              <w:trPr>
                <w:trHeight w:val="272" w:hRule="atLeast"/>
                <w:jc w:val="center"/>
              </w:trPr>
              <w:tc>
                <w:tcPr>
                  <w:tcW w:w="105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F84CF64">
                  <w:pPr>
                    <w:jc w:val="center"/>
                    <w:rPr>
                      <w:color w:val="000000" w:themeColor="text1"/>
                      <w:szCs w:val="21"/>
                      <w:highlight w:val="none"/>
                    </w:rPr>
                  </w:pPr>
                </w:p>
              </w:tc>
              <w:tc>
                <w:tcPr>
                  <w:tcW w:w="13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FD8D5F">
                  <w:pPr>
                    <w:widowControl/>
                    <w:jc w:val="center"/>
                    <w:textAlignment w:val="center"/>
                    <w:rPr>
                      <w:color w:val="000000" w:themeColor="text1"/>
                      <w:szCs w:val="21"/>
                      <w:highlight w:val="none"/>
                    </w:rPr>
                  </w:pPr>
                  <w:r>
                    <w:rPr>
                      <w:color w:val="000000" w:themeColor="text1"/>
                      <w:kern w:val="0"/>
                      <w:szCs w:val="21"/>
                      <w:highlight w:val="none"/>
                    </w:rPr>
                    <w:t>工业用地</w:t>
                  </w:r>
                </w:p>
              </w:tc>
              <w:tc>
                <w:tcPr>
                  <w:tcW w:w="82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9E4E6FE">
                  <w:pPr>
                    <w:widowControl/>
                    <w:jc w:val="center"/>
                    <w:textAlignment w:val="center"/>
                    <w:rPr>
                      <w:color w:val="000000" w:themeColor="text1"/>
                      <w:szCs w:val="21"/>
                      <w:highlight w:val="none"/>
                    </w:rPr>
                  </w:pPr>
                  <w:r>
                    <w:rPr>
                      <w:color w:val="000000" w:themeColor="text1"/>
                      <w:kern w:val="0"/>
                      <w:szCs w:val="21"/>
                      <w:highlight w:val="none"/>
                    </w:rPr>
                    <w:t>2</w:t>
                  </w:r>
                </w:p>
              </w:tc>
              <w:tc>
                <w:tcPr>
                  <w:tcW w:w="94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09287D">
                  <w:pPr>
                    <w:widowControl/>
                    <w:jc w:val="center"/>
                    <w:textAlignment w:val="center"/>
                    <w:rPr>
                      <w:color w:val="000000" w:themeColor="text1"/>
                      <w:szCs w:val="21"/>
                      <w:highlight w:val="none"/>
                    </w:rPr>
                  </w:pPr>
                  <w:r>
                    <w:rPr>
                      <w:color w:val="000000" w:themeColor="text1"/>
                      <w:kern w:val="0"/>
                      <w:szCs w:val="21"/>
                      <w:highlight w:val="none"/>
                    </w:rPr>
                    <w:t>1160.30</w:t>
                  </w:r>
                </w:p>
              </w:tc>
              <w:tc>
                <w:tcPr>
                  <w:tcW w:w="8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E02948">
                  <w:pPr>
                    <w:widowControl/>
                    <w:jc w:val="center"/>
                    <w:textAlignment w:val="center"/>
                    <w:rPr>
                      <w:color w:val="000000" w:themeColor="text1"/>
                      <w:szCs w:val="21"/>
                      <w:highlight w:val="none"/>
                    </w:rPr>
                  </w:pPr>
                  <w:r>
                    <w:rPr>
                      <w:rFonts w:hint="eastAsia"/>
                      <w:color w:val="000000" w:themeColor="text1"/>
                      <w:kern w:val="0"/>
                      <w:szCs w:val="21"/>
                      <w:highlight w:val="none"/>
                    </w:rPr>
                    <w:t>0.12</w:t>
                  </w:r>
                </w:p>
              </w:tc>
            </w:tr>
            <w:tr w14:paraId="0904E796">
              <w:tblPrEx>
                <w:tblCellMar>
                  <w:top w:w="0" w:type="dxa"/>
                  <w:left w:w="108" w:type="dxa"/>
                  <w:bottom w:w="0" w:type="dxa"/>
                  <w:right w:w="108" w:type="dxa"/>
                </w:tblCellMar>
              </w:tblPrEx>
              <w:trPr>
                <w:trHeight w:val="272" w:hRule="atLeast"/>
                <w:jc w:val="center"/>
              </w:trPr>
              <w:tc>
                <w:tcPr>
                  <w:tcW w:w="105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CA24785">
                  <w:pPr>
                    <w:jc w:val="center"/>
                    <w:rPr>
                      <w:color w:val="000000" w:themeColor="text1"/>
                      <w:szCs w:val="21"/>
                      <w:highlight w:val="none"/>
                    </w:rPr>
                  </w:pPr>
                </w:p>
              </w:tc>
              <w:tc>
                <w:tcPr>
                  <w:tcW w:w="13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2DBDD1">
                  <w:pPr>
                    <w:widowControl/>
                    <w:jc w:val="center"/>
                    <w:textAlignment w:val="center"/>
                    <w:rPr>
                      <w:color w:val="000000" w:themeColor="text1"/>
                      <w:szCs w:val="21"/>
                      <w:highlight w:val="none"/>
                    </w:rPr>
                  </w:pPr>
                  <w:r>
                    <w:rPr>
                      <w:color w:val="000000" w:themeColor="text1"/>
                      <w:kern w:val="0"/>
                      <w:szCs w:val="21"/>
                      <w:highlight w:val="none"/>
                    </w:rPr>
                    <w:t>道路</w:t>
                  </w:r>
                </w:p>
              </w:tc>
              <w:tc>
                <w:tcPr>
                  <w:tcW w:w="82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C8DC65">
                  <w:pPr>
                    <w:widowControl/>
                    <w:jc w:val="center"/>
                    <w:textAlignment w:val="center"/>
                    <w:rPr>
                      <w:color w:val="000000" w:themeColor="text1"/>
                      <w:szCs w:val="21"/>
                      <w:highlight w:val="none"/>
                    </w:rPr>
                  </w:pPr>
                  <w:r>
                    <w:rPr>
                      <w:color w:val="000000" w:themeColor="text1"/>
                      <w:kern w:val="0"/>
                      <w:szCs w:val="21"/>
                      <w:highlight w:val="none"/>
                    </w:rPr>
                    <w:t>3</w:t>
                  </w:r>
                </w:p>
              </w:tc>
              <w:tc>
                <w:tcPr>
                  <w:tcW w:w="94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167E68">
                  <w:pPr>
                    <w:widowControl/>
                    <w:jc w:val="center"/>
                    <w:textAlignment w:val="center"/>
                    <w:rPr>
                      <w:color w:val="000000" w:themeColor="text1"/>
                      <w:szCs w:val="21"/>
                      <w:highlight w:val="none"/>
                    </w:rPr>
                  </w:pPr>
                  <w:r>
                    <w:rPr>
                      <w:color w:val="000000" w:themeColor="text1"/>
                      <w:kern w:val="0"/>
                      <w:szCs w:val="21"/>
                      <w:highlight w:val="none"/>
                    </w:rPr>
                    <w:t>38270.70</w:t>
                  </w:r>
                </w:p>
              </w:tc>
              <w:tc>
                <w:tcPr>
                  <w:tcW w:w="8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B85994">
                  <w:pPr>
                    <w:widowControl/>
                    <w:jc w:val="center"/>
                    <w:textAlignment w:val="center"/>
                    <w:rPr>
                      <w:color w:val="000000" w:themeColor="text1"/>
                      <w:szCs w:val="21"/>
                      <w:highlight w:val="none"/>
                    </w:rPr>
                  </w:pPr>
                  <w:r>
                    <w:rPr>
                      <w:rFonts w:hint="eastAsia"/>
                      <w:color w:val="000000" w:themeColor="text1"/>
                      <w:kern w:val="0"/>
                      <w:szCs w:val="21"/>
                      <w:highlight w:val="none"/>
                    </w:rPr>
                    <w:t>4.01</w:t>
                  </w:r>
                </w:p>
              </w:tc>
            </w:tr>
            <w:tr w14:paraId="1DBA69CF">
              <w:tblPrEx>
                <w:tblCellMar>
                  <w:top w:w="0" w:type="dxa"/>
                  <w:left w:w="108" w:type="dxa"/>
                  <w:bottom w:w="0" w:type="dxa"/>
                  <w:right w:w="108" w:type="dxa"/>
                </w:tblCellMar>
              </w:tblPrEx>
              <w:trPr>
                <w:trHeight w:val="272" w:hRule="atLeast"/>
                <w:jc w:val="center"/>
              </w:trPr>
              <w:tc>
                <w:tcPr>
                  <w:tcW w:w="1055"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3A93B942">
                  <w:pPr>
                    <w:jc w:val="center"/>
                    <w:rPr>
                      <w:color w:val="000000" w:themeColor="text1"/>
                      <w:szCs w:val="21"/>
                      <w:highlight w:val="none"/>
                    </w:rPr>
                  </w:pPr>
                </w:p>
              </w:tc>
              <w:tc>
                <w:tcPr>
                  <w:tcW w:w="13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D60148">
                  <w:pPr>
                    <w:widowControl/>
                    <w:jc w:val="center"/>
                    <w:textAlignment w:val="center"/>
                    <w:rPr>
                      <w:rFonts w:hint="eastAsia" w:eastAsia="宋体"/>
                      <w:color w:val="000000" w:themeColor="text1"/>
                      <w:szCs w:val="21"/>
                      <w:highlight w:val="none"/>
                      <w:lang w:val="en-US" w:eastAsia="zh-CN"/>
                    </w:rPr>
                  </w:pPr>
                  <w:r>
                    <w:rPr>
                      <w:color w:val="000000" w:themeColor="text1"/>
                      <w:kern w:val="0"/>
                      <w:szCs w:val="21"/>
                      <w:highlight w:val="none"/>
                    </w:rPr>
                    <w:t>裸土</w:t>
                  </w:r>
                  <w:r>
                    <w:rPr>
                      <w:rStyle w:val="31"/>
                      <w:rFonts w:hint="eastAsia"/>
                      <w:color w:val="000000" w:themeColor="text1"/>
                      <w:kern w:val="0"/>
                      <w:highlight w:val="none"/>
                      <w:lang w:val="en-US" w:eastAsia="zh-CN"/>
                    </w:rPr>
                    <w:t>地</w:t>
                  </w:r>
                </w:p>
              </w:tc>
              <w:tc>
                <w:tcPr>
                  <w:tcW w:w="82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96036D">
                  <w:pPr>
                    <w:widowControl/>
                    <w:jc w:val="center"/>
                    <w:textAlignment w:val="center"/>
                    <w:rPr>
                      <w:color w:val="000000" w:themeColor="text1"/>
                      <w:szCs w:val="21"/>
                      <w:highlight w:val="none"/>
                    </w:rPr>
                  </w:pPr>
                  <w:r>
                    <w:rPr>
                      <w:color w:val="000000" w:themeColor="text1"/>
                      <w:kern w:val="0"/>
                      <w:szCs w:val="21"/>
                      <w:highlight w:val="none"/>
                    </w:rPr>
                    <w:t>5</w:t>
                  </w:r>
                </w:p>
              </w:tc>
              <w:tc>
                <w:tcPr>
                  <w:tcW w:w="94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220CC5">
                  <w:pPr>
                    <w:widowControl/>
                    <w:jc w:val="center"/>
                    <w:textAlignment w:val="center"/>
                    <w:rPr>
                      <w:color w:val="000000" w:themeColor="text1"/>
                      <w:szCs w:val="21"/>
                      <w:highlight w:val="none"/>
                    </w:rPr>
                  </w:pPr>
                  <w:r>
                    <w:rPr>
                      <w:color w:val="000000" w:themeColor="text1"/>
                      <w:kern w:val="0"/>
                      <w:szCs w:val="21"/>
                      <w:highlight w:val="none"/>
                    </w:rPr>
                    <w:t>11381.05</w:t>
                  </w:r>
                </w:p>
              </w:tc>
              <w:tc>
                <w:tcPr>
                  <w:tcW w:w="8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56C964C">
                  <w:pPr>
                    <w:widowControl/>
                    <w:jc w:val="center"/>
                    <w:textAlignment w:val="center"/>
                    <w:rPr>
                      <w:color w:val="000000" w:themeColor="text1"/>
                      <w:szCs w:val="21"/>
                      <w:highlight w:val="none"/>
                    </w:rPr>
                  </w:pPr>
                  <w:r>
                    <w:rPr>
                      <w:rFonts w:hint="eastAsia"/>
                      <w:color w:val="000000" w:themeColor="text1"/>
                      <w:kern w:val="0"/>
                      <w:szCs w:val="21"/>
                      <w:highlight w:val="none"/>
                    </w:rPr>
                    <w:t>1.19</w:t>
                  </w:r>
                </w:p>
              </w:tc>
            </w:tr>
            <w:tr w14:paraId="53A54E9E">
              <w:tblPrEx>
                <w:tblCellMar>
                  <w:top w:w="0" w:type="dxa"/>
                  <w:left w:w="108" w:type="dxa"/>
                  <w:bottom w:w="0" w:type="dxa"/>
                  <w:right w:w="108" w:type="dxa"/>
                </w:tblCellMar>
              </w:tblPrEx>
              <w:trPr>
                <w:trHeight w:val="272" w:hRule="atLeast"/>
                <w:jc w:val="center"/>
              </w:trPr>
              <w:tc>
                <w:tcPr>
                  <w:tcW w:w="2392"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1E1B0D7">
                  <w:pPr>
                    <w:jc w:val="center"/>
                    <w:rPr>
                      <w:color w:val="000000" w:themeColor="text1"/>
                      <w:szCs w:val="21"/>
                      <w:highlight w:val="none"/>
                    </w:rPr>
                  </w:pPr>
                  <w:r>
                    <w:rPr>
                      <w:rFonts w:hint="eastAsia"/>
                      <w:color w:val="000000" w:themeColor="text1"/>
                      <w:szCs w:val="21"/>
                      <w:highlight w:val="none"/>
                    </w:rPr>
                    <w:t>合计</w:t>
                  </w:r>
                </w:p>
              </w:tc>
              <w:tc>
                <w:tcPr>
                  <w:tcW w:w="82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66C24B">
                  <w:pPr>
                    <w:widowControl/>
                    <w:jc w:val="center"/>
                    <w:textAlignment w:val="center"/>
                    <w:rPr>
                      <w:color w:val="000000" w:themeColor="text1"/>
                      <w:szCs w:val="21"/>
                      <w:highlight w:val="none"/>
                    </w:rPr>
                  </w:pPr>
                  <w:r>
                    <w:rPr>
                      <w:color w:val="000000" w:themeColor="text1"/>
                      <w:kern w:val="0"/>
                      <w:szCs w:val="21"/>
                      <w:highlight w:val="none"/>
                    </w:rPr>
                    <w:t>76</w:t>
                  </w:r>
                </w:p>
              </w:tc>
              <w:tc>
                <w:tcPr>
                  <w:tcW w:w="94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977EE54">
                  <w:pPr>
                    <w:widowControl/>
                    <w:jc w:val="center"/>
                    <w:textAlignment w:val="center"/>
                    <w:rPr>
                      <w:color w:val="000000" w:themeColor="text1"/>
                      <w:szCs w:val="21"/>
                      <w:highlight w:val="none"/>
                    </w:rPr>
                  </w:pPr>
                  <w:r>
                    <w:rPr>
                      <w:color w:val="000000" w:themeColor="text1"/>
                      <w:kern w:val="0"/>
                      <w:szCs w:val="21"/>
                      <w:highlight w:val="none"/>
                    </w:rPr>
                    <w:t>954934.4534</w:t>
                  </w:r>
                </w:p>
              </w:tc>
              <w:tc>
                <w:tcPr>
                  <w:tcW w:w="83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14B1E0">
                  <w:pPr>
                    <w:jc w:val="center"/>
                    <w:rPr>
                      <w:color w:val="000000" w:themeColor="text1"/>
                      <w:szCs w:val="21"/>
                      <w:highlight w:val="none"/>
                    </w:rPr>
                  </w:pPr>
                  <w:r>
                    <w:rPr>
                      <w:rFonts w:hint="eastAsia"/>
                      <w:color w:val="000000" w:themeColor="text1"/>
                      <w:szCs w:val="21"/>
                      <w:highlight w:val="none"/>
                    </w:rPr>
                    <w:t>100</w:t>
                  </w:r>
                </w:p>
              </w:tc>
            </w:tr>
          </w:tbl>
          <w:p w14:paraId="23C84EBA">
            <w:pPr>
              <w:pStyle w:val="14"/>
              <w:spacing w:before="0" w:after="0" w:line="0" w:lineRule="atLeast"/>
              <w:ind w:right="0"/>
              <w:jc w:val="center"/>
              <w:rPr>
                <w:color w:val="000000" w:themeColor="text1"/>
                <w:sz w:val="24"/>
                <w:szCs w:val="24"/>
                <w:highlight w:val="none"/>
              </w:rPr>
            </w:pPr>
            <w:r>
              <w:rPr>
                <w:color w:val="000000" w:themeColor="text1"/>
                <w:sz w:val="24"/>
                <w:szCs w:val="24"/>
                <w:highlight w:val="none"/>
              </w:rPr>
              <w:t>表3</w:t>
            </w:r>
            <w:r>
              <w:rPr>
                <w:rFonts w:hint="eastAsia"/>
                <w:color w:val="000000" w:themeColor="text1"/>
                <w:sz w:val="24"/>
                <w:szCs w:val="24"/>
                <w:highlight w:val="none"/>
              </w:rPr>
              <w:t>-4  项目</w:t>
            </w:r>
            <w:r>
              <w:rPr>
                <w:color w:val="000000" w:themeColor="text1"/>
                <w:sz w:val="24"/>
                <w:szCs w:val="24"/>
                <w:highlight w:val="none"/>
              </w:rPr>
              <w:t>区植被类型现状结果统计</w:t>
            </w:r>
          </w:p>
          <w:tbl>
            <w:tblPr>
              <w:tblStyle w:val="26"/>
              <w:tblW w:w="7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9"/>
              <w:gridCol w:w="1845"/>
              <w:gridCol w:w="1258"/>
              <w:gridCol w:w="1506"/>
              <w:gridCol w:w="1506"/>
            </w:tblGrid>
            <w:tr w14:paraId="009B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539" w:type="dxa"/>
                  <w:shd w:val="clear" w:color="auto" w:fill="auto"/>
                  <w:noWrap/>
                  <w:vAlign w:val="center"/>
                </w:tcPr>
                <w:p w14:paraId="341C9B4A">
                  <w:pPr>
                    <w:widowControl/>
                    <w:jc w:val="center"/>
                    <w:textAlignment w:val="center"/>
                    <w:rPr>
                      <w:color w:val="000000" w:themeColor="text1"/>
                      <w:szCs w:val="21"/>
                      <w:highlight w:val="none"/>
                    </w:rPr>
                  </w:pPr>
                  <w:r>
                    <w:rPr>
                      <w:color w:val="000000" w:themeColor="text1"/>
                      <w:kern w:val="0"/>
                      <w:szCs w:val="21"/>
                      <w:highlight w:val="none"/>
                    </w:rPr>
                    <w:t>一级类型</w:t>
                  </w:r>
                </w:p>
              </w:tc>
              <w:tc>
                <w:tcPr>
                  <w:tcW w:w="1845" w:type="dxa"/>
                  <w:shd w:val="clear" w:color="auto" w:fill="auto"/>
                  <w:noWrap/>
                  <w:vAlign w:val="center"/>
                </w:tcPr>
                <w:p w14:paraId="7C6498BC">
                  <w:pPr>
                    <w:widowControl/>
                    <w:jc w:val="center"/>
                    <w:textAlignment w:val="center"/>
                    <w:rPr>
                      <w:color w:val="000000" w:themeColor="text1"/>
                      <w:szCs w:val="21"/>
                      <w:highlight w:val="none"/>
                    </w:rPr>
                  </w:pPr>
                  <w:r>
                    <w:rPr>
                      <w:color w:val="000000" w:themeColor="text1"/>
                      <w:kern w:val="0"/>
                      <w:szCs w:val="21"/>
                      <w:highlight w:val="none"/>
                    </w:rPr>
                    <w:t>二级类型</w:t>
                  </w:r>
                </w:p>
              </w:tc>
              <w:tc>
                <w:tcPr>
                  <w:tcW w:w="1258" w:type="dxa"/>
                  <w:shd w:val="clear" w:color="auto" w:fill="auto"/>
                  <w:noWrap/>
                  <w:vAlign w:val="center"/>
                </w:tcPr>
                <w:p w14:paraId="08379421">
                  <w:pPr>
                    <w:widowControl/>
                    <w:jc w:val="center"/>
                    <w:textAlignment w:val="center"/>
                    <w:rPr>
                      <w:color w:val="000000" w:themeColor="text1"/>
                      <w:szCs w:val="21"/>
                      <w:highlight w:val="none"/>
                    </w:rPr>
                  </w:pPr>
                  <w:r>
                    <w:rPr>
                      <w:color w:val="000000" w:themeColor="text1"/>
                      <w:kern w:val="0"/>
                      <w:szCs w:val="21"/>
                      <w:highlight w:val="none"/>
                    </w:rPr>
                    <w:t>斑块数（个）</w:t>
                  </w:r>
                </w:p>
              </w:tc>
              <w:tc>
                <w:tcPr>
                  <w:tcW w:w="1506" w:type="dxa"/>
                  <w:shd w:val="clear" w:color="auto" w:fill="auto"/>
                  <w:noWrap/>
                  <w:vAlign w:val="center"/>
                </w:tcPr>
                <w:p w14:paraId="0A198C6E">
                  <w:pPr>
                    <w:widowControl/>
                    <w:jc w:val="center"/>
                    <w:textAlignment w:val="center"/>
                    <w:rPr>
                      <w:color w:val="000000" w:themeColor="text1"/>
                      <w:szCs w:val="21"/>
                      <w:highlight w:val="none"/>
                    </w:rPr>
                  </w:pPr>
                  <w:r>
                    <w:rPr>
                      <w:color w:val="000000" w:themeColor="text1"/>
                      <w:kern w:val="0"/>
                      <w:szCs w:val="21"/>
                      <w:highlight w:val="none"/>
                    </w:rPr>
                    <w:t>面积（平米）</w:t>
                  </w:r>
                </w:p>
              </w:tc>
              <w:tc>
                <w:tcPr>
                  <w:tcW w:w="1506" w:type="dxa"/>
                  <w:shd w:val="clear" w:color="auto" w:fill="auto"/>
                  <w:noWrap/>
                  <w:vAlign w:val="center"/>
                </w:tcPr>
                <w:p w14:paraId="6A1C042A">
                  <w:pPr>
                    <w:widowControl/>
                    <w:jc w:val="center"/>
                    <w:textAlignment w:val="center"/>
                    <w:rPr>
                      <w:color w:val="000000" w:themeColor="text1"/>
                      <w:kern w:val="0"/>
                      <w:szCs w:val="21"/>
                      <w:highlight w:val="none"/>
                    </w:rPr>
                  </w:pPr>
                  <w:r>
                    <w:rPr>
                      <w:color w:val="000000" w:themeColor="text1"/>
                      <w:szCs w:val="21"/>
                      <w:highlight w:val="none"/>
                    </w:rPr>
                    <w:t>占</w:t>
                  </w:r>
                  <w:r>
                    <w:rPr>
                      <w:rFonts w:hint="eastAsia"/>
                      <w:color w:val="000000" w:themeColor="text1"/>
                      <w:szCs w:val="21"/>
                      <w:highlight w:val="none"/>
                    </w:rPr>
                    <w:t>项目</w:t>
                  </w:r>
                  <w:r>
                    <w:rPr>
                      <w:color w:val="000000" w:themeColor="text1"/>
                      <w:szCs w:val="21"/>
                      <w:highlight w:val="none"/>
                    </w:rPr>
                    <w:t>区面积的%</w:t>
                  </w:r>
                </w:p>
              </w:tc>
            </w:tr>
            <w:tr w14:paraId="5BC6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539" w:type="dxa"/>
                  <w:shd w:val="clear" w:color="auto" w:fill="auto"/>
                  <w:noWrap/>
                  <w:vAlign w:val="center"/>
                </w:tcPr>
                <w:p w14:paraId="0D4C3A1F">
                  <w:pPr>
                    <w:widowControl/>
                    <w:jc w:val="center"/>
                    <w:textAlignment w:val="center"/>
                    <w:rPr>
                      <w:color w:val="000000" w:themeColor="text1"/>
                      <w:szCs w:val="21"/>
                      <w:highlight w:val="none"/>
                    </w:rPr>
                  </w:pPr>
                  <w:r>
                    <w:rPr>
                      <w:color w:val="000000" w:themeColor="text1"/>
                      <w:kern w:val="0"/>
                      <w:szCs w:val="21"/>
                      <w:highlight w:val="none"/>
                    </w:rPr>
                    <w:t>高平原典型草原植被</w:t>
                  </w:r>
                </w:p>
              </w:tc>
              <w:tc>
                <w:tcPr>
                  <w:tcW w:w="1845" w:type="dxa"/>
                  <w:shd w:val="clear" w:color="auto" w:fill="auto"/>
                  <w:noWrap/>
                  <w:vAlign w:val="center"/>
                </w:tcPr>
                <w:p w14:paraId="5D880209">
                  <w:pPr>
                    <w:widowControl/>
                    <w:jc w:val="center"/>
                    <w:textAlignment w:val="center"/>
                    <w:rPr>
                      <w:color w:val="000000" w:themeColor="text1"/>
                      <w:szCs w:val="21"/>
                      <w:highlight w:val="none"/>
                    </w:rPr>
                  </w:pPr>
                  <w:r>
                    <w:rPr>
                      <w:color w:val="000000" w:themeColor="text1"/>
                      <w:kern w:val="0"/>
                      <w:szCs w:val="21"/>
                      <w:highlight w:val="none"/>
                    </w:rPr>
                    <w:t>百里香、蒿类</w:t>
                  </w:r>
                </w:p>
              </w:tc>
              <w:tc>
                <w:tcPr>
                  <w:tcW w:w="1258" w:type="dxa"/>
                  <w:shd w:val="clear" w:color="auto" w:fill="auto"/>
                  <w:noWrap/>
                  <w:vAlign w:val="center"/>
                </w:tcPr>
                <w:p w14:paraId="6C3F0496">
                  <w:pPr>
                    <w:widowControl/>
                    <w:jc w:val="center"/>
                    <w:textAlignment w:val="center"/>
                    <w:rPr>
                      <w:color w:val="000000" w:themeColor="text1"/>
                      <w:szCs w:val="21"/>
                      <w:highlight w:val="none"/>
                    </w:rPr>
                  </w:pPr>
                  <w:r>
                    <w:rPr>
                      <w:color w:val="000000" w:themeColor="text1"/>
                      <w:kern w:val="0"/>
                      <w:szCs w:val="21"/>
                      <w:highlight w:val="none"/>
                    </w:rPr>
                    <w:t>1</w:t>
                  </w:r>
                </w:p>
              </w:tc>
              <w:tc>
                <w:tcPr>
                  <w:tcW w:w="1506" w:type="dxa"/>
                  <w:shd w:val="clear" w:color="auto" w:fill="auto"/>
                  <w:noWrap/>
                  <w:vAlign w:val="center"/>
                </w:tcPr>
                <w:p w14:paraId="650777AC">
                  <w:pPr>
                    <w:widowControl/>
                    <w:jc w:val="center"/>
                    <w:textAlignment w:val="center"/>
                    <w:rPr>
                      <w:color w:val="000000" w:themeColor="text1"/>
                      <w:szCs w:val="21"/>
                      <w:highlight w:val="none"/>
                    </w:rPr>
                  </w:pPr>
                  <w:r>
                    <w:rPr>
                      <w:color w:val="000000" w:themeColor="text1"/>
                      <w:kern w:val="0"/>
                      <w:szCs w:val="21"/>
                      <w:highlight w:val="none"/>
                    </w:rPr>
                    <w:t>5107.84</w:t>
                  </w:r>
                </w:p>
              </w:tc>
              <w:tc>
                <w:tcPr>
                  <w:tcW w:w="1506" w:type="dxa"/>
                  <w:shd w:val="clear" w:color="auto" w:fill="auto"/>
                  <w:noWrap/>
                  <w:vAlign w:val="center"/>
                </w:tcPr>
                <w:p w14:paraId="2006DB02">
                  <w:pPr>
                    <w:widowControl/>
                    <w:jc w:val="center"/>
                    <w:textAlignment w:val="center"/>
                    <w:rPr>
                      <w:color w:val="000000" w:themeColor="text1"/>
                      <w:kern w:val="0"/>
                      <w:szCs w:val="21"/>
                      <w:highlight w:val="none"/>
                    </w:rPr>
                  </w:pPr>
                  <w:r>
                    <w:rPr>
                      <w:rFonts w:hint="eastAsia"/>
                      <w:color w:val="000000" w:themeColor="text1"/>
                      <w:kern w:val="0"/>
                      <w:szCs w:val="21"/>
                      <w:highlight w:val="none"/>
                    </w:rPr>
                    <w:t>85.15</w:t>
                  </w:r>
                </w:p>
              </w:tc>
            </w:tr>
            <w:tr w14:paraId="7DA5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539" w:type="dxa"/>
                  <w:shd w:val="clear" w:color="auto" w:fill="auto"/>
                  <w:noWrap/>
                  <w:vAlign w:val="center"/>
                </w:tcPr>
                <w:p w14:paraId="698D3053">
                  <w:pPr>
                    <w:widowControl/>
                    <w:jc w:val="center"/>
                    <w:textAlignment w:val="center"/>
                    <w:rPr>
                      <w:color w:val="000000" w:themeColor="text1"/>
                      <w:kern w:val="0"/>
                      <w:szCs w:val="21"/>
                      <w:highlight w:val="none"/>
                    </w:rPr>
                  </w:pPr>
                  <w:r>
                    <w:rPr>
                      <w:rFonts w:hint="eastAsia"/>
                      <w:color w:val="000000" w:themeColor="text1"/>
                      <w:kern w:val="0"/>
                      <w:szCs w:val="21"/>
                      <w:highlight w:val="none"/>
                    </w:rPr>
                    <w:t>人工林</w:t>
                  </w:r>
                </w:p>
              </w:tc>
              <w:tc>
                <w:tcPr>
                  <w:tcW w:w="1845" w:type="dxa"/>
                  <w:shd w:val="clear" w:color="auto" w:fill="auto"/>
                  <w:noWrap/>
                  <w:vAlign w:val="center"/>
                </w:tcPr>
                <w:p w14:paraId="3E5B3148">
                  <w:pPr>
                    <w:widowControl/>
                    <w:jc w:val="center"/>
                    <w:textAlignment w:val="center"/>
                    <w:rPr>
                      <w:color w:val="000000" w:themeColor="text1"/>
                      <w:kern w:val="0"/>
                      <w:szCs w:val="21"/>
                      <w:highlight w:val="none"/>
                    </w:rPr>
                  </w:pPr>
                  <w:r>
                    <w:rPr>
                      <w:rFonts w:hint="eastAsia"/>
                      <w:color w:val="000000" w:themeColor="text1"/>
                      <w:kern w:val="0"/>
                      <w:szCs w:val="21"/>
                      <w:highlight w:val="none"/>
                    </w:rPr>
                    <w:t>杨树</w:t>
                  </w:r>
                </w:p>
              </w:tc>
              <w:tc>
                <w:tcPr>
                  <w:tcW w:w="1258" w:type="dxa"/>
                  <w:shd w:val="clear" w:color="auto" w:fill="auto"/>
                  <w:noWrap/>
                  <w:vAlign w:val="center"/>
                </w:tcPr>
                <w:p w14:paraId="39811E11">
                  <w:pPr>
                    <w:widowControl/>
                    <w:jc w:val="center"/>
                    <w:textAlignment w:val="center"/>
                    <w:rPr>
                      <w:color w:val="000000" w:themeColor="text1"/>
                      <w:kern w:val="0"/>
                      <w:szCs w:val="21"/>
                      <w:highlight w:val="none"/>
                    </w:rPr>
                  </w:pPr>
                  <w:r>
                    <w:rPr>
                      <w:rFonts w:hint="eastAsia"/>
                      <w:color w:val="000000" w:themeColor="text1"/>
                      <w:kern w:val="0"/>
                      <w:szCs w:val="21"/>
                      <w:highlight w:val="none"/>
                    </w:rPr>
                    <w:t>1</w:t>
                  </w:r>
                </w:p>
              </w:tc>
              <w:tc>
                <w:tcPr>
                  <w:tcW w:w="1506" w:type="dxa"/>
                  <w:shd w:val="clear" w:color="auto" w:fill="auto"/>
                  <w:noWrap/>
                  <w:vAlign w:val="center"/>
                </w:tcPr>
                <w:p w14:paraId="53482542">
                  <w:pPr>
                    <w:widowControl/>
                    <w:jc w:val="center"/>
                    <w:textAlignment w:val="center"/>
                    <w:rPr>
                      <w:color w:val="000000" w:themeColor="text1"/>
                      <w:kern w:val="0"/>
                      <w:szCs w:val="21"/>
                      <w:highlight w:val="none"/>
                    </w:rPr>
                  </w:pPr>
                  <w:r>
                    <w:rPr>
                      <w:color w:val="000000" w:themeColor="text1"/>
                      <w:kern w:val="0"/>
                      <w:szCs w:val="21"/>
                      <w:highlight w:val="none"/>
                    </w:rPr>
                    <w:t>891.11</w:t>
                  </w:r>
                </w:p>
              </w:tc>
              <w:tc>
                <w:tcPr>
                  <w:tcW w:w="1506" w:type="dxa"/>
                  <w:shd w:val="clear" w:color="auto" w:fill="auto"/>
                  <w:noWrap/>
                  <w:vAlign w:val="center"/>
                </w:tcPr>
                <w:p w14:paraId="22DF8431">
                  <w:pPr>
                    <w:widowControl/>
                    <w:jc w:val="center"/>
                    <w:textAlignment w:val="center"/>
                    <w:rPr>
                      <w:color w:val="000000" w:themeColor="text1"/>
                      <w:kern w:val="0"/>
                      <w:szCs w:val="21"/>
                      <w:highlight w:val="none"/>
                    </w:rPr>
                  </w:pPr>
                  <w:r>
                    <w:rPr>
                      <w:rFonts w:hint="eastAsia"/>
                      <w:color w:val="000000" w:themeColor="text1"/>
                      <w:kern w:val="0"/>
                      <w:szCs w:val="21"/>
                      <w:highlight w:val="none"/>
                    </w:rPr>
                    <w:t>14.85</w:t>
                  </w:r>
                </w:p>
              </w:tc>
            </w:tr>
            <w:tr w14:paraId="40FB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3384" w:type="dxa"/>
                  <w:gridSpan w:val="2"/>
                  <w:shd w:val="clear" w:color="auto" w:fill="auto"/>
                  <w:noWrap/>
                  <w:vAlign w:val="center"/>
                </w:tcPr>
                <w:p w14:paraId="1D1CEB0F">
                  <w:pPr>
                    <w:widowControl/>
                    <w:jc w:val="center"/>
                    <w:textAlignment w:val="center"/>
                    <w:rPr>
                      <w:color w:val="000000" w:themeColor="text1"/>
                      <w:kern w:val="0"/>
                      <w:szCs w:val="21"/>
                      <w:highlight w:val="none"/>
                    </w:rPr>
                  </w:pPr>
                  <w:r>
                    <w:rPr>
                      <w:rFonts w:hint="eastAsia"/>
                      <w:color w:val="000000" w:themeColor="text1"/>
                      <w:kern w:val="0"/>
                      <w:szCs w:val="21"/>
                      <w:highlight w:val="none"/>
                    </w:rPr>
                    <w:t>合计</w:t>
                  </w:r>
                </w:p>
              </w:tc>
              <w:tc>
                <w:tcPr>
                  <w:tcW w:w="1258" w:type="dxa"/>
                  <w:shd w:val="clear" w:color="auto" w:fill="auto"/>
                  <w:noWrap/>
                  <w:vAlign w:val="center"/>
                </w:tcPr>
                <w:p w14:paraId="30B89E09">
                  <w:pPr>
                    <w:widowControl/>
                    <w:jc w:val="center"/>
                    <w:textAlignment w:val="center"/>
                    <w:rPr>
                      <w:color w:val="000000" w:themeColor="text1"/>
                      <w:kern w:val="0"/>
                      <w:szCs w:val="21"/>
                      <w:highlight w:val="none"/>
                    </w:rPr>
                  </w:pPr>
                  <w:r>
                    <w:rPr>
                      <w:rFonts w:hint="eastAsia"/>
                      <w:color w:val="000000" w:themeColor="text1"/>
                      <w:kern w:val="0"/>
                      <w:szCs w:val="21"/>
                      <w:highlight w:val="none"/>
                    </w:rPr>
                    <w:t>1</w:t>
                  </w:r>
                </w:p>
              </w:tc>
              <w:tc>
                <w:tcPr>
                  <w:tcW w:w="1506" w:type="dxa"/>
                  <w:shd w:val="clear" w:color="auto" w:fill="auto"/>
                  <w:noWrap/>
                  <w:vAlign w:val="center"/>
                </w:tcPr>
                <w:p w14:paraId="171B6F62">
                  <w:pPr>
                    <w:widowControl/>
                    <w:jc w:val="center"/>
                    <w:textAlignment w:val="center"/>
                    <w:rPr>
                      <w:rFonts w:ascii="宋体" w:hAnsi="宋体" w:cs="宋体"/>
                      <w:color w:val="000000" w:themeColor="text1"/>
                      <w:szCs w:val="21"/>
                      <w:highlight w:val="none"/>
                    </w:rPr>
                  </w:pPr>
                  <w:r>
                    <w:rPr>
                      <w:color w:val="000000" w:themeColor="text1"/>
                      <w:szCs w:val="21"/>
                      <w:highlight w:val="none"/>
                    </w:rPr>
                    <w:t>5998.95</w:t>
                  </w:r>
                </w:p>
              </w:tc>
              <w:tc>
                <w:tcPr>
                  <w:tcW w:w="1506" w:type="dxa"/>
                  <w:shd w:val="clear" w:color="auto" w:fill="auto"/>
                  <w:noWrap/>
                  <w:vAlign w:val="center"/>
                </w:tcPr>
                <w:p w14:paraId="23C2AC51">
                  <w:pPr>
                    <w:widowControl/>
                    <w:jc w:val="center"/>
                    <w:textAlignment w:val="center"/>
                    <w:rPr>
                      <w:color w:val="000000" w:themeColor="text1"/>
                      <w:kern w:val="0"/>
                      <w:szCs w:val="21"/>
                      <w:highlight w:val="none"/>
                    </w:rPr>
                  </w:pPr>
                  <w:r>
                    <w:rPr>
                      <w:rFonts w:hint="eastAsia"/>
                      <w:color w:val="000000" w:themeColor="text1"/>
                      <w:kern w:val="0"/>
                      <w:szCs w:val="21"/>
                      <w:highlight w:val="none"/>
                    </w:rPr>
                    <w:t>100</w:t>
                  </w:r>
                </w:p>
              </w:tc>
            </w:tr>
          </w:tbl>
          <w:p w14:paraId="112DB41B">
            <w:pPr>
              <w:pStyle w:val="9"/>
              <w:spacing w:after="0" w:line="360" w:lineRule="auto"/>
              <w:ind w:left="0" w:leftChars="0" w:firstLine="480" w:firstLineChars="200"/>
              <w:rPr>
                <w:color w:val="000000" w:themeColor="text1"/>
                <w:sz w:val="24"/>
                <w:highlight w:val="none"/>
              </w:rPr>
            </w:pPr>
            <w:r>
              <w:rPr>
                <w:color w:val="000000" w:themeColor="text1"/>
                <w:sz w:val="24"/>
                <w:highlight w:val="none"/>
              </w:rPr>
              <w:t>统计结果显示，项目区用地范围内植被类型主要为百里香、蒿类。</w:t>
            </w:r>
          </w:p>
          <w:p w14:paraId="5C6284B8">
            <w:pPr>
              <w:pStyle w:val="9"/>
              <w:spacing w:after="0" w:line="360" w:lineRule="auto"/>
              <w:ind w:left="0" w:leftChars="0" w:firstLine="480" w:firstLineChars="200"/>
              <w:rPr>
                <w:color w:val="000000" w:themeColor="text1"/>
                <w:sz w:val="24"/>
                <w:highlight w:val="none"/>
              </w:rPr>
            </w:pPr>
            <w:r>
              <w:rPr>
                <w:color w:val="000000" w:themeColor="text1"/>
                <w:sz w:val="24"/>
                <w:highlight w:val="none"/>
              </w:rPr>
              <w:t>评价区主要植被类型为百里香、蒿类，占评价区面积的</w:t>
            </w:r>
            <w:r>
              <w:rPr>
                <w:rFonts w:hint="eastAsia"/>
                <w:color w:val="000000" w:themeColor="text1"/>
                <w:sz w:val="24"/>
                <w:highlight w:val="none"/>
              </w:rPr>
              <w:t>67.15</w:t>
            </w:r>
            <w:r>
              <w:rPr>
                <w:color w:val="000000" w:themeColor="text1"/>
                <w:sz w:val="24"/>
                <w:highlight w:val="none"/>
              </w:rPr>
              <w:t>%；隐子草、冷蒿</w:t>
            </w:r>
            <w:r>
              <w:rPr>
                <w:rFonts w:hint="eastAsia"/>
                <w:color w:val="000000" w:themeColor="text1"/>
                <w:sz w:val="24"/>
                <w:highlight w:val="none"/>
              </w:rPr>
              <w:t>；樟子松；杨树；达乌里胡枝子、本氏针茅；旱地；非植被区域</w:t>
            </w:r>
            <w:r>
              <w:rPr>
                <w:color w:val="000000" w:themeColor="text1"/>
                <w:sz w:val="24"/>
                <w:highlight w:val="none"/>
              </w:rPr>
              <w:t>占评价区面积的</w:t>
            </w:r>
            <w:r>
              <w:rPr>
                <w:rFonts w:hint="eastAsia"/>
                <w:color w:val="000000" w:themeColor="text1"/>
                <w:sz w:val="24"/>
                <w:highlight w:val="none"/>
              </w:rPr>
              <w:t>5.06</w:t>
            </w:r>
            <w:r>
              <w:rPr>
                <w:color w:val="000000" w:themeColor="text1"/>
                <w:sz w:val="24"/>
                <w:highlight w:val="none"/>
              </w:rPr>
              <w:t>%</w:t>
            </w:r>
            <w:r>
              <w:rPr>
                <w:rFonts w:hint="eastAsia"/>
                <w:color w:val="000000" w:themeColor="text1"/>
                <w:sz w:val="24"/>
                <w:highlight w:val="none"/>
              </w:rPr>
              <w:t>、5.84</w:t>
            </w:r>
            <w:r>
              <w:rPr>
                <w:color w:val="000000" w:themeColor="text1"/>
                <w:sz w:val="24"/>
                <w:highlight w:val="none"/>
              </w:rPr>
              <w:t>%</w:t>
            </w:r>
            <w:r>
              <w:rPr>
                <w:rFonts w:hint="eastAsia"/>
                <w:color w:val="000000" w:themeColor="text1"/>
                <w:sz w:val="24"/>
                <w:highlight w:val="none"/>
              </w:rPr>
              <w:t>、5.25</w:t>
            </w:r>
            <w:r>
              <w:rPr>
                <w:color w:val="000000" w:themeColor="text1"/>
                <w:sz w:val="24"/>
                <w:highlight w:val="none"/>
              </w:rPr>
              <w:t>%</w:t>
            </w:r>
            <w:r>
              <w:rPr>
                <w:rFonts w:hint="eastAsia"/>
                <w:color w:val="000000" w:themeColor="text1"/>
                <w:sz w:val="24"/>
                <w:highlight w:val="none"/>
              </w:rPr>
              <w:t>、3.18</w:t>
            </w:r>
            <w:r>
              <w:rPr>
                <w:color w:val="000000" w:themeColor="text1"/>
                <w:sz w:val="24"/>
                <w:highlight w:val="none"/>
              </w:rPr>
              <w:t>%</w:t>
            </w:r>
            <w:r>
              <w:rPr>
                <w:rFonts w:hint="eastAsia"/>
                <w:color w:val="000000" w:themeColor="text1"/>
                <w:sz w:val="24"/>
                <w:highlight w:val="none"/>
              </w:rPr>
              <w:t>、1.39</w:t>
            </w:r>
            <w:r>
              <w:rPr>
                <w:color w:val="000000" w:themeColor="text1"/>
                <w:sz w:val="24"/>
                <w:highlight w:val="none"/>
              </w:rPr>
              <w:t>%</w:t>
            </w:r>
            <w:r>
              <w:rPr>
                <w:rFonts w:hint="eastAsia"/>
                <w:color w:val="000000" w:themeColor="text1"/>
                <w:sz w:val="24"/>
                <w:highlight w:val="none"/>
              </w:rPr>
              <w:t>、12.13</w:t>
            </w:r>
            <w:r>
              <w:rPr>
                <w:color w:val="000000" w:themeColor="text1"/>
                <w:sz w:val="24"/>
                <w:highlight w:val="none"/>
              </w:rPr>
              <w:t>%。</w:t>
            </w:r>
          </w:p>
          <w:p w14:paraId="6667C30A">
            <w:pPr>
              <w:jc w:val="center"/>
              <w:rPr>
                <w:color w:val="000000" w:themeColor="text1"/>
                <w:szCs w:val="21"/>
                <w:highlight w:val="none"/>
              </w:rPr>
            </w:pPr>
            <w:r>
              <w:rPr>
                <w:color w:val="000000" w:themeColor="text1"/>
                <w:szCs w:val="21"/>
                <w:highlight w:val="none"/>
              </w:rPr>
              <w:drawing>
                <wp:inline distT="0" distB="0" distL="114300" distR="114300">
                  <wp:extent cx="4792345" cy="3387725"/>
                  <wp:effectExtent l="0" t="0" r="8255" b="3175"/>
                  <wp:docPr id="65" name="图片 65" descr="植被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植被1"/>
                          <pic:cNvPicPr>
                            <a:picLocks noChangeAspect="1"/>
                          </pic:cNvPicPr>
                        </pic:nvPicPr>
                        <pic:blipFill>
                          <a:blip r:embed="rId14" cstate="print"/>
                          <a:stretch>
                            <a:fillRect/>
                          </a:stretch>
                        </pic:blipFill>
                        <pic:spPr>
                          <a:xfrm>
                            <a:off x="0" y="0"/>
                            <a:ext cx="4792345" cy="3387725"/>
                          </a:xfrm>
                          <a:prstGeom prst="rect">
                            <a:avLst/>
                          </a:prstGeom>
                        </pic:spPr>
                      </pic:pic>
                    </a:graphicData>
                  </a:graphic>
                </wp:inline>
              </w:drawing>
            </w:r>
          </w:p>
          <w:p w14:paraId="1ABE307E">
            <w:pPr>
              <w:jc w:val="center"/>
              <w:rPr>
                <w:color w:val="000000" w:themeColor="text1"/>
                <w:sz w:val="24"/>
                <w:highlight w:val="none"/>
              </w:rPr>
            </w:pPr>
            <w:r>
              <w:rPr>
                <w:color w:val="000000" w:themeColor="text1"/>
                <w:sz w:val="24"/>
                <w:highlight w:val="none"/>
              </w:rPr>
              <w:t>图3</w:t>
            </w:r>
            <w:r>
              <w:rPr>
                <w:rFonts w:hint="eastAsia"/>
                <w:color w:val="000000" w:themeColor="text1"/>
                <w:sz w:val="24"/>
                <w:highlight w:val="none"/>
              </w:rPr>
              <w:t xml:space="preserve">-3 </w:t>
            </w:r>
            <w:r>
              <w:rPr>
                <w:color w:val="000000" w:themeColor="text1"/>
                <w:sz w:val="24"/>
                <w:highlight w:val="none"/>
              </w:rPr>
              <w:t>项目区及评价区植被类型</w:t>
            </w:r>
          </w:p>
          <w:p w14:paraId="3A4C8508">
            <w:pPr>
              <w:pStyle w:val="25"/>
              <w:spacing w:before="0" w:after="0" w:line="240" w:lineRule="auto"/>
              <w:ind w:right="0" w:firstLine="0" w:firstLineChars="0"/>
              <w:rPr>
                <w:color w:val="000000" w:themeColor="text1"/>
                <w:highlight w:val="none"/>
              </w:rPr>
            </w:pPr>
            <w:r>
              <w:rPr>
                <w:color w:val="000000" w:themeColor="text1"/>
                <w:highlight w:val="none"/>
              </w:rPr>
              <w:drawing>
                <wp:inline distT="0" distB="0" distL="114300" distR="114300">
                  <wp:extent cx="4792345" cy="3387725"/>
                  <wp:effectExtent l="0" t="0" r="8255" b="3175"/>
                  <wp:docPr id="66" name="图片 66" descr="盖度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盖度3"/>
                          <pic:cNvPicPr>
                            <a:picLocks noChangeAspect="1"/>
                          </pic:cNvPicPr>
                        </pic:nvPicPr>
                        <pic:blipFill>
                          <a:blip r:embed="rId15" cstate="print"/>
                          <a:stretch>
                            <a:fillRect/>
                          </a:stretch>
                        </pic:blipFill>
                        <pic:spPr>
                          <a:xfrm>
                            <a:off x="0" y="0"/>
                            <a:ext cx="4792345" cy="3387725"/>
                          </a:xfrm>
                          <a:prstGeom prst="rect">
                            <a:avLst/>
                          </a:prstGeom>
                        </pic:spPr>
                      </pic:pic>
                    </a:graphicData>
                  </a:graphic>
                </wp:inline>
              </w:drawing>
            </w:r>
          </w:p>
          <w:p w14:paraId="4848F185">
            <w:pPr>
              <w:jc w:val="center"/>
              <w:rPr>
                <w:color w:val="000000" w:themeColor="text1"/>
                <w:szCs w:val="21"/>
                <w:highlight w:val="none"/>
              </w:rPr>
            </w:pPr>
            <w:r>
              <w:rPr>
                <w:rFonts w:hint="eastAsia"/>
                <w:color w:val="000000" w:themeColor="text1"/>
                <w:sz w:val="24"/>
                <w:highlight w:val="none"/>
              </w:rPr>
              <w:t>图3-4  植被覆盖度</w:t>
            </w:r>
          </w:p>
          <w:p w14:paraId="4C35337B">
            <w:pPr>
              <w:spacing w:line="360" w:lineRule="auto"/>
              <w:ind w:firstLine="480" w:firstLineChars="200"/>
              <w:jc w:val="left"/>
              <w:rPr>
                <w:color w:val="000000" w:themeColor="text1"/>
                <w:sz w:val="24"/>
                <w:highlight w:val="none"/>
              </w:rPr>
            </w:pPr>
            <w:r>
              <w:rPr>
                <w:rFonts w:hint="eastAsia"/>
                <w:color w:val="000000" w:themeColor="text1"/>
                <w:sz w:val="24"/>
                <w:highlight w:val="none"/>
              </w:rPr>
              <w:t>（3）生态系统</w:t>
            </w:r>
          </w:p>
          <w:p w14:paraId="3DE6B43D">
            <w:pPr>
              <w:spacing w:line="360" w:lineRule="auto"/>
              <w:ind w:firstLine="472" w:firstLineChars="200"/>
              <w:rPr>
                <w:color w:val="000000" w:themeColor="text1"/>
                <w:highlight w:val="none"/>
              </w:rPr>
            </w:pPr>
            <w:r>
              <w:rPr>
                <w:rFonts w:hint="eastAsia"/>
                <w:color w:val="000000" w:themeColor="text1"/>
                <w:spacing w:val="-2"/>
                <w:sz w:val="24"/>
                <w:highlight w:val="none"/>
              </w:rPr>
              <w:t>评价范围内生态系统类型主要为林地生态系统、草地生态系统、农田生态系统、城镇生态系统及裸地</w:t>
            </w:r>
            <w:r>
              <w:rPr>
                <w:color w:val="000000" w:themeColor="text1"/>
                <w:spacing w:val="-2"/>
                <w:sz w:val="24"/>
                <w:highlight w:val="none"/>
              </w:rPr>
              <w:t>，</w:t>
            </w:r>
            <w:r>
              <w:rPr>
                <w:rFonts w:hint="eastAsia"/>
                <w:color w:val="000000" w:themeColor="text1"/>
                <w:spacing w:val="-2"/>
                <w:sz w:val="24"/>
                <w:highlight w:val="none"/>
              </w:rPr>
              <w:t>项目用地范围为草地生态系统</w:t>
            </w:r>
            <w:r>
              <w:rPr>
                <w:color w:val="000000" w:themeColor="text1"/>
                <w:spacing w:val="-2"/>
                <w:sz w:val="24"/>
                <w:highlight w:val="none"/>
              </w:rPr>
              <w:t>。</w:t>
            </w:r>
            <w:r>
              <w:rPr>
                <w:rFonts w:hint="eastAsia"/>
                <w:color w:val="000000" w:themeColor="text1"/>
                <w:spacing w:val="-2"/>
                <w:sz w:val="24"/>
                <w:highlight w:val="none"/>
              </w:rPr>
              <w:t>评价范围及项目区生态系统类型</w:t>
            </w:r>
            <w:r>
              <w:rPr>
                <w:rFonts w:hint="eastAsia"/>
                <w:color w:val="000000" w:themeColor="text1"/>
                <w:sz w:val="24"/>
                <w:highlight w:val="none"/>
              </w:rPr>
              <w:t>见表3-5、表3-6、图3-5。</w:t>
            </w:r>
          </w:p>
          <w:p w14:paraId="0A46ADC2">
            <w:pPr>
              <w:jc w:val="center"/>
              <w:rPr>
                <w:color w:val="000000" w:themeColor="text1"/>
                <w:highlight w:val="none"/>
              </w:rPr>
            </w:pPr>
            <w:r>
              <w:rPr>
                <w:color w:val="000000" w:themeColor="text1"/>
                <w:sz w:val="24"/>
                <w:highlight w:val="none"/>
              </w:rPr>
              <w:t>表3</w:t>
            </w:r>
            <w:r>
              <w:rPr>
                <w:rFonts w:hint="eastAsia"/>
                <w:color w:val="000000" w:themeColor="text1"/>
                <w:sz w:val="24"/>
                <w:highlight w:val="none"/>
              </w:rPr>
              <w:t>-</w:t>
            </w:r>
            <w:r>
              <w:rPr>
                <w:color w:val="000000" w:themeColor="text1"/>
                <w:sz w:val="24"/>
                <w:highlight w:val="none"/>
              </w:rPr>
              <w:t>5评价区内</w:t>
            </w:r>
            <w:r>
              <w:rPr>
                <w:rFonts w:hint="eastAsia"/>
                <w:color w:val="000000" w:themeColor="text1"/>
                <w:sz w:val="24"/>
                <w:highlight w:val="none"/>
              </w:rPr>
              <w:t>生态系统现状结果统计</w:t>
            </w:r>
          </w:p>
          <w:tbl>
            <w:tblPr>
              <w:tblStyle w:val="26"/>
              <w:tblW w:w="7664" w:type="dxa"/>
              <w:jc w:val="center"/>
              <w:tblLayout w:type="fixed"/>
              <w:tblCellMar>
                <w:top w:w="0" w:type="dxa"/>
                <w:left w:w="108" w:type="dxa"/>
                <w:bottom w:w="0" w:type="dxa"/>
                <w:right w:w="108" w:type="dxa"/>
              </w:tblCellMar>
            </w:tblPr>
            <w:tblGrid>
              <w:gridCol w:w="1335"/>
              <w:gridCol w:w="1420"/>
              <w:gridCol w:w="1229"/>
              <w:gridCol w:w="1942"/>
              <w:gridCol w:w="1738"/>
            </w:tblGrid>
            <w:tr w14:paraId="61C50FAA">
              <w:tblPrEx>
                <w:tblCellMar>
                  <w:top w:w="0" w:type="dxa"/>
                  <w:left w:w="108" w:type="dxa"/>
                  <w:bottom w:w="0" w:type="dxa"/>
                  <w:right w:w="108" w:type="dxa"/>
                </w:tblCellMar>
              </w:tblPrEx>
              <w:trPr>
                <w:trHeight w:val="272" w:hRule="atLeast"/>
                <w:jc w:val="center"/>
              </w:trPr>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06D0">
                  <w:pPr>
                    <w:widowControl/>
                    <w:jc w:val="center"/>
                    <w:textAlignment w:val="center"/>
                    <w:rPr>
                      <w:color w:val="000000" w:themeColor="text1"/>
                      <w:szCs w:val="21"/>
                      <w:highlight w:val="none"/>
                    </w:rPr>
                  </w:pPr>
                  <w:r>
                    <w:rPr>
                      <w:color w:val="000000" w:themeColor="text1"/>
                      <w:kern w:val="0"/>
                      <w:szCs w:val="21"/>
                      <w:highlight w:val="none"/>
                    </w:rPr>
                    <w:t>一级类型</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4ADCF">
                  <w:pPr>
                    <w:widowControl/>
                    <w:jc w:val="center"/>
                    <w:textAlignment w:val="center"/>
                    <w:rPr>
                      <w:color w:val="000000" w:themeColor="text1"/>
                      <w:szCs w:val="21"/>
                      <w:highlight w:val="none"/>
                    </w:rPr>
                  </w:pPr>
                  <w:r>
                    <w:rPr>
                      <w:color w:val="000000" w:themeColor="text1"/>
                      <w:kern w:val="0"/>
                      <w:szCs w:val="21"/>
                      <w:highlight w:val="none"/>
                    </w:rPr>
                    <w:t>二级类型</w:t>
                  </w:r>
                </w:p>
              </w:tc>
              <w:tc>
                <w:tcPr>
                  <w:tcW w:w="1229"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7683F64">
                  <w:pPr>
                    <w:widowControl/>
                    <w:jc w:val="center"/>
                    <w:textAlignment w:val="center"/>
                    <w:rPr>
                      <w:color w:val="000000" w:themeColor="text1"/>
                      <w:szCs w:val="21"/>
                      <w:highlight w:val="none"/>
                    </w:rPr>
                  </w:pPr>
                  <w:r>
                    <w:rPr>
                      <w:color w:val="000000" w:themeColor="text1"/>
                      <w:kern w:val="0"/>
                      <w:szCs w:val="21"/>
                      <w:highlight w:val="none"/>
                    </w:rPr>
                    <w:t>斑块数（个）</w:t>
                  </w:r>
                </w:p>
              </w:tc>
              <w:tc>
                <w:tcPr>
                  <w:tcW w:w="19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BC4D60">
                  <w:pPr>
                    <w:widowControl/>
                    <w:jc w:val="center"/>
                    <w:textAlignment w:val="center"/>
                    <w:rPr>
                      <w:color w:val="000000" w:themeColor="text1"/>
                      <w:szCs w:val="21"/>
                      <w:highlight w:val="none"/>
                    </w:rPr>
                  </w:pPr>
                  <w:r>
                    <w:rPr>
                      <w:color w:val="000000" w:themeColor="text1"/>
                      <w:kern w:val="0"/>
                      <w:szCs w:val="21"/>
                      <w:highlight w:val="none"/>
                    </w:rPr>
                    <w:t>面积（平米）</w:t>
                  </w:r>
                </w:p>
              </w:tc>
              <w:tc>
                <w:tcPr>
                  <w:tcW w:w="1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C99A48">
                  <w:pPr>
                    <w:jc w:val="center"/>
                    <w:rPr>
                      <w:color w:val="000000" w:themeColor="text1"/>
                      <w:szCs w:val="21"/>
                      <w:highlight w:val="none"/>
                    </w:rPr>
                  </w:pPr>
                  <w:r>
                    <w:rPr>
                      <w:color w:val="000000" w:themeColor="text1"/>
                      <w:szCs w:val="21"/>
                      <w:highlight w:val="none"/>
                    </w:rPr>
                    <w:t>占评价区面积的%</w:t>
                  </w:r>
                </w:p>
              </w:tc>
            </w:tr>
            <w:tr w14:paraId="447A04C4">
              <w:tblPrEx>
                <w:tblCellMar>
                  <w:top w:w="0" w:type="dxa"/>
                  <w:left w:w="108" w:type="dxa"/>
                  <w:bottom w:w="0" w:type="dxa"/>
                  <w:right w:w="108" w:type="dxa"/>
                </w:tblCellMar>
              </w:tblPrEx>
              <w:trPr>
                <w:trHeight w:val="272" w:hRule="atLeast"/>
                <w:jc w:val="center"/>
              </w:trPr>
              <w:tc>
                <w:tcPr>
                  <w:tcW w:w="133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8DF43">
                  <w:pPr>
                    <w:widowControl/>
                    <w:jc w:val="center"/>
                    <w:textAlignment w:val="center"/>
                    <w:rPr>
                      <w:color w:val="000000" w:themeColor="text1"/>
                      <w:szCs w:val="21"/>
                      <w:highlight w:val="none"/>
                    </w:rPr>
                  </w:pPr>
                  <w:r>
                    <w:rPr>
                      <w:color w:val="000000" w:themeColor="text1"/>
                      <w:kern w:val="0"/>
                      <w:szCs w:val="21"/>
                      <w:highlight w:val="none"/>
                    </w:rPr>
                    <w:t>林地生态系统</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3AC4E">
                  <w:pPr>
                    <w:widowControl/>
                    <w:jc w:val="center"/>
                    <w:textAlignment w:val="center"/>
                    <w:rPr>
                      <w:color w:val="000000" w:themeColor="text1"/>
                      <w:szCs w:val="21"/>
                      <w:highlight w:val="none"/>
                    </w:rPr>
                  </w:pPr>
                  <w:r>
                    <w:rPr>
                      <w:color w:val="000000" w:themeColor="text1"/>
                      <w:kern w:val="0"/>
                      <w:szCs w:val="21"/>
                      <w:highlight w:val="none"/>
                    </w:rPr>
                    <w:t>针叶林</w:t>
                  </w:r>
                </w:p>
              </w:tc>
              <w:tc>
                <w:tcPr>
                  <w:tcW w:w="1229"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8D34F00">
                  <w:pPr>
                    <w:widowControl/>
                    <w:jc w:val="center"/>
                    <w:textAlignment w:val="center"/>
                    <w:rPr>
                      <w:color w:val="000000" w:themeColor="text1"/>
                      <w:szCs w:val="21"/>
                      <w:highlight w:val="none"/>
                    </w:rPr>
                  </w:pPr>
                  <w:r>
                    <w:rPr>
                      <w:color w:val="000000" w:themeColor="text1"/>
                      <w:kern w:val="0"/>
                      <w:szCs w:val="21"/>
                      <w:highlight w:val="none"/>
                    </w:rPr>
                    <w:t>5</w:t>
                  </w:r>
                </w:p>
              </w:tc>
              <w:tc>
                <w:tcPr>
                  <w:tcW w:w="19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A1FAE2">
                  <w:pPr>
                    <w:widowControl/>
                    <w:jc w:val="center"/>
                    <w:textAlignment w:val="center"/>
                    <w:rPr>
                      <w:color w:val="000000" w:themeColor="text1"/>
                      <w:szCs w:val="21"/>
                      <w:highlight w:val="none"/>
                    </w:rPr>
                  </w:pPr>
                  <w:r>
                    <w:rPr>
                      <w:color w:val="000000" w:themeColor="text1"/>
                      <w:kern w:val="0"/>
                      <w:szCs w:val="21"/>
                      <w:highlight w:val="none"/>
                    </w:rPr>
                    <w:t>55788.69</w:t>
                  </w:r>
                </w:p>
              </w:tc>
              <w:tc>
                <w:tcPr>
                  <w:tcW w:w="1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477BC4">
                  <w:pPr>
                    <w:widowControl/>
                    <w:jc w:val="center"/>
                    <w:textAlignment w:val="center"/>
                    <w:rPr>
                      <w:color w:val="000000" w:themeColor="text1"/>
                      <w:szCs w:val="21"/>
                      <w:highlight w:val="none"/>
                    </w:rPr>
                  </w:pPr>
                  <w:r>
                    <w:rPr>
                      <w:rFonts w:hint="eastAsia"/>
                      <w:color w:val="000000" w:themeColor="text1"/>
                      <w:kern w:val="0"/>
                      <w:szCs w:val="21"/>
                      <w:highlight w:val="none"/>
                    </w:rPr>
                    <w:t>5.84</w:t>
                  </w:r>
                </w:p>
              </w:tc>
            </w:tr>
            <w:tr w14:paraId="6A86122C">
              <w:tblPrEx>
                <w:tblCellMar>
                  <w:top w:w="0" w:type="dxa"/>
                  <w:left w:w="108" w:type="dxa"/>
                  <w:bottom w:w="0" w:type="dxa"/>
                  <w:right w:w="108" w:type="dxa"/>
                </w:tblCellMar>
              </w:tblPrEx>
              <w:trPr>
                <w:trHeight w:val="272" w:hRule="atLeast"/>
                <w:jc w:val="center"/>
              </w:trPr>
              <w:tc>
                <w:tcPr>
                  <w:tcW w:w="133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3D3D0">
                  <w:pPr>
                    <w:jc w:val="center"/>
                    <w:rPr>
                      <w:color w:val="000000" w:themeColor="text1"/>
                      <w:szCs w:val="21"/>
                      <w:highlight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F98EF">
                  <w:pPr>
                    <w:widowControl/>
                    <w:jc w:val="center"/>
                    <w:textAlignment w:val="center"/>
                    <w:rPr>
                      <w:color w:val="000000" w:themeColor="text1"/>
                      <w:szCs w:val="21"/>
                      <w:highlight w:val="none"/>
                    </w:rPr>
                  </w:pPr>
                  <w:r>
                    <w:rPr>
                      <w:color w:val="000000" w:themeColor="text1"/>
                      <w:kern w:val="0"/>
                      <w:szCs w:val="21"/>
                      <w:highlight w:val="none"/>
                    </w:rPr>
                    <w:t>阔叶林</w:t>
                  </w:r>
                </w:p>
              </w:tc>
              <w:tc>
                <w:tcPr>
                  <w:tcW w:w="1229"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8DDC7C9">
                  <w:pPr>
                    <w:widowControl/>
                    <w:jc w:val="center"/>
                    <w:textAlignment w:val="center"/>
                    <w:rPr>
                      <w:color w:val="000000" w:themeColor="text1"/>
                      <w:szCs w:val="21"/>
                      <w:highlight w:val="none"/>
                    </w:rPr>
                  </w:pPr>
                  <w:r>
                    <w:rPr>
                      <w:color w:val="000000" w:themeColor="text1"/>
                      <w:kern w:val="0"/>
                      <w:szCs w:val="21"/>
                      <w:highlight w:val="none"/>
                    </w:rPr>
                    <w:t>28</w:t>
                  </w:r>
                </w:p>
              </w:tc>
              <w:tc>
                <w:tcPr>
                  <w:tcW w:w="19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9F2266">
                  <w:pPr>
                    <w:widowControl/>
                    <w:jc w:val="center"/>
                    <w:textAlignment w:val="center"/>
                    <w:rPr>
                      <w:color w:val="000000" w:themeColor="text1"/>
                      <w:szCs w:val="21"/>
                      <w:highlight w:val="none"/>
                    </w:rPr>
                  </w:pPr>
                  <w:r>
                    <w:rPr>
                      <w:color w:val="000000" w:themeColor="text1"/>
                      <w:kern w:val="0"/>
                      <w:szCs w:val="21"/>
                      <w:highlight w:val="none"/>
                    </w:rPr>
                    <w:t>50149.19</w:t>
                  </w:r>
                </w:p>
              </w:tc>
              <w:tc>
                <w:tcPr>
                  <w:tcW w:w="1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514A52">
                  <w:pPr>
                    <w:widowControl/>
                    <w:jc w:val="center"/>
                    <w:textAlignment w:val="center"/>
                    <w:rPr>
                      <w:color w:val="000000" w:themeColor="text1"/>
                      <w:szCs w:val="21"/>
                      <w:highlight w:val="none"/>
                    </w:rPr>
                  </w:pPr>
                  <w:r>
                    <w:rPr>
                      <w:rFonts w:hint="eastAsia"/>
                      <w:color w:val="000000" w:themeColor="text1"/>
                      <w:kern w:val="0"/>
                      <w:szCs w:val="21"/>
                      <w:highlight w:val="none"/>
                    </w:rPr>
                    <w:t>5.25</w:t>
                  </w:r>
                </w:p>
              </w:tc>
            </w:tr>
            <w:tr w14:paraId="0FE123DE">
              <w:tblPrEx>
                <w:tblCellMar>
                  <w:top w:w="0" w:type="dxa"/>
                  <w:left w:w="108" w:type="dxa"/>
                  <w:bottom w:w="0" w:type="dxa"/>
                  <w:right w:w="108" w:type="dxa"/>
                </w:tblCellMar>
              </w:tblPrEx>
              <w:trPr>
                <w:trHeight w:val="272" w:hRule="atLeast"/>
                <w:jc w:val="center"/>
              </w:trPr>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CA1F4">
                  <w:pPr>
                    <w:widowControl/>
                    <w:jc w:val="center"/>
                    <w:textAlignment w:val="center"/>
                    <w:rPr>
                      <w:color w:val="000000" w:themeColor="text1"/>
                      <w:szCs w:val="21"/>
                      <w:highlight w:val="none"/>
                    </w:rPr>
                  </w:pPr>
                  <w:r>
                    <w:rPr>
                      <w:color w:val="000000" w:themeColor="text1"/>
                      <w:kern w:val="0"/>
                      <w:szCs w:val="21"/>
                      <w:highlight w:val="none"/>
                    </w:rPr>
                    <w:t>草地生态系统</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9F6E2">
                  <w:pPr>
                    <w:widowControl/>
                    <w:jc w:val="center"/>
                    <w:textAlignment w:val="center"/>
                    <w:rPr>
                      <w:color w:val="000000" w:themeColor="text1"/>
                      <w:szCs w:val="21"/>
                      <w:highlight w:val="none"/>
                    </w:rPr>
                  </w:pPr>
                  <w:r>
                    <w:rPr>
                      <w:color w:val="000000" w:themeColor="text1"/>
                      <w:kern w:val="0"/>
                      <w:szCs w:val="21"/>
                      <w:highlight w:val="none"/>
                    </w:rPr>
                    <w:t>稀疏草地</w:t>
                  </w:r>
                </w:p>
              </w:tc>
              <w:tc>
                <w:tcPr>
                  <w:tcW w:w="1229"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10DDEA42">
                  <w:pPr>
                    <w:widowControl/>
                    <w:jc w:val="center"/>
                    <w:textAlignment w:val="center"/>
                    <w:rPr>
                      <w:color w:val="000000" w:themeColor="text1"/>
                      <w:szCs w:val="21"/>
                      <w:highlight w:val="none"/>
                    </w:rPr>
                  </w:pPr>
                  <w:r>
                    <w:rPr>
                      <w:color w:val="000000" w:themeColor="text1"/>
                      <w:kern w:val="0"/>
                      <w:szCs w:val="21"/>
                      <w:highlight w:val="none"/>
                    </w:rPr>
                    <w:t>25</w:t>
                  </w:r>
                </w:p>
              </w:tc>
              <w:tc>
                <w:tcPr>
                  <w:tcW w:w="19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510C1E">
                  <w:pPr>
                    <w:widowControl/>
                    <w:jc w:val="center"/>
                    <w:textAlignment w:val="center"/>
                    <w:rPr>
                      <w:color w:val="000000" w:themeColor="text1"/>
                      <w:szCs w:val="21"/>
                      <w:highlight w:val="none"/>
                    </w:rPr>
                  </w:pPr>
                  <w:r>
                    <w:rPr>
                      <w:color w:val="000000" w:themeColor="text1"/>
                      <w:kern w:val="0"/>
                      <w:szCs w:val="21"/>
                      <w:highlight w:val="none"/>
                    </w:rPr>
                    <w:t>719977.17</w:t>
                  </w:r>
                </w:p>
              </w:tc>
              <w:tc>
                <w:tcPr>
                  <w:tcW w:w="1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33FE1E">
                  <w:pPr>
                    <w:widowControl/>
                    <w:jc w:val="center"/>
                    <w:textAlignment w:val="center"/>
                    <w:rPr>
                      <w:color w:val="000000" w:themeColor="text1"/>
                      <w:szCs w:val="21"/>
                      <w:highlight w:val="none"/>
                    </w:rPr>
                  </w:pPr>
                  <w:r>
                    <w:rPr>
                      <w:color w:val="000000" w:themeColor="text1"/>
                      <w:kern w:val="0"/>
                      <w:szCs w:val="21"/>
                      <w:highlight w:val="none"/>
                    </w:rPr>
                    <w:t>75</w:t>
                  </w:r>
                  <w:r>
                    <w:rPr>
                      <w:rFonts w:hint="eastAsia"/>
                      <w:color w:val="000000" w:themeColor="text1"/>
                      <w:kern w:val="0"/>
                      <w:szCs w:val="21"/>
                      <w:highlight w:val="none"/>
                    </w:rPr>
                    <w:t>.40</w:t>
                  </w:r>
                </w:p>
              </w:tc>
            </w:tr>
            <w:tr w14:paraId="753BC0A8">
              <w:tblPrEx>
                <w:tblCellMar>
                  <w:top w:w="0" w:type="dxa"/>
                  <w:left w:w="108" w:type="dxa"/>
                  <w:bottom w:w="0" w:type="dxa"/>
                  <w:right w:w="108" w:type="dxa"/>
                </w:tblCellMar>
              </w:tblPrEx>
              <w:trPr>
                <w:trHeight w:val="272" w:hRule="atLeast"/>
                <w:jc w:val="center"/>
              </w:trPr>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5DD7">
                  <w:pPr>
                    <w:widowControl/>
                    <w:jc w:val="center"/>
                    <w:textAlignment w:val="center"/>
                    <w:rPr>
                      <w:color w:val="000000" w:themeColor="text1"/>
                      <w:szCs w:val="21"/>
                      <w:highlight w:val="none"/>
                    </w:rPr>
                  </w:pPr>
                  <w:r>
                    <w:rPr>
                      <w:color w:val="000000" w:themeColor="text1"/>
                      <w:kern w:val="0"/>
                      <w:szCs w:val="21"/>
                      <w:highlight w:val="none"/>
                    </w:rPr>
                    <w:t>农田生态系统</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08423">
                  <w:pPr>
                    <w:widowControl/>
                    <w:jc w:val="center"/>
                    <w:textAlignment w:val="center"/>
                    <w:rPr>
                      <w:color w:val="000000" w:themeColor="text1"/>
                      <w:szCs w:val="21"/>
                      <w:highlight w:val="none"/>
                    </w:rPr>
                  </w:pPr>
                  <w:r>
                    <w:rPr>
                      <w:color w:val="000000" w:themeColor="text1"/>
                      <w:kern w:val="0"/>
                      <w:szCs w:val="21"/>
                      <w:highlight w:val="none"/>
                    </w:rPr>
                    <w:t>耕地</w:t>
                  </w:r>
                </w:p>
              </w:tc>
              <w:tc>
                <w:tcPr>
                  <w:tcW w:w="1229"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0333C7D">
                  <w:pPr>
                    <w:widowControl/>
                    <w:jc w:val="center"/>
                    <w:textAlignment w:val="center"/>
                    <w:rPr>
                      <w:color w:val="000000" w:themeColor="text1"/>
                      <w:szCs w:val="21"/>
                      <w:highlight w:val="none"/>
                    </w:rPr>
                  </w:pPr>
                  <w:r>
                    <w:rPr>
                      <w:color w:val="000000" w:themeColor="text1"/>
                      <w:kern w:val="0"/>
                      <w:szCs w:val="21"/>
                      <w:highlight w:val="none"/>
                    </w:rPr>
                    <w:t>5</w:t>
                  </w:r>
                </w:p>
              </w:tc>
              <w:tc>
                <w:tcPr>
                  <w:tcW w:w="19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503A28">
                  <w:pPr>
                    <w:widowControl/>
                    <w:jc w:val="center"/>
                    <w:textAlignment w:val="center"/>
                    <w:rPr>
                      <w:color w:val="000000" w:themeColor="text1"/>
                      <w:szCs w:val="21"/>
                      <w:highlight w:val="none"/>
                    </w:rPr>
                  </w:pPr>
                  <w:r>
                    <w:rPr>
                      <w:color w:val="000000" w:themeColor="text1"/>
                      <w:kern w:val="0"/>
                      <w:szCs w:val="21"/>
                      <w:highlight w:val="none"/>
                    </w:rPr>
                    <w:t>13232.93</w:t>
                  </w:r>
                </w:p>
              </w:tc>
              <w:tc>
                <w:tcPr>
                  <w:tcW w:w="1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2C486A">
                  <w:pPr>
                    <w:widowControl/>
                    <w:jc w:val="center"/>
                    <w:textAlignment w:val="center"/>
                    <w:rPr>
                      <w:color w:val="000000" w:themeColor="text1"/>
                      <w:szCs w:val="21"/>
                      <w:highlight w:val="none"/>
                    </w:rPr>
                  </w:pPr>
                  <w:r>
                    <w:rPr>
                      <w:color w:val="000000" w:themeColor="text1"/>
                      <w:kern w:val="0"/>
                      <w:szCs w:val="21"/>
                      <w:highlight w:val="none"/>
                    </w:rPr>
                    <w:t>1</w:t>
                  </w:r>
                  <w:r>
                    <w:rPr>
                      <w:rFonts w:hint="eastAsia"/>
                      <w:color w:val="000000" w:themeColor="text1"/>
                      <w:kern w:val="0"/>
                      <w:szCs w:val="21"/>
                      <w:highlight w:val="none"/>
                    </w:rPr>
                    <w:t>.39</w:t>
                  </w:r>
                </w:p>
              </w:tc>
            </w:tr>
            <w:tr w14:paraId="2358ED5F">
              <w:tblPrEx>
                <w:tblCellMar>
                  <w:top w:w="0" w:type="dxa"/>
                  <w:left w:w="108" w:type="dxa"/>
                  <w:bottom w:w="0" w:type="dxa"/>
                  <w:right w:w="108" w:type="dxa"/>
                </w:tblCellMar>
              </w:tblPrEx>
              <w:trPr>
                <w:trHeight w:val="272" w:hRule="atLeast"/>
                <w:jc w:val="center"/>
              </w:trPr>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3E92B">
                  <w:pPr>
                    <w:widowControl/>
                    <w:jc w:val="center"/>
                    <w:textAlignment w:val="center"/>
                    <w:rPr>
                      <w:color w:val="000000" w:themeColor="text1"/>
                      <w:szCs w:val="21"/>
                      <w:highlight w:val="none"/>
                    </w:rPr>
                  </w:pPr>
                  <w:r>
                    <w:rPr>
                      <w:color w:val="000000" w:themeColor="text1"/>
                      <w:kern w:val="0"/>
                      <w:szCs w:val="21"/>
                      <w:highlight w:val="none"/>
                    </w:rPr>
                    <w:t>城镇生态系统</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5AAFF">
                  <w:pPr>
                    <w:widowControl/>
                    <w:jc w:val="center"/>
                    <w:textAlignment w:val="center"/>
                    <w:rPr>
                      <w:color w:val="000000" w:themeColor="text1"/>
                      <w:szCs w:val="21"/>
                      <w:highlight w:val="none"/>
                    </w:rPr>
                  </w:pPr>
                  <w:r>
                    <w:rPr>
                      <w:color w:val="000000" w:themeColor="text1"/>
                      <w:kern w:val="0"/>
                      <w:szCs w:val="21"/>
                      <w:highlight w:val="none"/>
                    </w:rPr>
                    <w:t>工矿交通</w:t>
                  </w:r>
                </w:p>
              </w:tc>
              <w:tc>
                <w:tcPr>
                  <w:tcW w:w="1229"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249668A">
                  <w:pPr>
                    <w:widowControl/>
                    <w:jc w:val="center"/>
                    <w:textAlignment w:val="center"/>
                    <w:rPr>
                      <w:color w:val="000000" w:themeColor="text1"/>
                      <w:szCs w:val="21"/>
                      <w:highlight w:val="none"/>
                    </w:rPr>
                  </w:pPr>
                  <w:r>
                    <w:rPr>
                      <w:color w:val="000000" w:themeColor="text1"/>
                      <w:kern w:val="0"/>
                      <w:szCs w:val="21"/>
                      <w:highlight w:val="none"/>
                    </w:rPr>
                    <w:t>5</w:t>
                  </w:r>
                </w:p>
              </w:tc>
              <w:tc>
                <w:tcPr>
                  <w:tcW w:w="19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115A74">
                  <w:pPr>
                    <w:widowControl/>
                    <w:jc w:val="center"/>
                    <w:textAlignment w:val="center"/>
                    <w:rPr>
                      <w:color w:val="000000" w:themeColor="text1"/>
                      <w:szCs w:val="21"/>
                      <w:highlight w:val="none"/>
                    </w:rPr>
                  </w:pPr>
                  <w:r>
                    <w:rPr>
                      <w:color w:val="000000" w:themeColor="text1"/>
                      <w:kern w:val="0"/>
                      <w:szCs w:val="21"/>
                      <w:highlight w:val="none"/>
                    </w:rPr>
                    <w:t>104405.42</w:t>
                  </w:r>
                </w:p>
              </w:tc>
              <w:tc>
                <w:tcPr>
                  <w:tcW w:w="1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AB058D">
                  <w:pPr>
                    <w:widowControl/>
                    <w:jc w:val="center"/>
                    <w:textAlignment w:val="center"/>
                    <w:rPr>
                      <w:color w:val="000000" w:themeColor="text1"/>
                      <w:szCs w:val="21"/>
                      <w:highlight w:val="none"/>
                    </w:rPr>
                  </w:pPr>
                  <w:r>
                    <w:rPr>
                      <w:color w:val="000000" w:themeColor="text1"/>
                      <w:kern w:val="0"/>
                      <w:szCs w:val="21"/>
                      <w:highlight w:val="none"/>
                    </w:rPr>
                    <w:t>1</w:t>
                  </w:r>
                  <w:r>
                    <w:rPr>
                      <w:rFonts w:hint="eastAsia"/>
                      <w:color w:val="000000" w:themeColor="text1"/>
                      <w:kern w:val="0"/>
                      <w:szCs w:val="21"/>
                      <w:highlight w:val="none"/>
                    </w:rPr>
                    <w:t>0.93</w:t>
                  </w:r>
                </w:p>
              </w:tc>
            </w:tr>
            <w:tr w14:paraId="3D2624FC">
              <w:tblPrEx>
                <w:tblCellMar>
                  <w:top w:w="0" w:type="dxa"/>
                  <w:left w:w="108" w:type="dxa"/>
                  <w:bottom w:w="0" w:type="dxa"/>
                  <w:right w:w="108" w:type="dxa"/>
                </w:tblCellMar>
              </w:tblPrEx>
              <w:trPr>
                <w:trHeight w:val="272" w:hRule="atLeast"/>
                <w:jc w:val="center"/>
              </w:trPr>
              <w:tc>
                <w:tcPr>
                  <w:tcW w:w="13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D7461">
                  <w:pPr>
                    <w:widowControl/>
                    <w:jc w:val="center"/>
                    <w:textAlignment w:val="center"/>
                    <w:rPr>
                      <w:color w:val="000000" w:themeColor="text1"/>
                      <w:szCs w:val="21"/>
                      <w:highlight w:val="none"/>
                    </w:rPr>
                  </w:pPr>
                  <w:r>
                    <w:rPr>
                      <w:color w:val="000000" w:themeColor="text1"/>
                      <w:kern w:val="0"/>
                      <w:szCs w:val="21"/>
                      <w:highlight w:val="none"/>
                    </w:rPr>
                    <w:t>其他</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41596">
                  <w:pPr>
                    <w:widowControl/>
                    <w:jc w:val="center"/>
                    <w:textAlignment w:val="center"/>
                    <w:rPr>
                      <w:color w:val="000000" w:themeColor="text1"/>
                      <w:szCs w:val="21"/>
                      <w:highlight w:val="none"/>
                    </w:rPr>
                  </w:pPr>
                  <w:r>
                    <w:rPr>
                      <w:color w:val="000000" w:themeColor="text1"/>
                      <w:kern w:val="0"/>
                      <w:szCs w:val="21"/>
                      <w:highlight w:val="none"/>
                    </w:rPr>
                    <w:t>裸地</w:t>
                  </w:r>
                </w:p>
              </w:tc>
              <w:tc>
                <w:tcPr>
                  <w:tcW w:w="1229"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11B2128">
                  <w:pPr>
                    <w:widowControl/>
                    <w:jc w:val="center"/>
                    <w:textAlignment w:val="center"/>
                    <w:rPr>
                      <w:color w:val="000000" w:themeColor="text1"/>
                      <w:szCs w:val="21"/>
                      <w:highlight w:val="none"/>
                    </w:rPr>
                  </w:pPr>
                  <w:r>
                    <w:rPr>
                      <w:color w:val="000000" w:themeColor="text1"/>
                      <w:kern w:val="0"/>
                      <w:szCs w:val="21"/>
                      <w:highlight w:val="none"/>
                    </w:rPr>
                    <w:t>5</w:t>
                  </w:r>
                </w:p>
              </w:tc>
              <w:tc>
                <w:tcPr>
                  <w:tcW w:w="19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B9498D">
                  <w:pPr>
                    <w:widowControl/>
                    <w:jc w:val="center"/>
                    <w:textAlignment w:val="center"/>
                    <w:rPr>
                      <w:color w:val="000000" w:themeColor="text1"/>
                      <w:szCs w:val="21"/>
                      <w:highlight w:val="none"/>
                    </w:rPr>
                  </w:pPr>
                  <w:r>
                    <w:rPr>
                      <w:color w:val="000000" w:themeColor="text1"/>
                      <w:kern w:val="0"/>
                      <w:szCs w:val="21"/>
                      <w:highlight w:val="none"/>
                    </w:rPr>
                    <w:t>11381.05</w:t>
                  </w:r>
                </w:p>
              </w:tc>
              <w:tc>
                <w:tcPr>
                  <w:tcW w:w="1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F0F137">
                  <w:pPr>
                    <w:widowControl/>
                    <w:jc w:val="center"/>
                    <w:textAlignment w:val="center"/>
                    <w:rPr>
                      <w:color w:val="000000" w:themeColor="text1"/>
                      <w:szCs w:val="21"/>
                      <w:highlight w:val="none"/>
                    </w:rPr>
                  </w:pPr>
                  <w:r>
                    <w:rPr>
                      <w:rFonts w:hint="eastAsia"/>
                      <w:color w:val="000000" w:themeColor="text1"/>
                      <w:kern w:val="0"/>
                      <w:szCs w:val="21"/>
                      <w:highlight w:val="none"/>
                    </w:rPr>
                    <w:t>1.19</w:t>
                  </w:r>
                </w:p>
              </w:tc>
            </w:tr>
            <w:tr w14:paraId="7958B450">
              <w:tblPrEx>
                <w:tblCellMar>
                  <w:top w:w="0" w:type="dxa"/>
                  <w:left w:w="108" w:type="dxa"/>
                  <w:bottom w:w="0" w:type="dxa"/>
                  <w:right w:w="108" w:type="dxa"/>
                </w:tblCellMar>
              </w:tblPrEx>
              <w:trPr>
                <w:trHeight w:val="272" w:hRule="atLeast"/>
                <w:jc w:val="center"/>
              </w:trPr>
              <w:tc>
                <w:tcPr>
                  <w:tcW w:w="2755" w:type="dxa"/>
                  <w:gridSpan w:val="2"/>
                  <w:tcBorders>
                    <w:top w:val="nil"/>
                    <w:left w:val="single" w:color="000000" w:sz="4" w:space="0"/>
                    <w:bottom w:val="single" w:color="000000" w:sz="4" w:space="0"/>
                    <w:right w:val="single" w:color="000000" w:sz="4" w:space="0"/>
                  </w:tcBorders>
                  <w:shd w:val="clear" w:color="auto" w:fill="auto"/>
                  <w:noWrap/>
                  <w:vAlign w:val="center"/>
                </w:tcPr>
                <w:p w14:paraId="6D0E1E27">
                  <w:pPr>
                    <w:jc w:val="center"/>
                    <w:rPr>
                      <w:color w:val="000000" w:themeColor="text1"/>
                      <w:szCs w:val="21"/>
                      <w:highlight w:val="none"/>
                    </w:rPr>
                  </w:pPr>
                  <w:r>
                    <w:rPr>
                      <w:color w:val="000000" w:themeColor="text1"/>
                      <w:szCs w:val="21"/>
                      <w:highlight w:val="none"/>
                    </w:rPr>
                    <w:t>合计</w:t>
                  </w:r>
                </w:p>
              </w:tc>
              <w:tc>
                <w:tcPr>
                  <w:tcW w:w="1229" w:type="dxa"/>
                  <w:tcBorders>
                    <w:top w:val="nil"/>
                    <w:left w:val="single" w:color="000000" w:sz="4" w:space="0"/>
                    <w:bottom w:val="single" w:color="000000" w:sz="4" w:space="0"/>
                    <w:right w:val="single" w:color="auto" w:sz="4" w:space="0"/>
                  </w:tcBorders>
                  <w:shd w:val="clear" w:color="auto" w:fill="auto"/>
                  <w:noWrap/>
                  <w:vAlign w:val="center"/>
                </w:tcPr>
                <w:p w14:paraId="5139AB0B">
                  <w:pPr>
                    <w:jc w:val="center"/>
                    <w:rPr>
                      <w:color w:val="000000" w:themeColor="text1"/>
                      <w:szCs w:val="21"/>
                      <w:highlight w:val="none"/>
                    </w:rPr>
                  </w:pPr>
                  <w:r>
                    <w:rPr>
                      <w:rFonts w:hint="eastAsia"/>
                      <w:color w:val="000000" w:themeColor="text1"/>
                      <w:szCs w:val="21"/>
                      <w:highlight w:val="none"/>
                    </w:rPr>
                    <w:t>73</w:t>
                  </w:r>
                </w:p>
              </w:tc>
              <w:tc>
                <w:tcPr>
                  <w:tcW w:w="194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989597">
                  <w:pPr>
                    <w:widowControl/>
                    <w:jc w:val="center"/>
                    <w:textAlignment w:val="center"/>
                    <w:rPr>
                      <w:color w:val="000000" w:themeColor="text1"/>
                      <w:szCs w:val="21"/>
                      <w:highlight w:val="none"/>
                    </w:rPr>
                  </w:pPr>
                  <w:r>
                    <w:rPr>
                      <w:color w:val="000000" w:themeColor="text1"/>
                      <w:kern w:val="0"/>
                      <w:szCs w:val="21"/>
                      <w:highlight w:val="none"/>
                    </w:rPr>
                    <w:t>954934.4531</w:t>
                  </w:r>
                </w:p>
              </w:tc>
              <w:tc>
                <w:tcPr>
                  <w:tcW w:w="173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7408E7">
                  <w:pPr>
                    <w:widowControl/>
                    <w:jc w:val="center"/>
                    <w:textAlignment w:val="center"/>
                    <w:rPr>
                      <w:color w:val="000000" w:themeColor="text1"/>
                      <w:szCs w:val="21"/>
                      <w:highlight w:val="none"/>
                    </w:rPr>
                  </w:pPr>
                  <w:r>
                    <w:rPr>
                      <w:color w:val="000000" w:themeColor="text1"/>
                      <w:kern w:val="0"/>
                      <w:szCs w:val="21"/>
                      <w:highlight w:val="none"/>
                    </w:rPr>
                    <w:t>100</w:t>
                  </w:r>
                </w:p>
              </w:tc>
            </w:tr>
          </w:tbl>
          <w:p w14:paraId="0F04BAF1">
            <w:pPr>
              <w:jc w:val="center"/>
              <w:rPr>
                <w:color w:val="000000" w:themeColor="text1"/>
                <w:highlight w:val="none"/>
              </w:rPr>
            </w:pPr>
            <w:r>
              <w:rPr>
                <w:color w:val="000000" w:themeColor="text1"/>
                <w:sz w:val="24"/>
                <w:highlight w:val="none"/>
              </w:rPr>
              <w:t>表3</w:t>
            </w:r>
            <w:r>
              <w:rPr>
                <w:rFonts w:hint="eastAsia"/>
                <w:color w:val="000000" w:themeColor="text1"/>
                <w:sz w:val="24"/>
                <w:highlight w:val="none"/>
              </w:rPr>
              <w:t>-6项目</w:t>
            </w:r>
            <w:r>
              <w:rPr>
                <w:color w:val="000000" w:themeColor="text1"/>
                <w:sz w:val="24"/>
                <w:highlight w:val="none"/>
              </w:rPr>
              <w:t>区内</w:t>
            </w:r>
            <w:r>
              <w:rPr>
                <w:rFonts w:hint="eastAsia"/>
                <w:color w:val="000000" w:themeColor="text1"/>
                <w:sz w:val="24"/>
                <w:highlight w:val="none"/>
              </w:rPr>
              <w:t>生态系统现状结果统计</w:t>
            </w:r>
          </w:p>
          <w:tbl>
            <w:tblPr>
              <w:tblStyle w:val="26"/>
              <w:tblW w:w="7664" w:type="dxa"/>
              <w:jc w:val="center"/>
              <w:tblLayout w:type="fixed"/>
              <w:tblCellMar>
                <w:top w:w="0" w:type="dxa"/>
                <w:left w:w="108" w:type="dxa"/>
                <w:bottom w:w="0" w:type="dxa"/>
                <w:right w:w="108" w:type="dxa"/>
              </w:tblCellMar>
            </w:tblPr>
            <w:tblGrid>
              <w:gridCol w:w="1557"/>
              <w:gridCol w:w="1158"/>
              <w:gridCol w:w="1501"/>
              <w:gridCol w:w="1673"/>
              <w:gridCol w:w="1775"/>
            </w:tblGrid>
            <w:tr w14:paraId="789533A1">
              <w:tblPrEx>
                <w:tblCellMar>
                  <w:top w:w="0" w:type="dxa"/>
                  <w:left w:w="108" w:type="dxa"/>
                  <w:bottom w:w="0" w:type="dxa"/>
                  <w:right w:w="108" w:type="dxa"/>
                </w:tblCellMar>
              </w:tblPrEx>
              <w:trPr>
                <w:trHeight w:val="272" w:hRule="atLeast"/>
                <w:jc w:val="center"/>
              </w:trPr>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229EA">
                  <w:pPr>
                    <w:widowControl/>
                    <w:jc w:val="center"/>
                    <w:textAlignment w:val="center"/>
                    <w:rPr>
                      <w:color w:val="000000" w:themeColor="text1"/>
                      <w:szCs w:val="21"/>
                      <w:highlight w:val="none"/>
                    </w:rPr>
                  </w:pPr>
                  <w:r>
                    <w:rPr>
                      <w:color w:val="000000" w:themeColor="text1"/>
                      <w:kern w:val="0"/>
                      <w:szCs w:val="21"/>
                      <w:highlight w:val="none"/>
                    </w:rPr>
                    <w:t>一级类型</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74658">
                  <w:pPr>
                    <w:widowControl/>
                    <w:jc w:val="center"/>
                    <w:textAlignment w:val="center"/>
                    <w:rPr>
                      <w:color w:val="000000" w:themeColor="text1"/>
                      <w:szCs w:val="21"/>
                      <w:highlight w:val="none"/>
                    </w:rPr>
                  </w:pPr>
                  <w:r>
                    <w:rPr>
                      <w:color w:val="000000" w:themeColor="text1"/>
                      <w:kern w:val="0"/>
                      <w:szCs w:val="21"/>
                      <w:highlight w:val="none"/>
                    </w:rPr>
                    <w:t>二级类型</w:t>
                  </w: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570F2">
                  <w:pPr>
                    <w:widowControl/>
                    <w:jc w:val="center"/>
                    <w:textAlignment w:val="center"/>
                    <w:rPr>
                      <w:color w:val="000000" w:themeColor="text1"/>
                      <w:szCs w:val="21"/>
                      <w:highlight w:val="none"/>
                    </w:rPr>
                  </w:pPr>
                  <w:r>
                    <w:rPr>
                      <w:color w:val="000000" w:themeColor="text1"/>
                      <w:kern w:val="0"/>
                      <w:szCs w:val="21"/>
                      <w:highlight w:val="none"/>
                    </w:rPr>
                    <w:t>斑块数（个）</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880BF">
                  <w:pPr>
                    <w:widowControl/>
                    <w:jc w:val="center"/>
                    <w:textAlignment w:val="center"/>
                    <w:rPr>
                      <w:color w:val="000000" w:themeColor="text1"/>
                      <w:szCs w:val="21"/>
                      <w:highlight w:val="none"/>
                    </w:rPr>
                  </w:pPr>
                  <w:r>
                    <w:rPr>
                      <w:color w:val="000000" w:themeColor="text1"/>
                      <w:kern w:val="0"/>
                      <w:szCs w:val="21"/>
                      <w:highlight w:val="none"/>
                    </w:rPr>
                    <w:t>面积（平米）</w:t>
                  </w:r>
                </w:p>
              </w:tc>
              <w:tc>
                <w:tcPr>
                  <w:tcW w:w="1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7C61">
                  <w:pPr>
                    <w:widowControl/>
                    <w:jc w:val="center"/>
                    <w:textAlignment w:val="center"/>
                    <w:rPr>
                      <w:color w:val="000000" w:themeColor="text1"/>
                      <w:kern w:val="0"/>
                      <w:szCs w:val="21"/>
                      <w:highlight w:val="none"/>
                    </w:rPr>
                  </w:pPr>
                  <w:r>
                    <w:rPr>
                      <w:color w:val="000000" w:themeColor="text1"/>
                      <w:kern w:val="0"/>
                      <w:szCs w:val="21"/>
                      <w:highlight w:val="none"/>
                    </w:rPr>
                    <w:t>占项目范围的%</w:t>
                  </w:r>
                </w:p>
              </w:tc>
            </w:tr>
            <w:tr w14:paraId="677F7758">
              <w:tblPrEx>
                <w:tblCellMar>
                  <w:top w:w="0" w:type="dxa"/>
                  <w:left w:w="108" w:type="dxa"/>
                  <w:bottom w:w="0" w:type="dxa"/>
                  <w:right w:w="108" w:type="dxa"/>
                </w:tblCellMar>
              </w:tblPrEx>
              <w:trPr>
                <w:trHeight w:val="272" w:hRule="atLeast"/>
                <w:jc w:val="center"/>
              </w:trPr>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351EC">
                  <w:pPr>
                    <w:widowControl/>
                    <w:jc w:val="center"/>
                    <w:textAlignment w:val="center"/>
                    <w:rPr>
                      <w:color w:val="000000" w:themeColor="text1"/>
                      <w:szCs w:val="21"/>
                      <w:highlight w:val="none"/>
                    </w:rPr>
                  </w:pPr>
                  <w:r>
                    <w:rPr>
                      <w:color w:val="000000" w:themeColor="text1"/>
                      <w:kern w:val="0"/>
                      <w:szCs w:val="21"/>
                      <w:highlight w:val="none"/>
                    </w:rPr>
                    <w:t>草地生态系统</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67B56">
                  <w:pPr>
                    <w:widowControl/>
                    <w:jc w:val="center"/>
                    <w:textAlignment w:val="center"/>
                    <w:rPr>
                      <w:color w:val="000000" w:themeColor="text1"/>
                      <w:szCs w:val="21"/>
                      <w:highlight w:val="none"/>
                    </w:rPr>
                  </w:pPr>
                  <w:r>
                    <w:rPr>
                      <w:color w:val="000000" w:themeColor="text1"/>
                      <w:kern w:val="0"/>
                      <w:szCs w:val="21"/>
                      <w:highlight w:val="none"/>
                    </w:rPr>
                    <w:t>稀疏草地</w:t>
                  </w: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2953">
                  <w:pPr>
                    <w:widowControl/>
                    <w:jc w:val="center"/>
                    <w:textAlignment w:val="center"/>
                    <w:rPr>
                      <w:color w:val="000000" w:themeColor="text1"/>
                      <w:szCs w:val="21"/>
                      <w:highlight w:val="none"/>
                    </w:rPr>
                  </w:pPr>
                  <w:r>
                    <w:rPr>
                      <w:color w:val="000000" w:themeColor="text1"/>
                      <w:kern w:val="0"/>
                      <w:szCs w:val="21"/>
                      <w:highlight w:val="none"/>
                    </w:rPr>
                    <w:t>1</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F3A3">
                  <w:pPr>
                    <w:widowControl/>
                    <w:jc w:val="center"/>
                    <w:textAlignment w:val="center"/>
                    <w:rPr>
                      <w:color w:val="000000" w:themeColor="text1"/>
                      <w:szCs w:val="21"/>
                      <w:highlight w:val="none"/>
                    </w:rPr>
                  </w:pPr>
                  <w:r>
                    <w:rPr>
                      <w:color w:val="000000" w:themeColor="text1"/>
                      <w:kern w:val="0"/>
                      <w:szCs w:val="21"/>
                      <w:highlight w:val="none"/>
                    </w:rPr>
                    <w:t>5107.84</w:t>
                  </w:r>
                </w:p>
              </w:tc>
              <w:tc>
                <w:tcPr>
                  <w:tcW w:w="1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D409">
                  <w:pPr>
                    <w:widowControl/>
                    <w:jc w:val="center"/>
                    <w:textAlignment w:val="center"/>
                    <w:rPr>
                      <w:color w:val="000000" w:themeColor="text1"/>
                      <w:kern w:val="0"/>
                      <w:szCs w:val="21"/>
                      <w:highlight w:val="none"/>
                    </w:rPr>
                  </w:pPr>
                  <w:r>
                    <w:rPr>
                      <w:rFonts w:hint="eastAsia"/>
                      <w:color w:val="000000" w:themeColor="text1"/>
                      <w:kern w:val="0"/>
                      <w:szCs w:val="21"/>
                      <w:highlight w:val="none"/>
                    </w:rPr>
                    <w:t>85</w:t>
                  </w:r>
                </w:p>
              </w:tc>
            </w:tr>
            <w:tr w14:paraId="1AEB4A28">
              <w:tblPrEx>
                <w:tblCellMar>
                  <w:top w:w="0" w:type="dxa"/>
                  <w:left w:w="108" w:type="dxa"/>
                  <w:bottom w:w="0" w:type="dxa"/>
                  <w:right w:w="108" w:type="dxa"/>
                </w:tblCellMar>
              </w:tblPrEx>
              <w:trPr>
                <w:trHeight w:val="272" w:hRule="atLeast"/>
                <w:jc w:val="center"/>
              </w:trPr>
              <w:tc>
                <w:tcPr>
                  <w:tcW w:w="15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B1D2B">
                  <w:pPr>
                    <w:widowControl/>
                    <w:jc w:val="center"/>
                    <w:textAlignment w:val="center"/>
                    <w:rPr>
                      <w:color w:val="000000" w:themeColor="text1"/>
                      <w:kern w:val="0"/>
                      <w:szCs w:val="21"/>
                      <w:highlight w:val="none"/>
                    </w:rPr>
                  </w:pPr>
                  <w:r>
                    <w:rPr>
                      <w:color w:val="000000" w:themeColor="text1"/>
                      <w:kern w:val="0"/>
                      <w:szCs w:val="21"/>
                      <w:highlight w:val="none"/>
                    </w:rPr>
                    <w:t>林地生态系统</w:t>
                  </w:r>
                </w:p>
              </w:tc>
              <w:tc>
                <w:tcPr>
                  <w:tcW w:w="11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B3805">
                  <w:pPr>
                    <w:widowControl/>
                    <w:jc w:val="center"/>
                    <w:textAlignment w:val="center"/>
                    <w:rPr>
                      <w:color w:val="000000" w:themeColor="text1"/>
                      <w:kern w:val="0"/>
                      <w:szCs w:val="21"/>
                      <w:highlight w:val="none"/>
                    </w:rPr>
                  </w:pPr>
                  <w:r>
                    <w:rPr>
                      <w:color w:val="000000" w:themeColor="text1"/>
                      <w:kern w:val="0"/>
                      <w:szCs w:val="21"/>
                      <w:highlight w:val="none"/>
                    </w:rPr>
                    <w:t>阔叶林</w:t>
                  </w:r>
                </w:p>
              </w:tc>
              <w:tc>
                <w:tcPr>
                  <w:tcW w:w="15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0B6F6">
                  <w:pPr>
                    <w:widowControl/>
                    <w:jc w:val="center"/>
                    <w:textAlignment w:val="center"/>
                    <w:rPr>
                      <w:color w:val="000000" w:themeColor="text1"/>
                      <w:kern w:val="0"/>
                      <w:szCs w:val="21"/>
                      <w:highlight w:val="none"/>
                    </w:rPr>
                  </w:pPr>
                  <w:r>
                    <w:rPr>
                      <w:rFonts w:hint="eastAsia"/>
                      <w:color w:val="000000" w:themeColor="text1"/>
                      <w:kern w:val="0"/>
                      <w:szCs w:val="21"/>
                      <w:highlight w:val="none"/>
                    </w:rPr>
                    <w:t>1</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8E1EE">
                  <w:pPr>
                    <w:widowControl/>
                    <w:jc w:val="center"/>
                    <w:textAlignment w:val="center"/>
                    <w:rPr>
                      <w:color w:val="000000" w:themeColor="text1"/>
                      <w:szCs w:val="21"/>
                      <w:highlight w:val="none"/>
                    </w:rPr>
                  </w:pPr>
                  <w:r>
                    <w:rPr>
                      <w:color w:val="000000" w:themeColor="text1"/>
                      <w:kern w:val="0"/>
                      <w:szCs w:val="21"/>
                      <w:highlight w:val="none"/>
                    </w:rPr>
                    <w:t>891.11</w:t>
                  </w:r>
                </w:p>
              </w:tc>
              <w:tc>
                <w:tcPr>
                  <w:tcW w:w="1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BEDC4">
                  <w:pPr>
                    <w:widowControl/>
                    <w:jc w:val="center"/>
                    <w:textAlignment w:val="center"/>
                    <w:rPr>
                      <w:color w:val="000000" w:themeColor="text1"/>
                      <w:kern w:val="0"/>
                      <w:szCs w:val="21"/>
                      <w:highlight w:val="none"/>
                    </w:rPr>
                  </w:pPr>
                  <w:r>
                    <w:rPr>
                      <w:rFonts w:hint="eastAsia"/>
                      <w:color w:val="000000" w:themeColor="text1"/>
                      <w:kern w:val="0"/>
                      <w:szCs w:val="21"/>
                      <w:highlight w:val="none"/>
                    </w:rPr>
                    <w:t>15</w:t>
                  </w:r>
                </w:p>
              </w:tc>
            </w:tr>
            <w:tr w14:paraId="444A93CC">
              <w:tblPrEx>
                <w:tblCellMar>
                  <w:top w:w="0" w:type="dxa"/>
                  <w:left w:w="108" w:type="dxa"/>
                  <w:bottom w:w="0" w:type="dxa"/>
                  <w:right w:w="108" w:type="dxa"/>
                </w:tblCellMar>
              </w:tblPrEx>
              <w:trPr>
                <w:trHeight w:val="272" w:hRule="atLeast"/>
                <w:jc w:val="center"/>
              </w:trPr>
              <w:tc>
                <w:tcPr>
                  <w:tcW w:w="421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AD8F8">
                  <w:pPr>
                    <w:widowControl/>
                    <w:jc w:val="center"/>
                    <w:textAlignment w:val="center"/>
                    <w:rPr>
                      <w:color w:val="000000" w:themeColor="text1"/>
                      <w:kern w:val="0"/>
                      <w:szCs w:val="21"/>
                      <w:highlight w:val="none"/>
                    </w:rPr>
                  </w:pPr>
                  <w:r>
                    <w:rPr>
                      <w:rFonts w:hint="eastAsia"/>
                      <w:color w:val="000000" w:themeColor="text1"/>
                      <w:kern w:val="0"/>
                      <w:szCs w:val="21"/>
                      <w:highlight w:val="none"/>
                    </w:rPr>
                    <w:t>合计</w:t>
                  </w:r>
                </w:p>
              </w:tc>
              <w:tc>
                <w:tcPr>
                  <w:tcW w:w="1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91D69">
                  <w:pPr>
                    <w:widowControl/>
                    <w:jc w:val="center"/>
                    <w:textAlignment w:val="center"/>
                    <w:rPr>
                      <w:color w:val="000000" w:themeColor="text1"/>
                      <w:szCs w:val="21"/>
                      <w:highlight w:val="none"/>
                    </w:rPr>
                  </w:pPr>
                  <w:r>
                    <w:rPr>
                      <w:color w:val="000000" w:themeColor="text1"/>
                      <w:kern w:val="0"/>
                      <w:szCs w:val="21"/>
                      <w:highlight w:val="none"/>
                    </w:rPr>
                    <w:t>5998.95</w:t>
                  </w:r>
                </w:p>
              </w:tc>
              <w:tc>
                <w:tcPr>
                  <w:tcW w:w="1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262B5">
                  <w:pPr>
                    <w:widowControl/>
                    <w:jc w:val="center"/>
                    <w:textAlignment w:val="center"/>
                    <w:rPr>
                      <w:color w:val="000000" w:themeColor="text1"/>
                      <w:kern w:val="0"/>
                      <w:szCs w:val="21"/>
                      <w:highlight w:val="none"/>
                    </w:rPr>
                  </w:pPr>
                  <w:r>
                    <w:rPr>
                      <w:rFonts w:hint="eastAsia"/>
                      <w:color w:val="000000" w:themeColor="text1"/>
                      <w:kern w:val="0"/>
                      <w:szCs w:val="21"/>
                      <w:highlight w:val="none"/>
                    </w:rPr>
                    <w:t>100</w:t>
                  </w:r>
                </w:p>
              </w:tc>
            </w:tr>
          </w:tbl>
          <w:p w14:paraId="5460E620">
            <w:pPr>
              <w:spacing w:line="82" w:lineRule="auto"/>
              <w:rPr>
                <w:rFonts w:ascii="Arial"/>
                <w:color w:val="000000" w:themeColor="text1"/>
                <w:sz w:val="2"/>
                <w:highlight w:val="none"/>
              </w:rPr>
            </w:pPr>
          </w:p>
          <w:p w14:paraId="2D7B2E06">
            <w:pPr>
              <w:spacing w:beforeLines="100" w:line="360" w:lineRule="auto"/>
              <w:rPr>
                <w:color w:val="000000" w:themeColor="text1"/>
                <w:sz w:val="24"/>
                <w:highlight w:val="none"/>
              </w:rPr>
            </w:pPr>
            <w:r>
              <w:rPr>
                <w:rFonts w:hint="eastAsia"/>
                <w:color w:val="000000" w:themeColor="text1"/>
                <w:sz w:val="24"/>
                <w:highlight w:val="none"/>
              </w:rPr>
              <w:drawing>
                <wp:inline distT="0" distB="0" distL="114300" distR="114300">
                  <wp:extent cx="4792345" cy="3387725"/>
                  <wp:effectExtent l="0" t="0" r="8255" b="3175"/>
                  <wp:docPr id="67" name="图片 67" descr="生态系统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生态系统1"/>
                          <pic:cNvPicPr>
                            <a:picLocks noChangeAspect="1"/>
                          </pic:cNvPicPr>
                        </pic:nvPicPr>
                        <pic:blipFill>
                          <a:blip r:embed="rId16" cstate="print"/>
                          <a:stretch>
                            <a:fillRect/>
                          </a:stretch>
                        </pic:blipFill>
                        <pic:spPr>
                          <a:xfrm>
                            <a:off x="0" y="0"/>
                            <a:ext cx="4792345" cy="3387725"/>
                          </a:xfrm>
                          <a:prstGeom prst="rect">
                            <a:avLst/>
                          </a:prstGeom>
                        </pic:spPr>
                      </pic:pic>
                    </a:graphicData>
                  </a:graphic>
                </wp:inline>
              </w:drawing>
            </w:r>
          </w:p>
          <w:p w14:paraId="44E5F3A9">
            <w:pPr>
              <w:spacing w:line="360" w:lineRule="auto"/>
              <w:jc w:val="center"/>
              <w:rPr>
                <w:color w:val="000000" w:themeColor="text1"/>
                <w:sz w:val="24"/>
                <w:highlight w:val="none"/>
              </w:rPr>
            </w:pPr>
            <w:r>
              <w:rPr>
                <w:color w:val="000000" w:themeColor="text1"/>
                <w:sz w:val="24"/>
                <w:highlight w:val="none"/>
              </w:rPr>
              <w:t>图3</w:t>
            </w:r>
            <w:r>
              <w:rPr>
                <w:rFonts w:hint="eastAsia"/>
                <w:color w:val="000000" w:themeColor="text1"/>
                <w:sz w:val="24"/>
                <w:highlight w:val="none"/>
              </w:rPr>
              <w:t xml:space="preserve">-5 </w:t>
            </w:r>
            <w:r>
              <w:rPr>
                <w:color w:val="000000" w:themeColor="text1"/>
                <w:sz w:val="24"/>
                <w:highlight w:val="none"/>
              </w:rPr>
              <w:t>项目区及评价区</w:t>
            </w:r>
            <w:r>
              <w:rPr>
                <w:rFonts w:hint="eastAsia"/>
                <w:color w:val="000000" w:themeColor="text1"/>
                <w:sz w:val="24"/>
                <w:highlight w:val="none"/>
              </w:rPr>
              <w:t>生态系统</w:t>
            </w:r>
            <w:r>
              <w:rPr>
                <w:color w:val="000000" w:themeColor="text1"/>
                <w:sz w:val="24"/>
                <w:highlight w:val="none"/>
              </w:rPr>
              <w:t>类型</w:t>
            </w:r>
          </w:p>
          <w:p w14:paraId="6E6C3B16">
            <w:pPr>
              <w:spacing w:line="360" w:lineRule="auto"/>
              <w:rPr>
                <w:color w:val="000000" w:themeColor="text1"/>
                <w:sz w:val="24"/>
                <w:highlight w:val="none"/>
              </w:rPr>
            </w:pPr>
            <w:r>
              <w:rPr>
                <w:rFonts w:hint="eastAsia"/>
                <w:color w:val="000000" w:themeColor="text1"/>
                <w:sz w:val="24"/>
                <w:highlight w:val="none"/>
              </w:rPr>
              <w:t>二、</w:t>
            </w:r>
            <w:r>
              <w:rPr>
                <w:color w:val="000000" w:themeColor="text1"/>
                <w:sz w:val="24"/>
                <w:highlight w:val="none"/>
              </w:rPr>
              <w:t>大气环境质量现状评价</w:t>
            </w:r>
          </w:p>
          <w:p w14:paraId="247561C5">
            <w:pPr>
              <w:adjustRightInd w:val="0"/>
              <w:snapToGrid w:val="0"/>
              <w:spacing w:line="360" w:lineRule="auto"/>
              <w:ind w:firstLine="480" w:firstLineChars="200"/>
              <w:jc w:val="left"/>
              <w:rPr>
                <w:color w:val="000000" w:themeColor="text1"/>
                <w:sz w:val="24"/>
                <w:highlight w:val="none"/>
              </w:rPr>
            </w:pPr>
            <w:r>
              <w:rPr>
                <w:color w:val="000000" w:themeColor="text1"/>
                <w:sz w:val="24"/>
                <w:highlight w:val="none"/>
              </w:rPr>
              <w:t>1</w:t>
            </w:r>
            <w:r>
              <w:rPr>
                <w:rFonts w:hint="eastAsia"/>
                <w:color w:val="000000" w:themeColor="text1"/>
                <w:sz w:val="24"/>
                <w:highlight w:val="none"/>
              </w:rPr>
              <w:t>.</w:t>
            </w:r>
            <w:r>
              <w:rPr>
                <w:color w:val="000000" w:themeColor="text1"/>
                <w:sz w:val="24"/>
                <w:highlight w:val="none"/>
              </w:rPr>
              <w:t>大气环境质量达标区判定</w:t>
            </w:r>
          </w:p>
          <w:p w14:paraId="174F5564">
            <w:pPr>
              <w:spacing w:line="360" w:lineRule="auto"/>
              <w:ind w:firstLine="480" w:firstLineChars="200"/>
              <w:rPr>
                <w:color w:val="000000" w:themeColor="text1"/>
                <w:sz w:val="24"/>
                <w:highlight w:val="none"/>
              </w:rPr>
            </w:pPr>
            <w:r>
              <w:rPr>
                <w:color w:val="000000" w:themeColor="text1"/>
                <w:sz w:val="24"/>
                <w:highlight w:val="none"/>
              </w:rPr>
              <w:t>根据生态环境部数据服务平台—环境空气质量模型技术支持服务系统（http://cloud.lem.org.cn/）发布的2023年统计数据显示：SO</w:t>
            </w:r>
            <w:r>
              <w:rPr>
                <w:color w:val="000000" w:themeColor="text1"/>
                <w:sz w:val="24"/>
                <w:highlight w:val="none"/>
                <w:vertAlign w:val="subscript"/>
              </w:rPr>
              <w:t>2</w:t>
            </w:r>
            <w:r>
              <w:rPr>
                <w:color w:val="000000" w:themeColor="text1"/>
                <w:sz w:val="24"/>
                <w:highlight w:val="none"/>
              </w:rPr>
              <w:t>、NO</w:t>
            </w:r>
            <w:r>
              <w:rPr>
                <w:color w:val="000000" w:themeColor="text1"/>
                <w:sz w:val="24"/>
                <w:highlight w:val="none"/>
                <w:vertAlign w:val="subscript"/>
              </w:rPr>
              <w:t>2</w:t>
            </w:r>
            <w:r>
              <w:rPr>
                <w:color w:val="000000" w:themeColor="text1"/>
                <w:sz w:val="24"/>
                <w:highlight w:val="none"/>
              </w:rPr>
              <w:t>、PM</w:t>
            </w:r>
            <w:r>
              <w:rPr>
                <w:color w:val="000000" w:themeColor="text1"/>
                <w:sz w:val="24"/>
                <w:highlight w:val="none"/>
                <w:vertAlign w:val="subscript"/>
              </w:rPr>
              <w:t>10</w:t>
            </w:r>
            <w:r>
              <w:rPr>
                <w:color w:val="000000" w:themeColor="text1"/>
                <w:sz w:val="24"/>
                <w:highlight w:val="none"/>
              </w:rPr>
              <w:t>、PM</w:t>
            </w:r>
            <w:r>
              <w:rPr>
                <w:color w:val="000000" w:themeColor="text1"/>
                <w:sz w:val="24"/>
                <w:highlight w:val="none"/>
                <w:vertAlign w:val="subscript"/>
              </w:rPr>
              <w:t>2.5</w:t>
            </w:r>
            <w:r>
              <w:rPr>
                <w:color w:val="000000" w:themeColor="text1"/>
                <w:sz w:val="24"/>
                <w:highlight w:val="none"/>
              </w:rPr>
              <w:t>年均浓度分别为10 ug/m</w:t>
            </w:r>
            <w:r>
              <w:rPr>
                <w:color w:val="000000" w:themeColor="text1"/>
                <w:sz w:val="24"/>
                <w:highlight w:val="none"/>
                <w:vertAlign w:val="superscript"/>
              </w:rPr>
              <w:t>3</w:t>
            </w:r>
            <w:r>
              <w:rPr>
                <w:color w:val="000000" w:themeColor="text1"/>
                <w:sz w:val="24"/>
                <w:highlight w:val="none"/>
              </w:rPr>
              <w:t>、33 ug/m</w:t>
            </w:r>
            <w:r>
              <w:rPr>
                <w:color w:val="000000" w:themeColor="text1"/>
                <w:sz w:val="24"/>
                <w:highlight w:val="none"/>
                <w:vertAlign w:val="superscript"/>
              </w:rPr>
              <w:t>3</w:t>
            </w:r>
            <w:r>
              <w:rPr>
                <w:color w:val="000000" w:themeColor="text1"/>
                <w:sz w:val="24"/>
                <w:highlight w:val="none"/>
              </w:rPr>
              <w:t>、56 ug/m</w:t>
            </w:r>
            <w:r>
              <w:rPr>
                <w:color w:val="000000" w:themeColor="text1"/>
                <w:sz w:val="24"/>
                <w:highlight w:val="none"/>
                <w:vertAlign w:val="superscript"/>
              </w:rPr>
              <w:t>3</w:t>
            </w:r>
            <w:r>
              <w:rPr>
                <w:color w:val="000000" w:themeColor="text1"/>
                <w:sz w:val="24"/>
                <w:highlight w:val="none"/>
              </w:rPr>
              <w:t>、20 ug/m</w:t>
            </w:r>
            <w:r>
              <w:rPr>
                <w:color w:val="000000" w:themeColor="text1"/>
                <w:sz w:val="24"/>
                <w:highlight w:val="none"/>
                <w:vertAlign w:val="superscript"/>
              </w:rPr>
              <w:t>3</w:t>
            </w:r>
            <w:r>
              <w:rPr>
                <w:color w:val="000000" w:themeColor="text1"/>
                <w:sz w:val="24"/>
                <w:highlight w:val="none"/>
              </w:rPr>
              <w:t>；CO24小时平均第95百分位数为1.2mg/m</w:t>
            </w:r>
            <w:r>
              <w:rPr>
                <w:color w:val="000000" w:themeColor="text1"/>
                <w:sz w:val="24"/>
                <w:highlight w:val="none"/>
                <w:vertAlign w:val="superscript"/>
              </w:rPr>
              <w:t>3</w:t>
            </w:r>
            <w:r>
              <w:rPr>
                <w:color w:val="000000" w:themeColor="text1"/>
                <w:sz w:val="24"/>
                <w:highlight w:val="none"/>
              </w:rPr>
              <w:t>，O</w:t>
            </w:r>
            <w:r>
              <w:rPr>
                <w:color w:val="000000" w:themeColor="text1"/>
                <w:sz w:val="24"/>
                <w:highlight w:val="none"/>
                <w:vertAlign w:val="subscript"/>
              </w:rPr>
              <w:t>3</w:t>
            </w:r>
            <w:r>
              <w:rPr>
                <w:color w:val="000000" w:themeColor="text1"/>
                <w:sz w:val="24"/>
                <w:highlight w:val="none"/>
              </w:rPr>
              <w:t>日最大8小时平均第90百分位数为144 ug/m</w:t>
            </w:r>
            <w:r>
              <w:rPr>
                <w:color w:val="000000" w:themeColor="text1"/>
                <w:sz w:val="24"/>
                <w:highlight w:val="none"/>
                <w:vertAlign w:val="superscript"/>
              </w:rPr>
              <w:t>3</w:t>
            </w:r>
            <w:r>
              <w:rPr>
                <w:color w:val="000000" w:themeColor="text1"/>
                <w:sz w:val="24"/>
                <w:highlight w:val="none"/>
              </w:rPr>
              <w:t>；各污染物平均浓度均优于《环境空气质量标准》（GB3095-2012）中二级标准限值。因此，鄂尔多斯市的环境空气质量属于达标区。</w:t>
            </w:r>
          </w:p>
          <w:p w14:paraId="6B3FD00F">
            <w:pPr>
              <w:spacing w:line="360" w:lineRule="auto"/>
              <w:ind w:firstLine="480" w:firstLineChars="200"/>
              <w:rPr>
                <w:color w:val="000000" w:themeColor="text1"/>
                <w:sz w:val="24"/>
                <w:highlight w:val="none"/>
              </w:rPr>
            </w:pPr>
            <w:r>
              <w:rPr>
                <w:rFonts w:hint="eastAsia"/>
                <w:color w:val="000000" w:themeColor="text1"/>
                <w:sz w:val="24"/>
                <w:highlight w:val="none"/>
              </w:rPr>
              <w:t>2.其他污染物补充监测</w:t>
            </w:r>
          </w:p>
          <w:p w14:paraId="734CC5A0">
            <w:pPr>
              <w:spacing w:line="360" w:lineRule="auto"/>
              <w:ind w:firstLine="480" w:firstLineChars="200"/>
              <w:rPr>
                <w:color w:val="000000" w:themeColor="text1"/>
                <w:sz w:val="24"/>
                <w:highlight w:val="none"/>
              </w:rPr>
            </w:pPr>
            <w:r>
              <w:rPr>
                <w:color w:val="000000" w:themeColor="text1"/>
                <w:kern w:val="0"/>
                <w:sz w:val="24"/>
                <w:highlight w:val="none"/>
              </w:rPr>
              <w:t>为</w:t>
            </w:r>
            <w:r>
              <w:rPr>
                <w:rFonts w:hint="eastAsia"/>
                <w:color w:val="000000" w:themeColor="text1"/>
                <w:kern w:val="0"/>
                <w:sz w:val="24"/>
                <w:highlight w:val="none"/>
              </w:rPr>
              <w:t>了解</w:t>
            </w:r>
            <w:r>
              <w:rPr>
                <w:color w:val="000000" w:themeColor="text1"/>
                <w:kern w:val="0"/>
                <w:sz w:val="24"/>
                <w:highlight w:val="none"/>
              </w:rPr>
              <w:t>项目区</w:t>
            </w:r>
            <w:r>
              <w:rPr>
                <w:rFonts w:hint="eastAsia"/>
                <w:color w:val="000000" w:themeColor="text1"/>
                <w:kern w:val="0"/>
                <w:sz w:val="24"/>
                <w:highlight w:val="none"/>
              </w:rPr>
              <w:t>TSP</w:t>
            </w:r>
            <w:r>
              <w:rPr>
                <w:color w:val="000000" w:themeColor="text1"/>
                <w:kern w:val="0"/>
                <w:sz w:val="24"/>
                <w:highlight w:val="none"/>
              </w:rPr>
              <w:t>环境空气质量现状，</w:t>
            </w:r>
            <w:r>
              <w:rPr>
                <w:rFonts w:hint="eastAsia" w:ascii="宋体" w:hAnsi="宋体" w:cs="宋体"/>
                <w:color w:val="000000" w:themeColor="text1"/>
                <w:sz w:val="24"/>
                <w:highlight w:val="none"/>
              </w:rPr>
              <w:t>本项目</w:t>
            </w:r>
            <w:r>
              <w:rPr>
                <w:rFonts w:hint="eastAsia"/>
                <w:color w:val="000000" w:themeColor="text1"/>
                <w:kern w:val="0"/>
                <w:sz w:val="24"/>
                <w:highlight w:val="none"/>
              </w:rPr>
              <w:t>TSP</w:t>
            </w:r>
            <w:r>
              <w:rPr>
                <w:rFonts w:ascii="宋体" w:hAnsi="宋体" w:cs="宋体"/>
                <w:color w:val="000000" w:themeColor="text1"/>
                <w:sz w:val="24"/>
                <w:highlight w:val="none"/>
              </w:rPr>
              <w:t>监测数据引用</w:t>
            </w:r>
            <w:r>
              <w:rPr>
                <w:rFonts w:hint="eastAsia"/>
                <w:color w:val="000000" w:themeColor="text1"/>
                <w:sz w:val="24"/>
                <w:highlight w:val="none"/>
              </w:rPr>
              <w:t>《</w:t>
            </w:r>
            <w:r>
              <w:rPr>
                <w:rFonts w:hint="eastAsia" w:hAnsiTheme="minorEastAsia" w:eastAsiaTheme="minorEastAsia"/>
                <w:color w:val="000000" w:themeColor="text1"/>
                <w:sz w:val="24"/>
                <w:highlight w:val="none"/>
              </w:rPr>
              <w:t>内蒙古汇能煤电集团富民煤炭有限责任公司土地综合治理项目环境影响报告书</w:t>
            </w:r>
            <w:r>
              <w:rPr>
                <w:rFonts w:hint="eastAsia"/>
                <w:color w:val="000000" w:themeColor="text1"/>
                <w:sz w:val="24"/>
                <w:highlight w:val="none"/>
              </w:rPr>
              <w:t>》</w:t>
            </w:r>
            <w:r>
              <w:rPr>
                <w:rFonts w:ascii="宋体" w:hAnsi="宋体" w:cs="宋体"/>
                <w:color w:val="000000" w:themeColor="text1"/>
                <w:sz w:val="24"/>
                <w:highlight w:val="none"/>
              </w:rPr>
              <w:t>中的</w:t>
            </w:r>
            <w:r>
              <w:rPr>
                <w:rFonts w:hint="eastAsia" w:ascii="宋体" w:hAnsi="宋体" w:cs="宋体"/>
                <w:color w:val="000000" w:themeColor="text1"/>
                <w:sz w:val="24"/>
                <w:highlight w:val="none"/>
              </w:rPr>
              <w:t>现状</w:t>
            </w:r>
            <w:r>
              <w:rPr>
                <w:rFonts w:ascii="宋体" w:hAnsi="宋体" w:cs="宋体"/>
                <w:color w:val="000000" w:themeColor="text1"/>
                <w:sz w:val="24"/>
                <w:highlight w:val="none"/>
              </w:rPr>
              <w:t>监测数据</w:t>
            </w:r>
            <w:r>
              <w:rPr>
                <w:rFonts w:hint="eastAsia" w:ascii="宋体" w:hAnsi="宋体" w:cs="宋体"/>
                <w:color w:val="000000" w:themeColor="text1"/>
                <w:sz w:val="24"/>
                <w:highlight w:val="none"/>
              </w:rPr>
              <w:t>，该项目</w:t>
            </w:r>
            <w:r>
              <w:rPr>
                <w:color w:val="000000" w:themeColor="text1"/>
                <w:sz w:val="24"/>
                <w:highlight w:val="none"/>
              </w:rPr>
              <w:t>委托内蒙古皓天环境检测有限责任公司于2023年5月10日-5月16日</w:t>
            </w:r>
            <w:r>
              <w:rPr>
                <w:rFonts w:hint="eastAsia"/>
                <w:color w:val="000000" w:themeColor="text1"/>
                <w:sz w:val="24"/>
                <w:highlight w:val="none"/>
              </w:rPr>
              <w:t>对项目区进行现状监测</w:t>
            </w:r>
            <w:r>
              <w:rPr>
                <w:rFonts w:hint="eastAsia" w:ascii="宋体" w:hAnsi="宋体" w:cs="宋体"/>
                <w:color w:val="000000" w:themeColor="text1"/>
                <w:sz w:val="24"/>
                <w:highlight w:val="none"/>
              </w:rPr>
              <w:t>，该项目</w:t>
            </w:r>
            <w:r>
              <w:rPr>
                <w:color w:val="000000" w:themeColor="text1"/>
                <w:sz w:val="24"/>
                <w:highlight w:val="none"/>
              </w:rPr>
              <w:t>2</w:t>
            </w:r>
            <w:r>
              <w:rPr>
                <w:rFonts w:hint="eastAsia" w:ascii="宋体" w:hAnsi="宋体" w:cs="宋体"/>
                <w:color w:val="000000" w:themeColor="text1"/>
                <w:sz w:val="24"/>
                <w:highlight w:val="none"/>
              </w:rPr>
              <w:t>号</w:t>
            </w:r>
            <w:r>
              <w:rPr>
                <w:color w:val="000000" w:themeColor="text1"/>
                <w:sz w:val="24"/>
                <w:highlight w:val="none"/>
              </w:rPr>
              <w:t>（K2）</w:t>
            </w:r>
            <w:r>
              <w:rPr>
                <w:rFonts w:hint="eastAsia" w:ascii="宋体" w:hAnsi="宋体" w:cs="宋体"/>
                <w:color w:val="000000" w:themeColor="text1"/>
                <w:sz w:val="24"/>
                <w:highlight w:val="none"/>
              </w:rPr>
              <w:t>监测点位于本项目下风向</w:t>
            </w:r>
            <w:r>
              <w:rPr>
                <w:color w:val="000000" w:themeColor="text1"/>
                <w:sz w:val="24"/>
                <w:highlight w:val="none"/>
              </w:rPr>
              <w:t>530m</w:t>
            </w:r>
            <w:r>
              <w:rPr>
                <w:rFonts w:hint="eastAsia" w:ascii="宋体" w:hAnsi="宋体" w:cs="宋体"/>
                <w:color w:val="000000" w:themeColor="text1"/>
                <w:sz w:val="24"/>
                <w:highlight w:val="none"/>
              </w:rPr>
              <w:t>处，可反映本区域内</w:t>
            </w:r>
            <w:r>
              <w:rPr>
                <w:color w:val="000000" w:themeColor="text1"/>
                <w:sz w:val="24"/>
                <w:highlight w:val="none"/>
              </w:rPr>
              <w:t>的TSP</w:t>
            </w:r>
            <w:r>
              <w:rPr>
                <w:rFonts w:hint="eastAsia" w:ascii="宋体" w:hAnsi="宋体" w:cs="宋体"/>
                <w:color w:val="000000" w:themeColor="text1"/>
                <w:sz w:val="24"/>
                <w:highlight w:val="none"/>
              </w:rPr>
              <w:t>现状</w:t>
            </w:r>
            <w:r>
              <w:rPr>
                <w:rFonts w:hint="eastAsia"/>
                <w:color w:val="000000" w:themeColor="text1"/>
                <w:kern w:val="0"/>
                <w:sz w:val="24"/>
                <w:highlight w:val="none"/>
              </w:rPr>
              <w:t>，</w:t>
            </w:r>
            <w:r>
              <w:rPr>
                <w:color w:val="000000" w:themeColor="text1"/>
                <w:sz w:val="24"/>
                <w:highlight w:val="none"/>
              </w:rPr>
              <w:t>监测结果见表</w:t>
            </w:r>
            <w:r>
              <w:rPr>
                <w:rFonts w:hint="eastAsia"/>
                <w:color w:val="000000" w:themeColor="text1"/>
                <w:sz w:val="24"/>
                <w:highlight w:val="none"/>
              </w:rPr>
              <w:t>3-7</w:t>
            </w:r>
            <w:r>
              <w:rPr>
                <w:color w:val="000000" w:themeColor="text1"/>
                <w:sz w:val="24"/>
                <w:highlight w:val="none"/>
              </w:rPr>
              <w:t>。</w:t>
            </w:r>
          </w:p>
          <w:p w14:paraId="089B03B6">
            <w:pPr>
              <w:adjustRightInd w:val="0"/>
              <w:snapToGrid w:val="0"/>
              <w:jc w:val="center"/>
              <w:rPr>
                <w:bCs/>
                <w:color w:val="000000" w:themeColor="text1"/>
                <w:szCs w:val="21"/>
                <w:highlight w:val="none"/>
              </w:rPr>
            </w:pPr>
            <w:r>
              <w:rPr>
                <w:bCs/>
                <w:color w:val="000000" w:themeColor="text1"/>
                <w:sz w:val="24"/>
                <w:highlight w:val="none"/>
              </w:rPr>
              <w:t>表</w:t>
            </w:r>
            <w:r>
              <w:rPr>
                <w:rFonts w:hint="eastAsia"/>
                <w:bCs/>
                <w:color w:val="000000" w:themeColor="text1"/>
                <w:sz w:val="24"/>
                <w:highlight w:val="none"/>
              </w:rPr>
              <w:t>3-7</w:t>
            </w:r>
            <w:r>
              <w:rPr>
                <w:bCs/>
                <w:color w:val="000000" w:themeColor="text1"/>
                <w:sz w:val="24"/>
                <w:highlight w:val="none"/>
              </w:rPr>
              <w:t xml:space="preserve">  </w:t>
            </w:r>
            <w:r>
              <w:rPr>
                <w:rFonts w:hint="eastAsia"/>
                <w:bCs/>
                <w:color w:val="000000" w:themeColor="text1"/>
                <w:sz w:val="24"/>
                <w:highlight w:val="none"/>
              </w:rPr>
              <w:t xml:space="preserve"> </w:t>
            </w:r>
            <w:r>
              <w:rPr>
                <w:bCs/>
                <w:color w:val="000000" w:themeColor="text1"/>
                <w:sz w:val="24"/>
                <w:highlight w:val="none"/>
              </w:rPr>
              <w:t>补充监测统计结果一览表     单位：</w:t>
            </w:r>
            <w:r>
              <w:rPr>
                <w:rFonts w:hint="eastAsia"/>
                <w:bCs/>
                <w:color w:val="000000" w:themeColor="text1"/>
                <w:sz w:val="24"/>
                <w:highlight w:val="none"/>
              </w:rPr>
              <w:t>μ</w:t>
            </w:r>
            <w:r>
              <w:rPr>
                <w:bCs/>
                <w:color w:val="000000" w:themeColor="text1"/>
                <w:sz w:val="24"/>
                <w:highlight w:val="none"/>
              </w:rPr>
              <w:t>g/m</w:t>
            </w:r>
            <w:r>
              <w:rPr>
                <w:bCs/>
                <w:color w:val="000000" w:themeColor="text1"/>
                <w:sz w:val="24"/>
                <w:highlight w:val="none"/>
                <w:vertAlign w:val="superscript"/>
              </w:rPr>
              <w:t>3</w:t>
            </w:r>
          </w:p>
          <w:tbl>
            <w:tblPr>
              <w:tblStyle w:val="2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51"/>
              <w:gridCol w:w="1821"/>
              <w:gridCol w:w="778"/>
              <w:gridCol w:w="519"/>
              <w:gridCol w:w="909"/>
              <w:gridCol w:w="1040"/>
              <w:gridCol w:w="843"/>
              <w:gridCol w:w="457"/>
              <w:gridCol w:w="519"/>
            </w:tblGrid>
            <w:tr w14:paraId="2DFB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4" w:hRule="atLeast"/>
                <w:jc w:val="center"/>
              </w:trPr>
              <w:tc>
                <w:tcPr>
                  <w:tcW w:w="431" w:type="pct"/>
                  <w:tcBorders>
                    <w:tl2br w:val="nil"/>
                    <w:tr2bl w:val="nil"/>
                  </w:tcBorders>
                  <w:vAlign w:val="center"/>
                </w:tcPr>
                <w:p w14:paraId="4BD1DA69">
                  <w:pPr>
                    <w:adjustRightInd w:val="0"/>
                    <w:snapToGrid w:val="0"/>
                    <w:jc w:val="center"/>
                    <w:rPr>
                      <w:color w:val="000000" w:themeColor="text1"/>
                      <w:szCs w:val="21"/>
                      <w:highlight w:val="none"/>
                    </w:rPr>
                  </w:pPr>
                  <w:r>
                    <w:rPr>
                      <w:color w:val="000000" w:themeColor="text1"/>
                      <w:szCs w:val="21"/>
                      <w:highlight w:val="none"/>
                    </w:rPr>
                    <w:t>监测</w:t>
                  </w:r>
                </w:p>
                <w:p w14:paraId="463921FA">
                  <w:pPr>
                    <w:adjustRightInd w:val="0"/>
                    <w:snapToGrid w:val="0"/>
                    <w:jc w:val="center"/>
                    <w:rPr>
                      <w:color w:val="000000" w:themeColor="text1"/>
                      <w:szCs w:val="21"/>
                      <w:highlight w:val="none"/>
                    </w:rPr>
                  </w:pPr>
                  <w:r>
                    <w:rPr>
                      <w:color w:val="000000" w:themeColor="text1"/>
                      <w:szCs w:val="21"/>
                      <w:highlight w:val="none"/>
                    </w:rPr>
                    <w:t>点位</w:t>
                  </w:r>
                </w:p>
              </w:tc>
              <w:tc>
                <w:tcPr>
                  <w:tcW w:w="1207" w:type="pct"/>
                  <w:tcBorders>
                    <w:tl2br w:val="nil"/>
                    <w:tr2bl w:val="nil"/>
                  </w:tcBorders>
                  <w:vAlign w:val="center"/>
                </w:tcPr>
                <w:p w14:paraId="067BD0DC">
                  <w:pPr>
                    <w:adjustRightInd w:val="0"/>
                    <w:snapToGrid w:val="0"/>
                    <w:jc w:val="center"/>
                    <w:rPr>
                      <w:color w:val="000000" w:themeColor="text1"/>
                      <w:szCs w:val="21"/>
                      <w:highlight w:val="none"/>
                    </w:rPr>
                  </w:pPr>
                  <w:r>
                    <w:rPr>
                      <w:color w:val="000000" w:themeColor="text1"/>
                      <w:szCs w:val="21"/>
                      <w:highlight w:val="none"/>
                    </w:rPr>
                    <w:t>监测点坐标</w:t>
                  </w:r>
                </w:p>
              </w:tc>
              <w:tc>
                <w:tcPr>
                  <w:tcW w:w="516" w:type="pct"/>
                  <w:tcBorders>
                    <w:tl2br w:val="nil"/>
                    <w:tr2bl w:val="nil"/>
                  </w:tcBorders>
                  <w:vAlign w:val="center"/>
                </w:tcPr>
                <w:p w14:paraId="39ADCD25">
                  <w:pPr>
                    <w:adjustRightInd w:val="0"/>
                    <w:snapToGrid w:val="0"/>
                    <w:jc w:val="center"/>
                    <w:rPr>
                      <w:color w:val="000000" w:themeColor="text1"/>
                      <w:szCs w:val="21"/>
                      <w:highlight w:val="none"/>
                    </w:rPr>
                  </w:pPr>
                  <w:r>
                    <w:rPr>
                      <w:color w:val="000000" w:themeColor="text1"/>
                      <w:szCs w:val="21"/>
                      <w:highlight w:val="none"/>
                    </w:rPr>
                    <w:t>污染物</w:t>
                  </w:r>
                </w:p>
              </w:tc>
              <w:tc>
                <w:tcPr>
                  <w:tcW w:w="344" w:type="pct"/>
                  <w:tcBorders>
                    <w:tl2br w:val="nil"/>
                    <w:tr2bl w:val="nil"/>
                  </w:tcBorders>
                  <w:vAlign w:val="center"/>
                </w:tcPr>
                <w:p w14:paraId="7061A324">
                  <w:pPr>
                    <w:adjustRightInd w:val="0"/>
                    <w:snapToGrid w:val="0"/>
                    <w:jc w:val="center"/>
                    <w:rPr>
                      <w:color w:val="000000" w:themeColor="text1"/>
                      <w:szCs w:val="21"/>
                      <w:highlight w:val="none"/>
                    </w:rPr>
                  </w:pPr>
                  <w:r>
                    <w:rPr>
                      <w:color w:val="000000" w:themeColor="text1"/>
                      <w:szCs w:val="21"/>
                      <w:highlight w:val="none"/>
                    </w:rPr>
                    <w:t>平均时间</w:t>
                  </w:r>
                </w:p>
              </w:tc>
              <w:tc>
                <w:tcPr>
                  <w:tcW w:w="603" w:type="pct"/>
                  <w:tcBorders>
                    <w:tl2br w:val="nil"/>
                    <w:tr2bl w:val="nil"/>
                  </w:tcBorders>
                  <w:vAlign w:val="center"/>
                </w:tcPr>
                <w:p w14:paraId="50183B7E">
                  <w:pPr>
                    <w:adjustRightInd w:val="0"/>
                    <w:snapToGrid w:val="0"/>
                    <w:jc w:val="center"/>
                    <w:rPr>
                      <w:color w:val="000000" w:themeColor="text1"/>
                      <w:szCs w:val="21"/>
                      <w:highlight w:val="none"/>
                    </w:rPr>
                  </w:pPr>
                  <w:r>
                    <w:rPr>
                      <w:color w:val="000000" w:themeColor="text1"/>
                      <w:szCs w:val="21"/>
                      <w:highlight w:val="none"/>
                    </w:rPr>
                    <w:t>评价标准</w:t>
                  </w:r>
                  <w:r>
                    <w:rPr>
                      <w:bCs/>
                      <w:color w:val="000000" w:themeColor="text1"/>
                      <w:szCs w:val="21"/>
                      <w:highlight w:val="none"/>
                    </w:rPr>
                    <w:t>μg/m</w:t>
                  </w:r>
                  <w:r>
                    <w:rPr>
                      <w:bCs/>
                      <w:color w:val="000000" w:themeColor="text1"/>
                      <w:szCs w:val="21"/>
                      <w:highlight w:val="none"/>
                      <w:vertAlign w:val="superscript"/>
                    </w:rPr>
                    <w:t>3</w:t>
                  </w:r>
                </w:p>
              </w:tc>
              <w:tc>
                <w:tcPr>
                  <w:tcW w:w="689" w:type="pct"/>
                  <w:tcBorders>
                    <w:tl2br w:val="nil"/>
                    <w:tr2bl w:val="nil"/>
                  </w:tcBorders>
                  <w:vAlign w:val="center"/>
                </w:tcPr>
                <w:p w14:paraId="6CBB2870">
                  <w:pPr>
                    <w:adjustRightInd w:val="0"/>
                    <w:snapToGrid w:val="0"/>
                    <w:jc w:val="center"/>
                    <w:rPr>
                      <w:color w:val="000000" w:themeColor="text1"/>
                      <w:szCs w:val="21"/>
                      <w:highlight w:val="none"/>
                    </w:rPr>
                  </w:pPr>
                  <w:r>
                    <w:rPr>
                      <w:color w:val="000000" w:themeColor="text1"/>
                      <w:szCs w:val="21"/>
                      <w:highlight w:val="none"/>
                    </w:rPr>
                    <w:t>监测浓度范围</w:t>
                  </w:r>
                  <w:r>
                    <w:rPr>
                      <w:bCs/>
                      <w:color w:val="000000" w:themeColor="text1"/>
                      <w:szCs w:val="21"/>
                      <w:highlight w:val="none"/>
                    </w:rPr>
                    <w:t>μg/m</w:t>
                  </w:r>
                  <w:r>
                    <w:rPr>
                      <w:bCs/>
                      <w:color w:val="000000" w:themeColor="text1"/>
                      <w:szCs w:val="21"/>
                      <w:highlight w:val="none"/>
                      <w:vertAlign w:val="superscript"/>
                    </w:rPr>
                    <w:t>3</w:t>
                  </w:r>
                </w:p>
              </w:tc>
              <w:tc>
                <w:tcPr>
                  <w:tcW w:w="559" w:type="pct"/>
                  <w:tcBorders>
                    <w:tl2br w:val="nil"/>
                    <w:tr2bl w:val="nil"/>
                  </w:tcBorders>
                  <w:vAlign w:val="center"/>
                </w:tcPr>
                <w:p w14:paraId="25B2FB17">
                  <w:pPr>
                    <w:adjustRightInd w:val="0"/>
                    <w:snapToGrid w:val="0"/>
                    <w:jc w:val="center"/>
                    <w:rPr>
                      <w:color w:val="000000" w:themeColor="text1"/>
                      <w:szCs w:val="21"/>
                      <w:highlight w:val="none"/>
                    </w:rPr>
                  </w:pPr>
                  <w:r>
                    <w:rPr>
                      <w:color w:val="000000" w:themeColor="text1"/>
                      <w:szCs w:val="21"/>
                      <w:highlight w:val="none"/>
                    </w:rPr>
                    <w:t>最大浓度占标率%</w:t>
                  </w:r>
                </w:p>
              </w:tc>
              <w:tc>
                <w:tcPr>
                  <w:tcW w:w="303" w:type="pct"/>
                  <w:tcBorders>
                    <w:tl2br w:val="nil"/>
                    <w:tr2bl w:val="nil"/>
                  </w:tcBorders>
                  <w:vAlign w:val="center"/>
                </w:tcPr>
                <w:p w14:paraId="61551681">
                  <w:pPr>
                    <w:adjustRightInd w:val="0"/>
                    <w:snapToGrid w:val="0"/>
                    <w:jc w:val="center"/>
                    <w:rPr>
                      <w:color w:val="000000" w:themeColor="text1"/>
                      <w:szCs w:val="21"/>
                      <w:highlight w:val="none"/>
                    </w:rPr>
                  </w:pPr>
                  <w:r>
                    <w:rPr>
                      <w:color w:val="000000" w:themeColor="text1"/>
                      <w:szCs w:val="21"/>
                      <w:highlight w:val="none"/>
                    </w:rPr>
                    <w:t>超标率%</w:t>
                  </w:r>
                </w:p>
              </w:tc>
              <w:tc>
                <w:tcPr>
                  <w:tcW w:w="344" w:type="pct"/>
                  <w:tcBorders>
                    <w:tl2br w:val="nil"/>
                    <w:tr2bl w:val="nil"/>
                  </w:tcBorders>
                  <w:vAlign w:val="center"/>
                </w:tcPr>
                <w:p w14:paraId="4B8FCE1F">
                  <w:pPr>
                    <w:adjustRightInd w:val="0"/>
                    <w:snapToGrid w:val="0"/>
                    <w:jc w:val="center"/>
                    <w:rPr>
                      <w:color w:val="000000" w:themeColor="text1"/>
                      <w:szCs w:val="21"/>
                      <w:highlight w:val="none"/>
                    </w:rPr>
                  </w:pPr>
                  <w:r>
                    <w:rPr>
                      <w:color w:val="000000" w:themeColor="text1"/>
                      <w:szCs w:val="21"/>
                      <w:highlight w:val="none"/>
                    </w:rPr>
                    <w:t>达标情况</w:t>
                  </w:r>
                </w:p>
              </w:tc>
            </w:tr>
            <w:tr w14:paraId="55880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431" w:type="pct"/>
                  <w:tcBorders>
                    <w:tl2br w:val="nil"/>
                    <w:tr2bl w:val="nil"/>
                  </w:tcBorders>
                  <w:vAlign w:val="center"/>
                </w:tcPr>
                <w:p w14:paraId="4E23344D">
                  <w:pPr>
                    <w:adjustRightInd w:val="0"/>
                    <w:snapToGrid w:val="0"/>
                    <w:jc w:val="center"/>
                    <w:rPr>
                      <w:color w:val="000000" w:themeColor="text1"/>
                      <w:szCs w:val="21"/>
                      <w:highlight w:val="none"/>
                    </w:rPr>
                  </w:pPr>
                  <w:r>
                    <w:rPr>
                      <w:color w:val="000000" w:themeColor="text1"/>
                      <w:szCs w:val="21"/>
                      <w:highlight w:val="none"/>
                    </w:rPr>
                    <w:t>K2</w:t>
                  </w:r>
                </w:p>
              </w:tc>
              <w:tc>
                <w:tcPr>
                  <w:tcW w:w="1207" w:type="pct"/>
                </w:tcPr>
                <w:p w14:paraId="6DE2918A">
                  <w:pPr>
                    <w:adjustRightInd w:val="0"/>
                    <w:snapToGrid w:val="0"/>
                    <w:jc w:val="center"/>
                    <w:rPr>
                      <w:color w:val="000000" w:themeColor="text1"/>
                      <w:szCs w:val="21"/>
                      <w:highlight w:val="none"/>
                    </w:rPr>
                  </w:pPr>
                  <w:r>
                    <w:rPr>
                      <w:color w:val="000000" w:themeColor="text1"/>
                      <w:szCs w:val="21"/>
                      <w:highlight w:val="none"/>
                    </w:rPr>
                    <w:t>E110°18′36.060″，N39°36′39.588″</w:t>
                  </w:r>
                </w:p>
              </w:tc>
              <w:tc>
                <w:tcPr>
                  <w:tcW w:w="516" w:type="pct"/>
                  <w:tcBorders>
                    <w:tl2br w:val="nil"/>
                    <w:tr2bl w:val="nil"/>
                  </w:tcBorders>
                  <w:vAlign w:val="center"/>
                </w:tcPr>
                <w:p w14:paraId="658923CA">
                  <w:pPr>
                    <w:adjustRightInd w:val="0"/>
                    <w:snapToGrid w:val="0"/>
                    <w:jc w:val="center"/>
                    <w:rPr>
                      <w:color w:val="000000" w:themeColor="text1"/>
                      <w:szCs w:val="21"/>
                      <w:highlight w:val="none"/>
                    </w:rPr>
                  </w:pPr>
                  <w:r>
                    <w:rPr>
                      <w:rFonts w:hint="eastAsia"/>
                      <w:color w:val="000000" w:themeColor="text1"/>
                      <w:szCs w:val="21"/>
                      <w:highlight w:val="none"/>
                    </w:rPr>
                    <w:t>TSP</w:t>
                  </w:r>
                </w:p>
              </w:tc>
              <w:tc>
                <w:tcPr>
                  <w:tcW w:w="344" w:type="pct"/>
                  <w:tcBorders>
                    <w:tl2br w:val="nil"/>
                    <w:tr2bl w:val="nil"/>
                  </w:tcBorders>
                  <w:vAlign w:val="center"/>
                </w:tcPr>
                <w:p w14:paraId="185D9070">
                  <w:pPr>
                    <w:adjustRightInd w:val="0"/>
                    <w:snapToGrid w:val="0"/>
                    <w:jc w:val="center"/>
                    <w:rPr>
                      <w:color w:val="000000" w:themeColor="text1"/>
                      <w:szCs w:val="21"/>
                      <w:highlight w:val="none"/>
                    </w:rPr>
                  </w:pPr>
                  <w:r>
                    <w:rPr>
                      <w:rFonts w:hint="eastAsia"/>
                      <w:color w:val="000000" w:themeColor="text1"/>
                      <w:szCs w:val="21"/>
                      <w:highlight w:val="none"/>
                    </w:rPr>
                    <w:t>24h</w:t>
                  </w:r>
                </w:p>
              </w:tc>
              <w:tc>
                <w:tcPr>
                  <w:tcW w:w="603" w:type="pct"/>
                  <w:tcBorders>
                    <w:tl2br w:val="nil"/>
                    <w:tr2bl w:val="nil"/>
                  </w:tcBorders>
                  <w:vAlign w:val="center"/>
                </w:tcPr>
                <w:p w14:paraId="01C0B9B9">
                  <w:pPr>
                    <w:adjustRightInd w:val="0"/>
                    <w:snapToGrid w:val="0"/>
                    <w:jc w:val="center"/>
                    <w:rPr>
                      <w:color w:val="000000" w:themeColor="text1"/>
                      <w:szCs w:val="21"/>
                      <w:highlight w:val="none"/>
                    </w:rPr>
                  </w:pPr>
                  <w:r>
                    <w:rPr>
                      <w:rFonts w:hint="eastAsia"/>
                      <w:color w:val="000000" w:themeColor="text1"/>
                      <w:szCs w:val="21"/>
                      <w:highlight w:val="none"/>
                    </w:rPr>
                    <w:t>300</w:t>
                  </w:r>
                </w:p>
              </w:tc>
              <w:tc>
                <w:tcPr>
                  <w:tcW w:w="689" w:type="pct"/>
                  <w:tcBorders>
                    <w:tl2br w:val="nil"/>
                    <w:tr2bl w:val="nil"/>
                  </w:tcBorders>
                  <w:vAlign w:val="center"/>
                </w:tcPr>
                <w:p w14:paraId="7A73D177">
                  <w:pPr>
                    <w:adjustRightInd w:val="0"/>
                    <w:snapToGrid w:val="0"/>
                    <w:jc w:val="center"/>
                    <w:rPr>
                      <w:color w:val="000000" w:themeColor="text1"/>
                      <w:szCs w:val="21"/>
                      <w:highlight w:val="none"/>
                    </w:rPr>
                  </w:pPr>
                  <w:r>
                    <w:rPr>
                      <w:rFonts w:hint="eastAsia"/>
                      <w:color w:val="000000" w:themeColor="text1"/>
                      <w:szCs w:val="21"/>
                      <w:highlight w:val="none"/>
                    </w:rPr>
                    <w:t>2</w:t>
                  </w:r>
                  <w:r>
                    <w:rPr>
                      <w:color w:val="000000" w:themeColor="text1"/>
                      <w:szCs w:val="21"/>
                      <w:highlight w:val="none"/>
                    </w:rPr>
                    <w:t>18～</w:t>
                  </w:r>
                  <w:r>
                    <w:rPr>
                      <w:rFonts w:hint="eastAsia"/>
                      <w:color w:val="000000" w:themeColor="text1"/>
                      <w:szCs w:val="21"/>
                      <w:highlight w:val="none"/>
                    </w:rPr>
                    <w:t>2</w:t>
                  </w:r>
                  <w:r>
                    <w:rPr>
                      <w:color w:val="000000" w:themeColor="text1"/>
                      <w:szCs w:val="21"/>
                      <w:highlight w:val="none"/>
                    </w:rPr>
                    <w:t>51</w:t>
                  </w:r>
                </w:p>
              </w:tc>
              <w:tc>
                <w:tcPr>
                  <w:tcW w:w="559" w:type="pct"/>
                  <w:tcBorders>
                    <w:tl2br w:val="nil"/>
                    <w:tr2bl w:val="nil"/>
                  </w:tcBorders>
                  <w:vAlign w:val="center"/>
                </w:tcPr>
                <w:p w14:paraId="50D1D6D4">
                  <w:pPr>
                    <w:adjustRightInd w:val="0"/>
                    <w:snapToGrid w:val="0"/>
                    <w:jc w:val="center"/>
                    <w:rPr>
                      <w:color w:val="000000" w:themeColor="text1"/>
                      <w:szCs w:val="21"/>
                      <w:highlight w:val="none"/>
                    </w:rPr>
                  </w:pPr>
                  <w:r>
                    <w:rPr>
                      <w:color w:val="000000" w:themeColor="text1"/>
                      <w:szCs w:val="21"/>
                      <w:highlight w:val="none"/>
                    </w:rPr>
                    <w:t>83.7</w:t>
                  </w:r>
                </w:p>
              </w:tc>
              <w:tc>
                <w:tcPr>
                  <w:tcW w:w="303" w:type="pct"/>
                  <w:tcBorders>
                    <w:tl2br w:val="nil"/>
                    <w:tr2bl w:val="nil"/>
                  </w:tcBorders>
                  <w:vAlign w:val="center"/>
                </w:tcPr>
                <w:p w14:paraId="7EA0324B">
                  <w:pPr>
                    <w:adjustRightInd w:val="0"/>
                    <w:snapToGrid w:val="0"/>
                    <w:jc w:val="center"/>
                    <w:rPr>
                      <w:color w:val="000000" w:themeColor="text1"/>
                      <w:szCs w:val="21"/>
                      <w:highlight w:val="none"/>
                    </w:rPr>
                  </w:pPr>
                  <w:r>
                    <w:rPr>
                      <w:rFonts w:hint="eastAsia"/>
                      <w:color w:val="000000" w:themeColor="text1"/>
                      <w:szCs w:val="21"/>
                      <w:highlight w:val="none"/>
                    </w:rPr>
                    <w:t>0</w:t>
                  </w:r>
                </w:p>
              </w:tc>
              <w:tc>
                <w:tcPr>
                  <w:tcW w:w="344" w:type="pct"/>
                  <w:tcBorders>
                    <w:tl2br w:val="nil"/>
                    <w:tr2bl w:val="nil"/>
                  </w:tcBorders>
                  <w:vAlign w:val="center"/>
                </w:tcPr>
                <w:p w14:paraId="393874D8">
                  <w:pPr>
                    <w:adjustRightInd w:val="0"/>
                    <w:snapToGrid w:val="0"/>
                    <w:jc w:val="center"/>
                    <w:rPr>
                      <w:color w:val="000000" w:themeColor="text1"/>
                      <w:szCs w:val="21"/>
                      <w:highlight w:val="none"/>
                    </w:rPr>
                  </w:pPr>
                  <w:r>
                    <w:rPr>
                      <w:rFonts w:hint="eastAsia"/>
                      <w:color w:val="000000" w:themeColor="text1"/>
                      <w:szCs w:val="21"/>
                      <w:highlight w:val="none"/>
                    </w:rPr>
                    <w:t>达标</w:t>
                  </w:r>
                </w:p>
              </w:tc>
            </w:tr>
          </w:tbl>
          <w:p w14:paraId="2C342522">
            <w:pPr>
              <w:adjustRightInd w:val="0"/>
              <w:snapToGrid w:val="0"/>
              <w:spacing w:line="360" w:lineRule="auto"/>
              <w:ind w:firstLine="480" w:firstLineChars="200"/>
              <w:rPr>
                <w:b/>
                <w:bCs/>
                <w:color w:val="000000" w:themeColor="text1"/>
                <w:sz w:val="24"/>
                <w:highlight w:val="none"/>
              </w:rPr>
            </w:pPr>
            <w:r>
              <w:rPr>
                <w:color w:val="000000" w:themeColor="text1"/>
                <w:sz w:val="24"/>
                <w:highlight w:val="none"/>
              </w:rPr>
              <w:t>监测结果表明，监测</w:t>
            </w:r>
            <w:r>
              <w:rPr>
                <w:rFonts w:hint="eastAsia"/>
                <w:color w:val="000000" w:themeColor="text1"/>
                <w:sz w:val="24"/>
                <w:highlight w:val="none"/>
              </w:rPr>
              <w:t>区域</w:t>
            </w:r>
            <w:r>
              <w:rPr>
                <w:color w:val="000000" w:themeColor="text1"/>
                <w:sz w:val="24"/>
                <w:highlight w:val="none"/>
              </w:rPr>
              <w:t>TSP日均浓度满足《环境空气质量标准》</w:t>
            </w:r>
            <w:r>
              <w:rPr>
                <w:rFonts w:hint="eastAsia"/>
                <w:color w:val="000000" w:themeColor="text1"/>
                <w:sz w:val="24"/>
                <w:highlight w:val="none"/>
              </w:rPr>
              <w:t>（</w:t>
            </w:r>
            <w:r>
              <w:rPr>
                <w:color w:val="000000" w:themeColor="text1"/>
                <w:sz w:val="24"/>
                <w:highlight w:val="none"/>
              </w:rPr>
              <w:t>GB3095</w:t>
            </w:r>
            <w:r>
              <w:rPr>
                <w:rFonts w:hint="eastAsia"/>
                <w:color w:val="000000" w:themeColor="text1"/>
                <w:sz w:val="24"/>
                <w:highlight w:val="none"/>
              </w:rPr>
              <w:t>-</w:t>
            </w:r>
            <w:r>
              <w:rPr>
                <w:color w:val="000000" w:themeColor="text1"/>
                <w:sz w:val="24"/>
                <w:highlight w:val="none"/>
              </w:rPr>
              <w:t>2012）中二级标准</w:t>
            </w:r>
            <w:r>
              <w:rPr>
                <w:rFonts w:hint="eastAsia"/>
                <w:color w:val="000000" w:themeColor="text1"/>
                <w:sz w:val="24"/>
                <w:highlight w:val="none"/>
              </w:rPr>
              <w:t>。</w:t>
            </w:r>
          </w:p>
          <w:p w14:paraId="001EC875">
            <w:pPr>
              <w:adjustRightInd w:val="0"/>
              <w:snapToGrid w:val="0"/>
              <w:spacing w:line="360" w:lineRule="auto"/>
              <w:ind w:firstLine="482" w:firstLineChars="200"/>
              <w:jc w:val="left"/>
              <w:rPr>
                <w:b/>
                <w:bCs/>
                <w:color w:val="000000" w:themeColor="text1"/>
                <w:sz w:val="24"/>
                <w:highlight w:val="none"/>
              </w:rPr>
            </w:pPr>
            <w:r>
              <w:rPr>
                <w:rFonts w:hint="eastAsia"/>
                <w:b/>
                <w:bCs/>
                <w:color w:val="000000" w:themeColor="text1"/>
                <w:sz w:val="24"/>
                <w:highlight w:val="none"/>
              </w:rPr>
              <w:t>三</w:t>
            </w:r>
            <w:r>
              <w:rPr>
                <w:b/>
                <w:bCs/>
                <w:color w:val="000000" w:themeColor="text1"/>
                <w:sz w:val="24"/>
                <w:highlight w:val="none"/>
              </w:rPr>
              <w:t>、声环境质量现状</w:t>
            </w:r>
          </w:p>
          <w:p w14:paraId="33715AAC">
            <w:pPr>
              <w:pStyle w:val="14"/>
              <w:spacing w:before="0" w:after="0" w:line="360" w:lineRule="auto"/>
              <w:ind w:right="0" w:firstLine="480" w:firstLineChars="200"/>
              <w:rPr>
                <w:color w:val="000000" w:themeColor="text1"/>
                <w:spacing w:val="-2"/>
                <w:sz w:val="24"/>
                <w:szCs w:val="24"/>
                <w:highlight w:val="none"/>
              </w:rPr>
            </w:pPr>
            <w:r>
              <w:rPr>
                <w:rFonts w:hint="eastAsia"/>
                <w:color w:val="000000" w:themeColor="text1"/>
                <w:sz w:val="24"/>
                <w:szCs w:val="24"/>
                <w:highlight w:val="none"/>
              </w:rPr>
              <w:t>本项目位于</w:t>
            </w:r>
            <w:r>
              <w:rPr>
                <w:rFonts w:hint="eastAsia" w:ascii="宋体" w:hAnsi="宋体" w:cs="宋体"/>
                <w:color w:val="000000" w:themeColor="text1"/>
                <w:sz w:val="24"/>
                <w:szCs w:val="24"/>
                <w:highlight w:val="none"/>
              </w:rPr>
              <w:t>伊金霍洛旗纳林陶亥镇朱日根沟村三社，</w:t>
            </w:r>
            <w:r>
              <w:rPr>
                <w:color w:val="000000" w:themeColor="text1"/>
                <w:sz w:val="24"/>
                <w:szCs w:val="24"/>
                <w:highlight w:val="none"/>
              </w:rPr>
              <w:t>厂址周围50m范围内无</w:t>
            </w:r>
            <w:r>
              <w:rPr>
                <w:rFonts w:hint="eastAsia"/>
                <w:color w:val="000000" w:themeColor="text1"/>
                <w:sz w:val="24"/>
                <w:szCs w:val="24"/>
                <w:highlight w:val="none"/>
              </w:rPr>
              <w:t>居民区、</w:t>
            </w:r>
            <w:r>
              <w:rPr>
                <w:color w:val="000000" w:themeColor="text1"/>
                <w:sz w:val="24"/>
                <w:szCs w:val="24"/>
                <w:highlight w:val="none"/>
              </w:rPr>
              <w:t>学校、疗养院、医院及风景名胜区等声环境敏感目标，故不进行声环境质量现状监测。</w:t>
            </w:r>
          </w:p>
        </w:tc>
      </w:tr>
      <w:tr w14:paraId="0A2F6B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2" w:type="pct"/>
            <w:vAlign w:val="center"/>
          </w:tcPr>
          <w:p w14:paraId="703C0C85">
            <w:pPr>
              <w:adjustRightInd w:val="0"/>
              <w:snapToGrid w:val="0"/>
              <w:jc w:val="center"/>
              <w:rPr>
                <w:rFonts w:ascii="宋体" w:hAnsi="宋体" w:cs="宋体"/>
                <w:color w:val="000000" w:themeColor="text1"/>
                <w:kern w:val="0"/>
                <w:szCs w:val="21"/>
                <w:highlight w:val="none"/>
              </w:rPr>
            </w:pPr>
            <w:r>
              <w:rPr>
                <w:rFonts w:hint="eastAsia" w:ascii="宋体" w:hAnsi="宋体"/>
                <w:bCs/>
                <w:color w:val="000000" w:themeColor="text1"/>
                <w:sz w:val="24"/>
                <w:highlight w:val="none"/>
              </w:rPr>
              <w:t>与项目有关的原有环境污染和生态破坏问题</w:t>
            </w:r>
          </w:p>
        </w:tc>
        <w:tc>
          <w:tcPr>
            <w:tcW w:w="4557" w:type="pct"/>
            <w:vAlign w:val="center"/>
          </w:tcPr>
          <w:p w14:paraId="73818A6E">
            <w:pPr>
              <w:widowControl/>
              <w:spacing w:line="360" w:lineRule="auto"/>
              <w:jc w:val="center"/>
              <w:rPr>
                <w:rFonts w:ascii="宋体" w:hAnsi="宋体" w:cs="宋体"/>
                <w:color w:val="000000" w:themeColor="text1"/>
                <w:kern w:val="0"/>
                <w:szCs w:val="21"/>
                <w:highlight w:val="none"/>
              </w:rPr>
            </w:pPr>
            <w:r>
              <w:rPr>
                <w:rFonts w:hint="eastAsia" w:ascii="宋体" w:hAnsi="宋体" w:cs="宋体"/>
                <w:color w:val="000000" w:themeColor="text1"/>
                <w:kern w:val="0"/>
                <w:sz w:val="24"/>
                <w:highlight w:val="none"/>
              </w:rPr>
              <w:t>本项目为新建项目，不存在与项目有关的原有环境污染和生态破坏问题。</w:t>
            </w:r>
          </w:p>
        </w:tc>
      </w:tr>
      <w:tr w14:paraId="368D20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24" w:hRule="atLeast"/>
          <w:jc w:val="center"/>
        </w:trPr>
        <w:tc>
          <w:tcPr>
            <w:tcW w:w="442" w:type="pct"/>
            <w:vAlign w:val="center"/>
          </w:tcPr>
          <w:p w14:paraId="1A15D1D1">
            <w:pPr>
              <w:adjustRightInd w:val="0"/>
              <w:snapToGrid w:val="0"/>
              <w:jc w:val="center"/>
              <w:rPr>
                <w:rFonts w:ascii="宋体" w:hAnsi="宋体" w:cs="宋体"/>
                <w:color w:val="000000" w:themeColor="text1"/>
                <w:kern w:val="0"/>
                <w:szCs w:val="21"/>
                <w:highlight w:val="none"/>
              </w:rPr>
            </w:pPr>
            <w:r>
              <w:rPr>
                <w:rFonts w:hint="eastAsia" w:ascii="宋体" w:hAnsi="宋体" w:cs="宋体"/>
                <w:color w:val="000000" w:themeColor="text1"/>
                <w:kern w:val="0"/>
                <w:sz w:val="24"/>
                <w:highlight w:val="none"/>
              </w:rPr>
              <w:t>生态环境保护目标</w:t>
            </w:r>
          </w:p>
        </w:tc>
        <w:tc>
          <w:tcPr>
            <w:tcW w:w="4557" w:type="pct"/>
            <w:vAlign w:val="center"/>
          </w:tcPr>
          <w:p w14:paraId="39CC363D">
            <w:pPr>
              <w:pStyle w:val="14"/>
              <w:widowControl w:val="0"/>
              <w:snapToGrid/>
              <w:spacing w:before="0" w:after="0" w:line="360" w:lineRule="auto"/>
              <w:ind w:right="0" w:firstLine="480" w:firstLineChars="200"/>
              <w:rPr>
                <w:color w:val="000000" w:themeColor="text1"/>
                <w:sz w:val="24"/>
                <w:szCs w:val="24"/>
                <w:highlight w:val="none"/>
              </w:rPr>
            </w:pPr>
            <w:r>
              <w:rPr>
                <w:color w:val="000000" w:themeColor="text1"/>
                <w:sz w:val="24"/>
                <w:szCs w:val="24"/>
                <w:highlight w:val="none"/>
              </w:rPr>
              <w:t>本项目</w:t>
            </w:r>
            <w:r>
              <w:rPr>
                <w:rFonts w:hint="eastAsia"/>
                <w:color w:val="000000" w:themeColor="text1"/>
                <w:sz w:val="24"/>
                <w:highlight w:val="none"/>
              </w:rPr>
              <w:t>建设内容包括风井场地及其配套工程</w:t>
            </w:r>
            <w:r>
              <w:rPr>
                <w:color w:val="000000" w:themeColor="text1"/>
                <w:sz w:val="24"/>
                <w:szCs w:val="24"/>
                <w:highlight w:val="none"/>
              </w:rPr>
              <w:t>，位于</w:t>
            </w:r>
            <w:r>
              <w:rPr>
                <w:rFonts w:hint="eastAsia"/>
                <w:color w:val="000000" w:themeColor="text1"/>
                <w:sz w:val="24"/>
                <w:szCs w:val="24"/>
                <w:highlight w:val="none"/>
              </w:rPr>
              <w:t>伊金霍洛旗纳林陶亥镇朱日根沟村三社</w:t>
            </w:r>
            <w:r>
              <w:rPr>
                <w:color w:val="000000" w:themeColor="text1"/>
                <w:sz w:val="24"/>
                <w:szCs w:val="24"/>
                <w:highlight w:val="none"/>
              </w:rPr>
              <w:t>，</w:t>
            </w:r>
            <w:r>
              <w:rPr>
                <w:rFonts w:hint="eastAsia"/>
                <w:color w:val="000000" w:themeColor="text1"/>
                <w:sz w:val="24"/>
                <w:szCs w:val="24"/>
                <w:highlight w:val="none"/>
              </w:rPr>
              <w:t>本项目用地范围内</w:t>
            </w:r>
            <w:r>
              <w:rPr>
                <w:color w:val="000000" w:themeColor="text1"/>
                <w:sz w:val="24"/>
                <w:szCs w:val="24"/>
                <w:highlight w:val="none"/>
              </w:rPr>
              <w:t>没有国家和地方保护的文物古迹</w:t>
            </w:r>
            <w:r>
              <w:rPr>
                <w:rFonts w:hint="eastAsia"/>
                <w:color w:val="000000" w:themeColor="text1"/>
                <w:sz w:val="24"/>
                <w:szCs w:val="24"/>
                <w:highlight w:val="none"/>
              </w:rPr>
              <w:t>，</w:t>
            </w:r>
            <w:r>
              <w:rPr>
                <w:color w:val="000000" w:themeColor="text1"/>
                <w:sz w:val="24"/>
                <w:highlight w:val="none"/>
              </w:rPr>
              <w:t>无重点保护文物</w:t>
            </w:r>
            <w:r>
              <w:rPr>
                <w:rFonts w:hint="eastAsia"/>
                <w:color w:val="000000" w:themeColor="text1"/>
                <w:sz w:val="24"/>
                <w:highlight w:val="none"/>
              </w:rPr>
              <w:t>；</w:t>
            </w:r>
            <w:r>
              <w:rPr>
                <w:color w:val="000000" w:themeColor="text1"/>
                <w:sz w:val="24"/>
                <w:highlight w:val="none"/>
              </w:rPr>
              <w:t>无饮用水水源保护区</w:t>
            </w:r>
            <w:r>
              <w:rPr>
                <w:rFonts w:hint="eastAsia"/>
                <w:color w:val="000000" w:themeColor="text1"/>
                <w:sz w:val="24"/>
                <w:szCs w:val="24"/>
                <w:highlight w:val="none"/>
              </w:rPr>
              <w:t>、风景名胜区</w:t>
            </w:r>
            <w:r>
              <w:rPr>
                <w:color w:val="000000" w:themeColor="text1"/>
                <w:sz w:val="24"/>
                <w:szCs w:val="24"/>
                <w:highlight w:val="none"/>
              </w:rPr>
              <w:t>。</w:t>
            </w:r>
            <w:r>
              <w:rPr>
                <w:rFonts w:hint="eastAsia"/>
                <w:color w:val="000000" w:themeColor="text1"/>
                <w:sz w:val="24"/>
                <w:szCs w:val="24"/>
                <w:highlight w:val="none"/>
              </w:rPr>
              <w:t>不涉及国家公园、自然保护区、自然公园等自然保护地、世界自然遗产、生态保护红线等区域，项目进场道路依托煤矿已建成巡检道路，周边无敏感目标分布</w:t>
            </w:r>
            <w:r>
              <w:rPr>
                <w:color w:val="000000" w:themeColor="text1"/>
                <w:sz w:val="24"/>
                <w:szCs w:val="24"/>
                <w:highlight w:val="none"/>
              </w:rPr>
              <w:t>。</w:t>
            </w:r>
            <w:r>
              <w:rPr>
                <w:rFonts w:hint="eastAsia"/>
                <w:color w:val="000000" w:themeColor="text1"/>
                <w:sz w:val="24"/>
                <w:szCs w:val="24"/>
                <w:highlight w:val="none"/>
              </w:rPr>
              <w:t>主要环境保护目标见表3-8。</w:t>
            </w:r>
          </w:p>
          <w:p w14:paraId="5B460F6A">
            <w:pPr>
              <w:pStyle w:val="14"/>
              <w:widowControl w:val="0"/>
              <w:snapToGrid/>
              <w:spacing w:before="0" w:after="0" w:line="240" w:lineRule="auto"/>
              <w:ind w:right="0"/>
              <w:jc w:val="center"/>
              <w:rPr>
                <w:b/>
                <w:bCs/>
                <w:color w:val="000000" w:themeColor="text1"/>
                <w:sz w:val="24"/>
                <w:szCs w:val="24"/>
                <w:highlight w:val="none"/>
              </w:rPr>
            </w:pPr>
            <w:r>
              <w:rPr>
                <w:rFonts w:hint="eastAsia"/>
                <w:color w:val="000000" w:themeColor="text1"/>
                <w:sz w:val="24"/>
                <w:szCs w:val="24"/>
                <w:highlight w:val="none"/>
              </w:rPr>
              <w:t>表3-8 本项目主要环境保护目标一览表</w:t>
            </w:r>
          </w:p>
          <w:tbl>
            <w:tblPr>
              <w:tblStyle w:val="27"/>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845"/>
              <w:gridCol w:w="649"/>
              <w:gridCol w:w="838"/>
              <w:gridCol w:w="1061"/>
              <w:gridCol w:w="800"/>
              <w:gridCol w:w="940"/>
              <w:gridCol w:w="1722"/>
            </w:tblGrid>
            <w:tr w14:paraId="34E84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450" w:type="pct"/>
                  <w:vAlign w:val="center"/>
                </w:tcPr>
                <w:p w14:paraId="174D7C25">
                  <w:pPr>
                    <w:pStyle w:val="14"/>
                    <w:widowControl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敏感因素</w:t>
                  </w:r>
                </w:p>
              </w:tc>
              <w:tc>
                <w:tcPr>
                  <w:tcW w:w="560" w:type="pct"/>
                  <w:vAlign w:val="center"/>
                </w:tcPr>
                <w:p w14:paraId="49C3B507">
                  <w:pPr>
                    <w:pStyle w:val="14"/>
                    <w:widowControl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工程类型</w:t>
                  </w:r>
                </w:p>
              </w:tc>
              <w:tc>
                <w:tcPr>
                  <w:tcW w:w="431" w:type="pct"/>
                  <w:vAlign w:val="center"/>
                </w:tcPr>
                <w:p w14:paraId="1E52CEAC">
                  <w:pPr>
                    <w:pStyle w:val="14"/>
                    <w:widowControl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保护目标</w:t>
                  </w:r>
                </w:p>
              </w:tc>
              <w:tc>
                <w:tcPr>
                  <w:tcW w:w="556" w:type="pct"/>
                  <w:vAlign w:val="center"/>
                </w:tcPr>
                <w:p w14:paraId="25474A93">
                  <w:pPr>
                    <w:pStyle w:val="14"/>
                    <w:widowControl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坐标</w:t>
                  </w:r>
                </w:p>
              </w:tc>
              <w:tc>
                <w:tcPr>
                  <w:tcW w:w="704" w:type="pct"/>
                  <w:vAlign w:val="center"/>
                </w:tcPr>
                <w:p w14:paraId="6C04D4C1">
                  <w:pPr>
                    <w:pStyle w:val="14"/>
                    <w:widowControl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位置关系</w:t>
                  </w:r>
                </w:p>
              </w:tc>
              <w:tc>
                <w:tcPr>
                  <w:tcW w:w="531" w:type="pct"/>
                  <w:vAlign w:val="center"/>
                </w:tcPr>
                <w:p w14:paraId="3E45FDB1">
                  <w:pPr>
                    <w:pStyle w:val="14"/>
                    <w:widowControl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距离</w:t>
                  </w:r>
                </w:p>
              </w:tc>
              <w:tc>
                <w:tcPr>
                  <w:tcW w:w="622" w:type="pct"/>
                  <w:vAlign w:val="center"/>
                </w:tcPr>
                <w:p w14:paraId="43539C6E">
                  <w:pPr>
                    <w:pStyle w:val="14"/>
                    <w:widowControl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规模</w:t>
                  </w:r>
                </w:p>
              </w:tc>
              <w:tc>
                <w:tcPr>
                  <w:tcW w:w="1143" w:type="pct"/>
                  <w:vAlign w:val="center"/>
                </w:tcPr>
                <w:p w14:paraId="795EF9F0">
                  <w:pPr>
                    <w:pStyle w:val="14"/>
                    <w:widowControl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区域功能及执行标准</w:t>
                  </w:r>
                </w:p>
              </w:tc>
            </w:tr>
            <w:tr w14:paraId="34BA2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450" w:type="pct"/>
                  <w:vAlign w:val="center"/>
                </w:tcPr>
                <w:p w14:paraId="6533E465">
                  <w:pPr>
                    <w:pStyle w:val="14"/>
                    <w:widowControl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大气环境</w:t>
                  </w:r>
                </w:p>
              </w:tc>
              <w:tc>
                <w:tcPr>
                  <w:tcW w:w="560" w:type="pct"/>
                  <w:vAlign w:val="center"/>
                </w:tcPr>
                <w:p w14:paraId="0C59F48E">
                  <w:pPr>
                    <w:pStyle w:val="14"/>
                    <w:widowControl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风井场地</w:t>
                  </w:r>
                </w:p>
              </w:tc>
              <w:tc>
                <w:tcPr>
                  <w:tcW w:w="2846" w:type="pct"/>
                  <w:gridSpan w:val="5"/>
                  <w:vAlign w:val="center"/>
                </w:tcPr>
                <w:p w14:paraId="71D25B92">
                  <w:pPr>
                    <w:pStyle w:val="14"/>
                    <w:widowControl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厂界外500米范围内无自然保护区、风景名胜区、居住区、文化区和农村地区中人群较集中的区域</w:t>
                  </w:r>
                </w:p>
              </w:tc>
              <w:tc>
                <w:tcPr>
                  <w:tcW w:w="1143" w:type="pct"/>
                  <w:vAlign w:val="center"/>
                </w:tcPr>
                <w:p w14:paraId="05BCF5FE">
                  <w:pPr>
                    <w:pStyle w:val="14"/>
                    <w:widowControl w:val="0"/>
                    <w:wordWrap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《环境空气质量标准》（GB3095-2012）二级标准</w:t>
                  </w:r>
                </w:p>
              </w:tc>
            </w:tr>
            <w:tr w14:paraId="7EA88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450" w:type="pct"/>
                  <w:vAlign w:val="center"/>
                </w:tcPr>
                <w:p w14:paraId="37FC15CB">
                  <w:pPr>
                    <w:pStyle w:val="14"/>
                    <w:widowControl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声环境</w:t>
                  </w:r>
                </w:p>
              </w:tc>
              <w:tc>
                <w:tcPr>
                  <w:tcW w:w="560" w:type="pct"/>
                  <w:vAlign w:val="center"/>
                </w:tcPr>
                <w:p w14:paraId="27229F60">
                  <w:pPr>
                    <w:jc w:val="center"/>
                    <w:rPr>
                      <w:color w:val="000000" w:themeColor="text1"/>
                      <w:szCs w:val="21"/>
                      <w:highlight w:val="none"/>
                    </w:rPr>
                  </w:pPr>
                  <w:r>
                    <w:rPr>
                      <w:rFonts w:hint="eastAsia"/>
                      <w:color w:val="000000" w:themeColor="text1"/>
                      <w:szCs w:val="21"/>
                      <w:highlight w:val="none"/>
                    </w:rPr>
                    <w:t>风井场地</w:t>
                  </w:r>
                </w:p>
              </w:tc>
              <w:tc>
                <w:tcPr>
                  <w:tcW w:w="2846" w:type="pct"/>
                  <w:gridSpan w:val="5"/>
                  <w:vAlign w:val="center"/>
                </w:tcPr>
                <w:p w14:paraId="2BA78692">
                  <w:pPr>
                    <w:jc w:val="center"/>
                    <w:rPr>
                      <w:color w:val="000000" w:themeColor="text1"/>
                      <w:szCs w:val="21"/>
                      <w:highlight w:val="none"/>
                    </w:rPr>
                  </w:pPr>
                  <w:r>
                    <w:rPr>
                      <w:rFonts w:hint="eastAsia"/>
                      <w:color w:val="000000" w:themeColor="text1"/>
                      <w:kern w:val="0"/>
                      <w:szCs w:val="21"/>
                      <w:highlight w:val="none"/>
                    </w:rPr>
                    <w:t>厂界外50米范围内无医院、学校、机关、科研单位、住宅等需要保持安静的建筑物。</w:t>
                  </w:r>
                </w:p>
              </w:tc>
              <w:tc>
                <w:tcPr>
                  <w:tcW w:w="1143" w:type="pct"/>
                  <w:vAlign w:val="center"/>
                </w:tcPr>
                <w:p w14:paraId="0FA3F068">
                  <w:pPr>
                    <w:pStyle w:val="14"/>
                    <w:widowControl w:val="0"/>
                    <w:wordWrap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《声环境质量标准》（GB3096-2008）2类标准</w:t>
                  </w:r>
                </w:p>
              </w:tc>
            </w:tr>
            <w:tr w14:paraId="569D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450" w:type="pct"/>
                  <w:vAlign w:val="center"/>
                </w:tcPr>
                <w:p w14:paraId="1C3AE664">
                  <w:pPr>
                    <w:pStyle w:val="14"/>
                    <w:widowControl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生态环境</w:t>
                  </w:r>
                </w:p>
              </w:tc>
              <w:tc>
                <w:tcPr>
                  <w:tcW w:w="560" w:type="pct"/>
                  <w:vAlign w:val="center"/>
                </w:tcPr>
                <w:p w14:paraId="50453487">
                  <w:pPr>
                    <w:jc w:val="center"/>
                    <w:rPr>
                      <w:color w:val="000000" w:themeColor="text1"/>
                      <w:szCs w:val="21"/>
                      <w:highlight w:val="none"/>
                    </w:rPr>
                  </w:pPr>
                  <w:r>
                    <w:rPr>
                      <w:rFonts w:hint="eastAsia"/>
                      <w:color w:val="000000" w:themeColor="text1"/>
                      <w:szCs w:val="21"/>
                      <w:highlight w:val="none"/>
                    </w:rPr>
                    <w:t>风井场地</w:t>
                  </w:r>
                </w:p>
              </w:tc>
              <w:tc>
                <w:tcPr>
                  <w:tcW w:w="2846" w:type="pct"/>
                  <w:gridSpan w:val="5"/>
                  <w:vAlign w:val="center"/>
                </w:tcPr>
                <w:p w14:paraId="62970E3F">
                  <w:pPr>
                    <w:rPr>
                      <w:color w:val="000000" w:themeColor="text1"/>
                      <w:kern w:val="0"/>
                      <w:szCs w:val="21"/>
                      <w:highlight w:val="none"/>
                    </w:rPr>
                  </w:pPr>
                  <w:r>
                    <w:rPr>
                      <w:rFonts w:hint="eastAsia"/>
                      <w:color w:val="000000" w:themeColor="text1"/>
                      <w:kern w:val="0"/>
                      <w:szCs w:val="21"/>
                      <w:highlight w:val="none"/>
                    </w:rPr>
                    <w:t>厂界外500米范围内无重要物种、生态敏感区以及其他需要保护的物种、群落、生物群落及生态空间</w:t>
                  </w:r>
                </w:p>
              </w:tc>
              <w:tc>
                <w:tcPr>
                  <w:tcW w:w="1143" w:type="pct"/>
                  <w:vAlign w:val="center"/>
                </w:tcPr>
                <w:p w14:paraId="06A0B15A">
                  <w:pPr>
                    <w:pStyle w:val="14"/>
                    <w:widowControl w:val="0"/>
                    <w:wordWrap w:val="0"/>
                    <w:snapToGrid/>
                    <w:spacing w:before="0" w:after="0" w:line="240" w:lineRule="auto"/>
                    <w:ind w:right="0"/>
                    <w:jc w:val="center"/>
                    <w:rPr>
                      <w:color w:val="000000" w:themeColor="text1"/>
                      <w:szCs w:val="21"/>
                      <w:highlight w:val="none"/>
                    </w:rPr>
                  </w:pPr>
                  <w:r>
                    <w:rPr>
                      <w:rFonts w:hint="eastAsia"/>
                      <w:color w:val="000000" w:themeColor="text1"/>
                      <w:szCs w:val="21"/>
                      <w:highlight w:val="none"/>
                    </w:rPr>
                    <w:t>/</w:t>
                  </w:r>
                </w:p>
              </w:tc>
            </w:tr>
            <w:tr w14:paraId="1B09F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450" w:type="pct"/>
                  <w:vAlign w:val="center"/>
                </w:tcPr>
                <w:p w14:paraId="2DCF6969">
                  <w:pPr>
                    <w:pStyle w:val="14"/>
                    <w:widowControl w:val="0"/>
                    <w:snapToGrid/>
                    <w:spacing w:before="0" w:after="0" w:line="240" w:lineRule="auto"/>
                    <w:ind w:right="0"/>
                    <w:jc w:val="center"/>
                    <w:rPr>
                      <w:rFonts w:hint="default" w:eastAsia="宋体"/>
                      <w:color w:val="000000" w:themeColor="text1"/>
                      <w:szCs w:val="21"/>
                      <w:highlight w:val="none"/>
                      <w:lang w:val="en-US" w:eastAsia="zh-CN"/>
                    </w:rPr>
                  </w:pPr>
                  <w:r>
                    <w:rPr>
                      <w:rFonts w:hint="eastAsia"/>
                      <w:color w:val="000000" w:themeColor="text1"/>
                      <w:szCs w:val="21"/>
                      <w:highlight w:val="none"/>
                      <w:lang w:val="en-US" w:eastAsia="zh-CN"/>
                    </w:rPr>
                    <w:t>地下水环境</w:t>
                  </w:r>
                </w:p>
              </w:tc>
              <w:tc>
                <w:tcPr>
                  <w:tcW w:w="560" w:type="pct"/>
                  <w:vAlign w:val="center"/>
                </w:tcPr>
                <w:p w14:paraId="265B6327">
                  <w:pPr>
                    <w:jc w:val="center"/>
                    <w:rPr>
                      <w:rFonts w:hint="eastAsia"/>
                      <w:color w:val="000000" w:themeColor="text1"/>
                      <w:szCs w:val="21"/>
                      <w:highlight w:val="none"/>
                    </w:rPr>
                  </w:pPr>
                  <w:r>
                    <w:rPr>
                      <w:rFonts w:hint="eastAsia"/>
                      <w:color w:val="000000" w:themeColor="text1"/>
                      <w:szCs w:val="21"/>
                      <w:highlight w:val="none"/>
                    </w:rPr>
                    <w:t>风井场地</w:t>
                  </w:r>
                </w:p>
              </w:tc>
              <w:tc>
                <w:tcPr>
                  <w:tcW w:w="2846" w:type="pct"/>
                  <w:gridSpan w:val="5"/>
                  <w:vAlign w:val="center"/>
                </w:tcPr>
                <w:p w14:paraId="7819DB17">
                  <w:pPr>
                    <w:rPr>
                      <w:rFonts w:hint="default" w:eastAsia="宋体"/>
                      <w:color w:val="000000" w:themeColor="text1"/>
                      <w:kern w:val="0"/>
                      <w:szCs w:val="21"/>
                      <w:highlight w:val="none"/>
                      <w:lang w:val="en-US" w:eastAsia="zh-CN"/>
                    </w:rPr>
                  </w:pPr>
                  <w:r>
                    <w:rPr>
                      <w:rFonts w:hint="eastAsia"/>
                      <w:color w:val="000000" w:themeColor="text1"/>
                      <w:kern w:val="0"/>
                      <w:szCs w:val="21"/>
                      <w:highlight w:val="none"/>
                      <w:lang w:val="en-US" w:eastAsia="zh-CN"/>
                    </w:rPr>
                    <w:t>项目占地范围无饮用水水源保护区、饮用水井</w:t>
                  </w:r>
                </w:p>
              </w:tc>
              <w:tc>
                <w:tcPr>
                  <w:tcW w:w="1143" w:type="pct"/>
                  <w:vAlign w:val="center"/>
                </w:tcPr>
                <w:p w14:paraId="1FBA9737">
                  <w:pPr>
                    <w:pStyle w:val="14"/>
                    <w:widowControl w:val="0"/>
                    <w:wordWrap w:val="0"/>
                    <w:snapToGrid/>
                    <w:spacing w:before="0" w:after="0" w:line="240" w:lineRule="auto"/>
                    <w:ind w:right="0"/>
                    <w:jc w:val="center"/>
                    <w:rPr>
                      <w:rFonts w:hint="eastAsia" w:eastAsia="宋体"/>
                      <w:color w:val="000000" w:themeColor="text1"/>
                      <w:szCs w:val="21"/>
                      <w:highlight w:val="none"/>
                      <w:lang w:val="en-US" w:eastAsia="zh-CN"/>
                    </w:rPr>
                  </w:pPr>
                  <w:r>
                    <w:rPr>
                      <w:rFonts w:hint="eastAsia"/>
                      <w:color w:val="000000" w:themeColor="text1"/>
                      <w:szCs w:val="21"/>
                      <w:highlight w:val="none"/>
                      <w:lang w:val="en-US" w:eastAsia="zh-CN"/>
                    </w:rPr>
                    <w:t>/</w:t>
                  </w:r>
                </w:p>
              </w:tc>
            </w:tr>
            <w:tr w14:paraId="1479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450" w:type="pct"/>
                  <w:vAlign w:val="center"/>
                </w:tcPr>
                <w:p w14:paraId="6FDF99DB">
                  <w:pPr>
                    <w:pStyle w:val="14"/>
                    <w:widowControl w:val="0"/>
                    <w:snapToGrid/>
                    <w:spacing w:before="0" w:after="0" w:line="240" w:lineRule="auto"/>
                    <w:ind w:right="0"/>
                    <w:jc w:val="center"/>
                    <w:rPr>
                      <w:rFonts w:hint="default"/>
                      <w:color w:val="000000" w:themeColor="text1"/>
                      <w:szCs w:val="21"/>
                      <w:highlight w:val="none"/>
                      <w:lang w:val="en-US" w:eastAsia="zh-CN"/>
                    </w:rPr>
                  </w:pPr>
                  <w:r>
                    <w:rPr>
                      <w:rFonts w:hint="eastAsia"/>
                      <w:color w:val="000000" w:themeColor="text1"/>
                      <w:szCs w:val="21"/>
                      <w:highlight w:val="none"/>
                      <w:lang w:val="en-US" w:eastAsia="zh-CN"/>
                    </w:rPr>
                    <w:t>地表水环境</w:t>
                  </w:r>
                </w:p>
              </w:tc>
              <w:tc>
                <w:tcPr>
                  <w:tcW w:w="560" w:type="pct"/>
                  <w:vAlign w:val="center"/>
                </w:tcPr>
                <w:p w14:paraId="3AE3E736">
                  <w:pPr>
                    <w:jc w:val="center"/>
                    <w:rPr>
                      <w:rFonts w:hint="eastAsia"/>
                      <w:color w:val="000000" w:themeColor="text1"/>
                      <w:szCs w:val="21"/>
                      <w:highlight w:val="none"/>
                    </w:rPr>
                  </w:pPr>
                  <w:r>
                    <w:rPr>
                      <w:rFonts w:hint="eastAsia"/>
                      <w:color w:val="000000" w:themeColor="text1"/>
                      <w:szCs w:val="21"/>
                      <w:highlight w:val="none"/>
                    </w:rPr>
                    <w:t>风井场地</w:t>
                  </w:r>
                </w:p>
              </w:tc>
              <w:tc>
                <w:tcPr>
                  <w:tcW w:w="2846" w:type="pct"/>
                  <w:gridSpan w:val="5"/>
                  <w:vAlign w:val="center"/>
                </w:tcPr>
                <w:p w14:paraId="599E1103">
                  <w:pPr>
                    <w:rPr>
                      <w:rFonts w:hint="eastAsia"/>
                      <w:color w:val="000000" w:themeColor="text1"/>
                      <w:kern w:val="0"/>
                      <w:szCs w:val="21"/>
                      <w:highlight w:val="none"/>
                      <w:lang w:val="en-US" w:eastAsia="zh-CN"/>
                    </w:rPr>
                  </w:pPr>
                  <w:r>
                    <w:rPr>
                      <w:rFonts w:hint="eastAsia"/>
                      <w:color w:val="000000" w:themeColor="text1"/>
                      <w:kern w:val="0"/>
                      <w:szCs w:val="21"/>
                      <w:highlight w:val="none"/>
                      <w:lang w:val="en-US" w:eastAsia="zh-CN"/>
                    </w:rPr>
                    <w:t>项目占地范围无饮用水水源保护区、地表水体</w:t>
                  </w:r>
                </w:p>
              </w:tc>
              <w:tc>
                <w:tcPr>
                  <w:tcW w:w="1143" w:type="pct"/>
                  <w:vAlign w:val="center"/>
                </w:tcPr>
                <w:p w14:paraId="0E641487">
                  <w:pPr>
                    <w:pStyle w:val="14"/>
                    <w:widowControl w:val="0"/>
                    <w:wordWrap w:val="0"/>
                    <w:snapToGrid/>
                    <w:spacing w:before="0" w:after="0" w:line="240" w:lineRule="auto"/>
                    <w:ind w:right="0"/>
                    <w:jc w:val="center"/>
                    <w:rPr>
                      <w:rFonts w:hint="default"/>
                      <w:color w:val="000000" w:themeColor="text1"/>
                      <w:szCs w:val="21"/>
                      <w:highlight w:val="none"/>
                      <w:lang w:val="en-US" w:eastAsia="zh-CN"/>
                    </w:rPr>
                  </w:pPr>
                  <w:r>
                    <w:rPr>
                      <w:rFonts w:hint="eastAsia"/>
                      <w:color w:val="000000" w:themeColor="text1"/>
                      <w:szCs w:val="21"/>
                      <w:highlight w:val="none"/>
                      <w:lang w:val="en-US" w:eastAsia="zh-CN"/>
                    </w:rPr>
                    <w:t>/</w:t>
                  </w:r>
                </w:p>
              </w:tc>
            </w:tr>
          </w:tbl>
          <w:p w14:paraId="12D8EC7C">
            <w:pPr>
              <w:spacing w:line="360" w:lineRule="auto"/>
              <w:jc w:val="left"/>
              <w:rPr>
                <w:rFonts w:ascii="宋体" w:hAnsi="宋体" w:cs="宋体"/>
                <w:color w:val="000000" w:themeColor="text1"/>
                <w:kern w:val="0"/>
                <w:szCs w:val="21"/>
                <w:highlight w:val="none"/>
              </w:rPr>
            </w:pPr>
          </w:p>
        </w:tc>
      </w:tr>
      <w:tr w14:paraId="57A076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11" w:hRule="atLeast"/>
          <w:jc w:val="center"/>
        </w:trPr>
        <w:tc>
          <w:tcPr>
            <w:tcW w:w="442" w:type="pct"/>
            <w:vAlign w:val="center"/>
          </w:tcPr>
          <w:p w14:paraId="24080901">
            <w:pPr>
              <w:adjustRightInd w:val="0"/>
              <w:snapToGrid w:val="0"/>
              <w:jc w:val="center"/>
              <w:rPr>
                <w:rFonts w:ascii="宋体" w:hAnsi="宋体" w:cs="宋体"/>
                <w:color w:val="000000" w:themeColor="text1"/>
                <w:kern w:val="0"/>
                <w:sz w:val="24"/>
                <w:highlight w:val="none"/>
              </w:rPr>
            </w:pPr>
            <w:r>
              <w:rPr>
                <w:rFonts w:hint="eastAsia" w:ascii="宋体" w:hAnsi="宋体" w:cs="宋体"/>
                <w:color w:val="000000" w:themeColor="text1"/>
                <w:kern w:val="0"/>
                <w:sz w:val="24"/>
                <w:highlight w:val="none"/>
              </w:rPr>
              <w:t>评价</w:t>
            </w:r>
          </w:p>
          <w:p w14:paraId="09A300B6">
            <w:pPr>
              <w:adjustRightInd w:val="0"/>
              <w:snapToGrid w:val="0"/>
              <w:jc w:val="center"/>
              <w:rPr>
                <w:rFonts w:ascii="宋体" w:hAnsi="宋体" w:cs="宋体"/>
                <w:color w:val="000000" w:themeColor="text1"/>
                <w:kern w:val="0"/>
                <w:szCs w:val="21"/>
                <w:highlight w:val="none"/>
              </w:rPr>
            </w:pPr>
            <w:r>
              <w:rPr>
                <w:rFonts w:hint="eastAsia" w:ascii="宋体" w:hAnsi="宋体" w:cs="宋体"/>
                <w:color w:val="000000" w:themeColor="text1"/>
                <w:kern w:val="0"/>
                <w:sz w:val="24"/>
                <w:highlight w:val="none"/>
              </w:rPr>
              <w:t>标准</w:t>
            </w:r>
          </w:p>
        </w:tc>
        <w:tc>
          <w:tcPr>
            <w:tcW w:w="4557" w:type="pct"/>
            <w:vAlign w:val="center"/>
          </w:tcPr>
          <w:p w14:paraId="1D5FF570">
            <w:pPr>
              <w:spacing w:line="360" w:lineRule="auto"/>
              <w:ind w:firstLine="482" w:firstLineChars="200"/>
              <w:rPr>
                <w:b/>
                <w:color w:val="000000" w:themeColor="text1"/>
                <w:sz w:val="24"/>
                <w:highlight w:val="none"/>
              </w:rPr>
            </w:pPr>
            <w:r>
              <w:rPr>
                <w:rFonts w:hint="eastAsia"/>
                <w:b/>
                <w:color w:val="000000" w:themeColor="text1"/>
                <w:sz w:val="24"/>
                <w:highlight w:val="none"/>
              </w:rPr>
              <w:t>一、环境质量标准</w:t>
            </w:r>
          </w:p>
          <w:p w14:paraId="669655A5">
            <w:pPr>
              <w:spacing w:line="360" w:lineRule="auto"/>
              <w:ind w:firstLine="482" w:firstLineChars="200"/>
              <w:rPr>
                <w:b/>
                <w:color w:val="000000" w:themeColor="text1"/>
                <w:sz w:val="24"/>
                <w:highlight w:val="none"/>
              </w:rPr>
            </w:pPr>
            <w:r>
              <w:rPr>
                <w:b/>
                <w:color w:val="000000" w:themeColor="text1"/>
                <w:sz w:val="24"/>
                <w:highlight w:val="none"/>
              </w:rPr>
              <w:t>1</w:t>
            </w:r>
            <w:r>
              <w:rPr>
                <w:rFonts w:hint="eastAsia"/>
                <w:b/>
                <w:color w:val="000000" w:themeColor="text1"/>
                <w:sz w:val="24"/>
                <w:highlight w:val="none"/>
              </w:rPr>
              <w:t>.</w:t>
            </w:r>
            <w:r>
              <w:rPr>
                <w:b/>
                <w:color w:val="000000" w:themeColor="text1"/>
                <w:sz w:val="24"/>
                <w:highlight w:val="none"/>
              </w:rPr>
              <w:t>环境空气</w:t>
            </w:r>
            <w:r>
              <w:rPr>
                <w:rFonts w:hint="eastAsia"/>
                <w:b/>
                <w:color w:val="000000" w:themeColor="text1"/>
                <w:sz w:val="24"/>
                <w:highlight w:val="none"/>
              </w:rPr>
              <w:t>质量标准</w:t>
            </w:r>
          </w:p>
          <w:p w14:paraId="7F470E87">
            <w:pPr>
              <w:tabs>
                <w:tab w:val="left" w:pos="0"/>
              </w:tabs>
              <w:spacing w:line="360" w:lineRule="auto"/>
              <w:ind w:firstLine="480" w:firstLineChars="200"/>
              <w:rPr>
                <w:color w:val="000000" w:themeColor="text1"/>
                <w:sz w:val="24"/>
                <w:highlight w:val="none"/>
              </w:rPr>
            </w:pPr>
            <w:r>
              <w:rPr>
                <w:color w:val="000000" w:themeColor="text1"/>
                <w:sz w:val="24"/>
                <w:highlight w:val="none"/>
              </w:rPr>
              <w:t>环境空气执行《环境空气质量标准》</w:t>
            </w:r>
            <w:r>
              <w:rPr>
                <w:rFonts w:hint="eastAsia"/>
                <w:color w:val="000000" w:themeColor="text1"/>
                <w:sz w:val="24"/>
                <w:highlight w:val="none"/>
              </w:rPr>
              <w:t>（</w:t>
            </w:r>
            <w:r>
              <w:rPr>
                <w:color w:val="000000" w:themeColor="text1"/>
                <w:sz w:val="24"/>
                <w:highlight w:val="none"/>
              </w:rPr>
              <w:t>GB3095</w:t>
            </w:r>
            <w:r>
              <w:rPr>
                <w:rFonts w:hint="eastAsia"/>
                <w:color w:val="000000" w:themeColor="text1"/>
                <w:sz w:val="24"/>
                <w:highlight w:val="none"/>
              </w:rPr>
              <w:t>-</w:t>
            </w:r>
            <w:r>
              <w:rPr>
                <w:color w:val="000000" w:themeColor="text1"/>
                <w:sz w:val="24"/>
                <w:highlight w:val="none"/>
              </w:rPr>
              <w:t>2012）及修改单中的二级标准，见下表。</w:t>
            </w:r>
          </w:p>
          <w:p w14:paraId="40FA6D3F">
            <w:pPr>
              <w:ind w:firstLine="480" w:firstLineChars="200"/>
              <w:jc w:val="center"/>
              <w:rPr>
                <w:color w:val="000000" w:themeColor="text1"/>
                <w:kern w:val="0"/>
                <w:sz w:val="24"/>
                <w:highlight w:val="none"/>
              </w:rPr>
            </w:pPr>
            <w:r>
              <w:rPr>
                <w:rFonts w:hint="eastAsia"/>
                <w:color w:val="000000" w:themeColor="text1"/>
                <w:kern w:val="0"/>
                <w:sz w:val="24"/>
                <w:highlight w:val="none"/>
              </w:rPr>
              <w:t>表3-9  环境空气执行标准</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2490"/>
              <w:gridCol w:w="1113"/>
              <w:gridCol w:w="2107"/>
              <w:gridCol w:w="1232"/>
            </w:tblGrid>
            <w:tr w14:paraId="550C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restart"/>
                  <w:vAlign w:val="center"/>
                </w:tcPr>
                <w:p w14:paraId="46373CF1">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类别</w:t>
                  </w:r>
                </w:p>
              </w:tc>
              <w:tc>
                <w:tcPr>
                  <w:tcW w:w="1650" w:type="pct"/>
                  <w:vMerge w:val="restart"/>
                  <w:vAlign w:val="center"/>
                </w:tcPr>
                <w:p w14:paraId="423ED53B">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标准名称及级别</w:t>
                  </w:r>
                </w:p>
              </w:tc>
              <w:tc>
                <w:tcPr>
                  <w:tcW w:w="738" w:type="pct"/>
                  <w:vMerge w:val="restart"/>
                  <w:vAlign w:val="center"/>
                </w:tcPr>
                <w:p w14:paraId="471F5FAC">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现状评价因子</w:t>
                  </w:r>
                </w:p>
              </w:tc>
              <w:tc>
                <w:tcPr>
                  <w:tcW w:w="1396" w:type="pct"/>
                  <w:vMerge w:val="restart"/>
                  <w:vAlign w:val="center"/>
                </w:tcPr>
                <w:p w14:paraId="09508F14">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平均时间</w:t>
                  </w:r>
                </w:p>
              </w:tc>
              <w:tc>
                <w:tcPr>
                  <w:tcW w:w="817" w:type="pct"/>
                  <w:vAlign w:val="center"/>
                </w:tcPr>
                <w:p w14:paraId="4BF2129D">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标准值（</w:t>
                  </w:r>
                  <w:r>
                    <w:rPr>
                      <w:rFonts w:ascii="Times New Roman" w:hAnsi="Times New Roman"/>
                      <w:color w:val="000000" w:themeColor="text1"/>
                      <w:highlight w:val="none"/>
                      <w:lang w:val="zh-CN"/>
                    </w:rPr>
                    <w:t>mg/m</w:t>
                  </w:r>
                  <w:r>
                    <w:rPr>
                      <w:rFonts w:ascii="Times New Roman" w:hAnsi="Times New Roman"/>
                      <w:color w:val="000000" w:themeColor="text1"/>
                      <w:highlight w:val="none"/>
                      <w:vertAlign w:val="superscript"/>
                      <w:lang w:val="zh-CN"/>
                    </w:rPr>
                    <w:t>3</w:t>
                  </w:r>
                  <w:r>
                    <w:rPr>
                      <w:rFonts w:ascii="Times New Roman" w:hAnsi="Times New Roman"/>
                      <w:color w:val="000000" w:themeColor="text1"/>
                      <w:highlight w:val="none"/>
                    </w:rPr>
                    <w:t>）</w:t>
                  </w:r>
                </w:p>
              </w:tc>
            </w:tr>
            <w:tr w14:paraId="53986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271EA323">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7676EBD1">
                  <w:pPr>
                    <w:pStyle w:val="42"/>
                    <w:adjustRightInd w:val="0"/>
                    <w:snapToGrid w:val="0"/>
                    <w:spacing w:line="240" w:lineRule="atLeast"/>
                    <w:rPr>
                      <w:rFonts w:ascii="Times New Roman" w:hAnsi="Times New Roman"/>
                      <w:color w:val="000000" w:themeColor="text1"/>
                      <w:highlight w:val="none"/>
                    </w:rPr>
                  </w:pPr>
                </w:p>
              </w:tc>
              <w:tc>
                <w:tcPr>
                  <w:tcW w:w="738" w:type="pct"/>
                  <w:vMerge w:val="continue"/>
                  <w:vAlign w:val="center"/>
                </w:tcPr>
                <w:p w14:paraId="0B0EE1CC">
                  <w:pPr>
                    <w:pStyle w:val="42"/>
                    <w:adjustRightInd w:val="0"/>
                    <w:snapToGrid w:val="0"/>
                    <w:spacing w:line="240" w:lineRule="atLeast"/>
                    <w:rPr>
                      <w:rFonts w:ascii="Times New Roman" w:hAnsi="Times New Roman"/>
                      <w:color w:val="000000" w:themeColor="text1"/>
                      <w:highlight w:val="none"/>
                    </w:rPr>
                  </w:pPr>
                </w:p>
              </w:tc>
              <w:tc>
                <w:tcPr>
                  <w:tcW w:w="1396" w:type="pct"/>
                  <w:vMerge w:val="continue"/>
                  <w:vAlign w:val="center"/>
                </w:tcPr>
                <w:p w14:paraId="7711D879">
                  <w:pPr>
                    <w:pStyle w:val="42"/>
                    <w:adjustRightInd w:val="0"/>
                    <w:snapToGrid w:val="0"/>
                    <w:spacing w:line="240" w:lineRule="atLeast"/>
                    <w:rPr>
                      <w:rFonts w:ascii="Times New Roman" w:hAnsi="Times New Roman"/>
                      <w:color w:val="000000" w:themeColor="text1"/>
                      <w:highlight w:val="none"/>
                    </w:rPr>
                  </w:pPr>
                </w:p>
              </w:tc>
              <w:tc>
                <w:tcPr>
                  <w:tcW w:w="817" w:type="pct"/>
                  <w:vAlign w:val="center"/>
                </w:tcPr>
                <w:p w14:paraId="2F07D149">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lang w:val="zh-CN"/>
                    </w:rPr>
                    <w:t>二级标准</w:t>
                  </w:r>
                </w:p>
              </w:tc>
            </w:tr>
            <w:tr w14:paraId="76AB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restart"/>
                  <w:vAlign w:val="center"/>
                </w:tcPr>
                <w:p w14:paraId="335472F9">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大</w:t>
                  </w:r>
                </w:p>
                <w:p w14:paraId="56090293">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气</w:t>
                  </w:r>
                </w:p>
                <w:p w14:paraId="78D776B1">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环</w:t>
                  </w:r>
                </w:p>
                <w:p w14:paraId="23AF84B0">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境</w:t>
                  </w:r>
                </w:p>
                <w:p w14:paraId="479CBE26">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质</w:t>
                  </w:r>
                </w:p>
                <w:p w14:paraId="72922063">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量</w:t>
                  </w:r>
                </w:p>
                <w:p w14:paraId="617F1878">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现</w:t>
                  </w:r>
                </w:p>
                <w:p w14:paraId="56032B2E">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状</w:t>
                  </w:r>
                </w:p>
              </w:tc>
              <w:tc>
                <w:tcPr>
                  <w:tcW w:w="1650" w:type="pct"/>
                  <w:vMerge w:val="restart"/>
                  <w:vAlign w:val="center"/>
                </w:tcPr>
                <w:p w14:paraId="1A44CE47">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《环境空气质量标准》（GB3095-2012）</w:t>
                  </w:r>
                </w:p>
                <w:p w14:paraId="3C99CE23">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二级浓度限值</w:t>
                  </w:r>
                </w:p>
              </w:tc>
              <w:tc>
                <w:tcPr>
                  <w:tcW w:w="738" w:type="pct"/>
                  <w:vMerge w:val="restart"/>
                  <w:vAlign w:val="center"/>
                </w:tcPr>
                <w:p w14:paraId="18B828D2">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SO</w:t>
                  </w:r>
                  <w:r>
                    <w:rPr>
                      <w:rFonts w:ascii="Times New Roman" w:hAnsi="Times New Roman"/>
                      <w:color w:val="000000" w:themeColor="text1"/>
                      <w:highlight w:val="none"/>
                      <w:vertAlign w:val="subscript"/>
                    </w:rPr>
                    <w:t>2</w:t>
                  </w:r>
                </w:p>
              </w:tc>
              <w:tc>
                <w:tcPr>
                  <w:tcW w:w="1396" w:type="pct"/>
                  <w:vAlign w:val="center"/>
                </w:tcPr>
                <w:p w14:paraId="4B20A2AC">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年平均</w:t>
                  </w:r>
                </w:p>
              </w:tc>
              <w:tc>
                <w:tcPr>
                  <w:tcW w:w="817" w:type="pct"/>
                  <w:vAlign w:val="center"/>
                </w:tcPr>
                <w:p w14:paraId="1E776AE4">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0.50</w:t>
                  </w:r>
                </w:p>
              </w:tc>
            </w:tr>
            <w:tr w14:paraId="1B16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4808A6BE">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56D46907">
                  <w:pPr>
                    <w:pStyle w:val="42"/>
                    <w:adjustRightInd w:val="0"/>
                    <w:snapToGrid w:val="0"/>
                    <w:spacing w:line="240" w:lineRule="atLeast"/>
                    <w:rPr>
                      <w:rFonts w:ascii="Times New Roman" w:hAnsi="Times New Roman"/>
                      <w:color w:val="000000" w:themeColor="text1"/>
                      <w:highlight w:val="none"/>
                    </w:rPr>
                  </w:pPr>
                </w:p>
              </w:tc>
              <w:tc>
                <w:tcPr>
                  <w:tcW w:w="738" w:type="pct"/>
                  <w:vMerge w:val="continue"/>
                  <w:vAlign w:val="center"/>
                </w:tcPr>
                <w:p w14:paraId="5EC151C7">
                  <w:pPr>
                    <w:pStyle w:val="42"/>
                    <w:adjustRightInd w:val="0"/>
                    <w:snapToGrid w:val="0"/>
                    <w:spacing w:line="240" w:lineRule="atLeast"/>
                    <w:rPr>
                      <w:rFonts w:ascii="Times New Roman" w:hAnsi="Times New Roman"/>
                      <w:color w:val="000000" w:themeColor="text1"/>
                      <w:highlight w:val="none"/>
                    </w:rPr>
                  </w:pPr>
                </w:p>
              </w:tc>
              <w:tc>
                <w:tcPr>
                  <w:tcW w:w="1396" w:type="pct"/>
                  <w:vAlign w:val="center"/>
                </w:tcPr>
                <w:p w14:paraId="2118D1A8">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24小时平均</w:t>
                  </w:r>
                </w:p>
              </w:tc>
              <w:tc>
                <w:tcPr>
                  <w:tcW w:w="817" w:type="pct"/>
                  <w:vAlign w:val="center"/>
                </w:tcPr>
                <w:p w14:paraId="5AE37673">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0.15</w:t>
                  </w:r>
                </w:p>
              </w:tc>
            </w:tr>
            <w:tr w14:paraId="2A61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5476CC29">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57824E7D">
                  <w:pPr>
                    <w:pStyle w:val="42"/>
                    <w:adjustRightInd w:val="0"/>
                    <w:snapToGrid w:val="0"/>
                    <w:spacing w:line="240" w:lineRule="atLeast"/>
                    <w:rPr>
                      <w:rFonts w:ascii="Times New Roman" w:hAnsi="Times New Roman"/>
                      <w:color w:val="000000" w:themeColor="text1"/>
                      <w:highlight w:val="none"/>
                    </w:rPr>
                  </w:pPr>
                </w:p>
              </w:tc>
              <w:tc>
                <w:tcPr>
                  <w:tcW w:w="738" w:type="pct"/>
                  <w:vMerge w:val="continue"/>
                  <w:vAlign w:val="center"/>
                </w:tcPr>
                <w:p w14:paraId="549D6012">
                  <w:pPr>
                    <w:pStyle w:val="42"/>
                    <w:adjustRightInd w:val="0"/>
                    <w:snapToGrid w:val="0"/>
                    <w:spacing w:line="240" w:lineRule="atLeast"/>
                    <w:rPr>
                      <w:rFonts w:ascii="Times New Roman" w:hAnsi="Times New Roman"/>
                      <w:color w:val="000000" w:themeColor="text1"/>
                      <w:highlight w:val="none"/>
                    </w:rPr>
                  </w:pPr>
                </w:p>
              </w:tc>
              <w:tc>
                <w:tcPr>
                  <w:tcW w:w="1396" w:type="pct"/>
                  <w:vAlign w:val="center"/>
                </w:tcPr>
                <w:p w14:paraId="42BEA754">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1小时平均</w:t>
                  </w:r>
                </w:p>
              </w:tc>
              <w:tc>
                <w:tcPr>
                  <w:tcW w:w="817" w:type="pct"/>
                  <w:vAlign w:val="center"/>
                </w:tcPr>
                <w:p w14:paraId="2C17D316">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0.06</w:t>
                  </w:r>
                </w:p>
              </w:tc>
            </w:tr>
            <w:tr w14:paraId="3FA9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5D880CC6">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3E685983">
                  <w:pPr>
                    <w:pStyle w:val="42"/>
                    <w:adjustRightInd w:val="0"/>
                    <w:snapToGrid w:val="0"/>
                    <w:spacing w:line="240" w:lineRule="atLeast"/>
                    <w:rPr>
                      <w:rFonts w:ascii="Times New Roman" w:hAnsi="Times New Roman"/>
                      <w:color w:val="000000" w:themeColor="text1"/>
                      <w:highlight w:val="none"/>
                    </w:rPr>
                  </w:pPr>
                </w:p>
              </w:tc>
              <w:tc>
                <w:tcPr>
                  <w:tcW w:w="738" w:type="pct"/>
                  <w:vMerge w:val="restart"/>
                  <w:vAlign w:val="center"/>
                </w:tcPr>
                <w:p w14:paraId="03043531">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NO</w:t>
                  </w:r>
                  <w:r>
                    <w:rPr>
                      <w:rFonts w:ascii="Times New Roman" w:hAnsi="Times New Roman"/>
                      <w:color w:val="000000" w:themeColor="text1"/>
                      <w:highlight w:val="none"/>
                      <w:vertAlign w:val="subscript"/>
                    </w:rPr>
                    <w:t>2</w:t>
                  </w:r>
                </w:p>
              </w:tc>
              <w:tc>
                <w:tcPr>
                  <w:tcW w:w="1396" w:type="pct"/>
                  <w:vAlign w:val="center"/>
                </w:tcPr>
                <w:p w14:paraId="24A8C666">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年平均</w:t>
                  </w:r>
                </w:p>
              </w:tc>
              <w:tc>
                <w:tcPr>
                  <w:tcW w:w="817" w:type="pct"/>
                  <w:vAlign w:val="center"/>
                </w:tcPr>
                <w:p w14:paraId="3949D191">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0.30</w:t>
                  </w:r>
                </w:p>
              </w:tc>
            </w:tr>
            <w:tr w14:paraId="0267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76A49E54">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607CD110">
                  <w:pPr>
                    <w:pStyle w:val="42"/>
                    <w:adjustRightInd w:val="0"/>
                    <w:snapToGrid w:val="0"/>
                    <w:spacing w:line="240" w:lineRule="atLeast"/>
                    <w:rPr>
                      <w:rFonts w:ascii="Times New Roman" w:hAnsi="Times New Roman"/>
                      <w:color w:val="000000" w:themeColor="text1"/>
                      <w:highlight w:val="none"/>
                    </w:rPr>
                  </w:pPr>
                </w:p>
              </w:tc>
              <w:tc>
                <w:tcPr>
                  <w:tcW w:w="738" w:type="pct"/>
                  <w:vMerge w:val="continue"/>
                  <w:vAlign w:val="center"/>
                </w:tcPr>
                <w:p w14:paraId="70BEBBB3">
                  <w:pPr>
                    <w:pStyle w:val="42"/>
                    <w:adjustRightInd w:val="0"/>
                    <w:snapToGrid w:val="0"/>
                    <w:spacing w:line="240" w:lineRule="atLeast"/>
                    <w:rPr>
                      <w:rFonts w:ascii="Times New Roman" w:hAnsi="Times New Roman"/>
                      <w:color w:val="000000" w:themeColor="text1"/>
                      <w:highlight w:val="none"/>
                    </w:rPr>
                  </w:pPr>
                </w:p>
              </w:tc>
              <w:tc>
                <w:tcPr>
                  <w:tcW w:w="1396" w:type="pct"/>
                  <w:vAlign w:val="center"/>
                </w:tcPr>
                <w:p w14:paraId="6F9F04FA">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24小时平均</w:t>
                  </w:r>
                </w:p>
              </w:tc>
              <w:tc>
                <w:tcPr>
                  <w:tcW w:w="817" w:type="pct"/>
                  <w:vAlign w:val="center"/>
                </w:tcPr>
                <w:p w14:paraId="255A444D">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0.20</w:t>
                  </w:r>
                </w:p>
              </w:tc>
            </w:tr>
            <w:tr w14:paraId="7F7B1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173E8300">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0F6FE82D">
                  <w:pPr>
                    <w:pStyle w:val="42"/>
                    <w:adjustRightInd w:val="0"/>
                    <w:snapToGrid w:val="0"/>
                    <w:spacing w:line="240" w:lineRule="atLeast"/>
                    <w:rPr>
                      <w:rFonts w:ascii="Times New Roman" w:hAnsi="Times New Roman"/>
                      <w:color w:val="000000" w:themeColor="text1"/>
                      <w:highlight w:val="none"/>
                    </w:rPr>
                  </w:pPr>
                </w:p>
              </w:tc>
              <w:tc>
                <w:tcPr>
                  <w:tcW w:w="738" w:type="pct"/>
                  <w:vMerge w:val="continue"/>
                  <w:vAlign w:val="center"/>
                </w:tcPr>
                <w:p w14:paraId="5D4390DF">
                  <w:pPr>
                    <w:pStyle w:val="42"/>
                    <w:adjustRightInd w:val="0"/>
                    <w:snapToGrid w:val="0"/>
                    <w:spacing w:line="240" w:lineRule="atLeast"/>
                    <w:rPr>
                      <w:rFonts w:ascii="Times New Roman" w:hAnsi="Times New Roman"/>
                      <w:color w:val="000000" w:themeColor="text1"/>
                      <w:highlight w:val="none"/>
                    </w:rPr>
                  </w:pPr>
                </w:p>
              </w:tc>
              <w:tc>
                <w:tcPr>
                  <w:tcW w:w="1396" w:type="pct"/>
                  <w:vAlign w:val="center"/>
                </w:tcPr>
                <w:p w14:paraId="2AB84732">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1小时平均</w:t>
                  </w:r>
                </w:p>
              </w:tc>
              <w:tc>
                <w:tcPr>
                  <w:tcW w:w="817" w:type="pct"/>
                  <w:vAlign w:val="center"/>
                </w:tcPr>
                <w:p w14:paraId="5B874B42">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0.15</w:t>
                  </w:r>
                </w:p>
              </w:tc>
            </w:tr>
            <w:tr w14:paraId="76C8E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24A5C7F3">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3C231A05">
                  <w:pPr>
                    <w:pStyle w:val="42"/>
                    <w:adjustRightInd w:val="0"/>
                    <w:snapToGrid w:val="0"/>
                    <w:spacing w:line="240" w:lineRule="atLeast"/>
                    <w:rPr>
                      <w:rFonts w:ascii="Times New Roman" w:hAnsi="Times New Roman"/>
                      <w:color w:val="000000" w:themeColor="text1"/>
                      <w:highlight w:val="none"/>
                    </w:rPr>
                  </w:pPr>
                </w:p>
              </w:tc>
              <w:tc>
                <w:tcPr>
                  <w:tcW w:w="738" w:type="pct"/>
                  <w:vMerge w:val="restart"/>
                  <w:vAlign w:val="center"/>
                </w:tcPr>
                <w:p w14:paraId="6E4B2C90">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CO</w:t>
                  </w:r>
                </w:p>
              </w:tc>
              <w:tc>
                <w:tcPr>
                  <w:tcW w:w="1396" w:type="pct"/>
                  <w:vAlign w:val="center"/>
                </w:tcPr>
                <w:p w14:paraId="27A0CB01">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24小时平均</w:t>
                  </w:r>
                </w:p>
              </w:tc>
              <w:tc>
                <w:tcPr>
                  <w:tcW w:w="817" w:type="pct"/>
                  <w:vAlign w:val="center"/>
                </w:tcPr>
                <w:p w14:paraId="10D2DF30">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0.07</w:t>
                  </w:r>
                </w:p>
              </w:tc>
            </w:tr>
            <w:tr w14:paraId="4383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24684986">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2BE0CCAC">
                  <w:pPr>
                    <w:pStyle w:val="42"/>
                    <w:adjustRightInd w:val="0"/>
                    <w:snapToGrid w:val="0"/>
                    <w:spacing w:line="240" w:lineRule="atLeast"/>
                    <w:rPr>
                      <w:rFonts w:ascii="Times New Roman" w:hAnsi="Times New Roman"/>
                      <w:color w:val="000000" w:themeColor="text1"/>
                      <w:highlight w:val="none"/>
                    </w:rPr>
                  </w:pPr>
                </w:p>
              </w:tc>
              <w:tc>
                <w:tcPr>
                  <w:tcW w:w="738" w:type="pct"/>
                  <w:vMerge w:val="continue"/>
                  <w:vAlign w:val="center"/>
                </w:tcPr>
                <w:p w14:paraId="54C8F31D">
                  <w:pPr>
                    <w:pStyle w:val="42"/>
                    <w:adjustRightInd w:val="0"/>
                    <w:snapToGrid w:val="0"/>
                    <w:spacing w:line="240" w:lineRule="atLeast"/>
                    <w:rPr>
                      <w:rFonts w:ascii="Times New Roman" w:hAnsi="Times New Roman"/>
                      <w:color w:val="000000" w:themeColor="text1"/>
                      <w:highlight w:val="none"/>
                    </w:rPr>
                  </w:pPr>
                </w:p>
              </w:tc>
              <w:tc>
                <w:tcPr>
                  <w:tcW w:w="1396" w:type="pct"/>
                  <w:vAlign w:val="center"/>
                </w:tcPr>
                <w:p w14:paraId="77017769">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1小时平均</w:t>
                  </w:r>
                </w:p>
              </w:tc>
              <w:tc>
                <w:tcPr>
                  <w:tcW w:w="817" w:type="pct"/>
                  <w:vAlign w:val="center"/>
                </w:tcPr>
                <w:p w14:paraId="219BF54B">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0.075</w:t>
                  </w:r>
                </w:p>
              </w:tc>
            </w:tr>
            <w:tr w14:paraId="304F4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373398BC">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6322FFE0">
                  <w:pPr>
                    <w:pStyle w:val="42"/>
                    <w:adjustRightInd w:val="0"/>
                    <w:snapToGrid w:val="0"/>
                    <w:spacing w:line="240" w:lineRule="atLeast"/>
                    <w:rPr>
                      <w:rFonts w:ascii="Times New Roman" w:hAnsi="Times New Roman"/>
                      <w:color w:val="000000" w:themeColor="text1"/>
                      <w:highlight w:val="none"/>
                    </w:rPr>
                  </w:pPr>
                </w:p>
              </w:tc>
              <w:tc>
                <w:tcPr>
                  <w:tcW w:w="738" w:type="pct"/>
                  <w:vMerge w:val="restart"/>
                  <w:vAlign w:val="center"/>
                </w:tcPr>
                <w:p w14:paraId="2E7B1E08">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O</w:t>
                  </w:r>
                  <w:r>
                    <w:rPr>
                      <w:rFonts w:ascii="Times New Roman" w:hAnsi="Times New Roman"/>
                      <w:color w:val="000000" w:themeColor="text1"/>
                      <w:highlight w:val="none"/>
                      <w:vertAlign w:val="subscript"/>
                    </w:rPr>
                    <w:t>3</w:t>
                  </w:r>
                </w:p>
              </w:tc>
              <w:tc>
                <w:tcPr>
                  <w:tcW w:w="1396" w:type="pct"/>
                  <w:vAlign w:val="center"/>
                </w:tcPr>
                <w:p w14:paraId="08677A08">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日最大8小时平均</w:t>
                  </w:r>
                </w:p>
              </w:tc>
              <w:tc>
                <w:tcPr>
                  <w:tcW w:w="817" w:type="pct"/>
                  <w:vAlign w:val="center"/>
                </w:tcPr>
                <w:p w14:paraId="3E811452">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0.035</w:t>
                  </w:r>
                </w:p>
              </w:tc>
            </w:tr>
            <w:tr w14:paraId="3D6C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3CB1007B">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5BEF562C">
                  <w:pPr>
                    <w:pStyle w:val="42"/>
                    <w:adjustRightInd w:val="0"/>
                    <w:snapToGrid w:val="0"/>
                    <w:spacing w:line="240" w:lineRule="atLeast"/>
                    <w:rPr>
                      <w:rFonts w:ascii="Times New Roman" w:hAnsi="Times New Roman"/>
                      <w:color w:val="000000" w:themeColor="text1"/>
                      <w:highlight w:val="none"/>
                    </w:rPr>
                  </w:pPr>
                </w:p>
              </w:tc>
              <w:tc>
                <w:tcPr>
                  <w:tcW w:w="738" w:type="pct"/>
                  <w:vMerge w:val="continue"/>
                  <w:vAlign w:val="center"/>
                </w:tcPr>
                <w:p w14:paraId="374047D8">
                  <w:pPr>
                    <w:pStyle w:val="42"/>
                    <w:adjustRightInd w:val="0"/>
                    <w:snapToGrid w:val="0"/>
                    <w:spacing w:line="240" w:lineRule="atLeast"/>
                    <w:rPr>
                      <w:rFonts w:ascii="Times New Roman" w:hAnsi="Times New Roman"/>
                      <w:color w:val="000000" w:themeColor="text1"/>
                      <w:highlight w:val="none"/>
                    </w:rPr>
                  </w:pPr>
                </w:p>
              </w:tc>
              <w:tc>
                <w:tcPr>
                  <w:tcW w:w="1396" w:type="pct"/>
                  <w:vAlign w:val="center"/>
                </w:tcPr>
                <w:p w14:paraId="6D619FB4">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1小时平均</w:t>
                  </w:r>
                </w:p>
              </w:tc>
              <w:tc>
                <w:tcPr>
                  <w:tcW w:w="817" w:type="pct"/>
                  <w:vAlign w:val="center"/>
                </w:tcPr>
                <w:p w14:paraId="771735A6">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0.20</w:t>
                  </w:r>
                </w:p>
              </w:tc>
            </w:tr>
            <w:tr w14:paraId="1EC3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4390B307">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1B352027">
                  <w:pPr>
                    <w:pStyle w:val="42"/>
                    <w:adjustRightInd w:val="0"/>
                    <w:snapToGrid w:val="0"/>
                    <w:spacing w:line="240" w:lineRule="atLeast"/>
                    <w:rPr>
                      <w:rFonts w:ascii="Times New Roman" w:hAnsi="Times New Roman"/>
                      <w:color w:val="000000" w:themeColor="text1"/>
                      <w:highlight w:val="none"/>
                    </w:rPr>
                  </w:pPr>
                </w:p>
              </w:tc>
              <w:tc>
                <w:tcPr>
                  <w:tcW w:w="738" w:type="pct"/>
                  <w:vMerge w:val="restart"/>
                  <w:vAlign w:val="center"/>
                </w:tcPr>
                <w:p w14:paraId="4DD46164">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PM</w:t>
                  </w:r>
                  <w:r>
                    <w:rPr>
                      <w:rFonts w:ascii="Times New Roman" w:hAnsi="Times New Roman"/>
                      <w:color w:val="000000" w:themeColor="text1"/>
                      <w:highlight w:val="none"/>
                      <w:vertAlign w:val="subscript"/>
                    </w:rPr>
                    <w:t>10</w:t>
                  </w:r>
                </w:p>
              </w:tc>
              <w:tc>
                <w:tcPr>
                  <w:tcW w:w="1396" w:type="pct"/>
                  <w:vAlign w:val="center"/>
                </w:tcPr>
                <w:p w14:paraId="66C8B5A7">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年平均</w:t>
                  </w:r>
                </w:p>
              </w:tc>
              <w:tc>
                <w:tcPr>
                  <w:tcW w:w="817" w:type="pct"/>
                  <w:vAlign w:val="center"/>
                </w:tcPr>
                <w:p w14:paraId="22C87C65">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0.08</w:t>
                  </w:r>
                </w:p>
              </w:tc>
            </w:tr>
            <w:tr w14:paraId="600EC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02881189">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4B04DC2E">
                  <w:pPr>
                    <w:pStyle w:val="42"/>
                    <w:adjustRightInd w:val="0"/>
                    <w:snapToGrid w:val="0"/>
                    <w:spacing w:line="240" w:lineRule="atLeast"/>
                    <w:rPr>
                      <w:rFonts w:ascii="Times New Roman" w:hAnsi="Times New Roman"/>
                      <w:color w:val="000000" w:themeColor="text1"/>
                      <w:highlight w:val="none"/>
                    </w:rPr>
                  </w:pPr>
                </w:p>
              </w:tc>
              <w:tc>
                <w:tcPr>
                  <w:tcW w:w="738" w:type="pct"/>
                  <w:vMerge w:val="continue"/>
                  <w:vAlign w:val="center"/>
                </w:tcPr>
                <w:p w14:paraId="447CDB4C">
                  <w:pPr>
                    <w:pStyle w:val="42"/>
                    <w:adjustRightInd w:val="0"/>
                    <w:snapToGrid w:val="0"/>
                    <w:spacing w:line="240" w:lineRule="atLeast"/>
                    <w:rPr>
                      <w:rFonts w:ascii="Times New Roman" w:hAnsi="Times New Roman"/>
                      <w:color w:val="000000" w:themeColor="text1"/>
                      <w:highlight w:val="none"/>
                    </w:rPr>
                  </w:pPr>
                </w:p>
              </w:tc>
              <w:tc>
                <w:tcPr>
                  <w:tcW w:w="1396" w:type="pct"/>
                  <w:vAlign w:val="center"/>
                </w:tcPr>
                <w:p w14:paraId="124DF583">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24小时平均</w:t>
                  </w:r>
                </w:p>
              </w:tc>
              <w:tc>
                <w:tcPr>
                  <w:tcW w:w="817" w:type="pct"/>
                  <w:vAlign w:val="center"/>
                </w:tcPr>
                <w:p w14:paraId="698E34CF">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0.04</w:t>
                  </w:r>
                </w:p>
              </w:tc>
            </w:tr>
            <w:tr w14:paraId="5BC65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435150F0">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43228868">
                  <w:pPr>
                    <w:pStyle w:val="42"/>
                    <w:adjustRightInd w:val="0"/>
                    <w:snapToGrid w:val="0"/>
                    <w:spacing w:line="240" w:lineRule="atLeast"/>
                    <w:rPr>
                      <w:rFonts w:ascii="Times New Roman" w:hAnsi="Times New Roman"/>
                      <w:color w:val="000000" w:themeColor="text1"/>
                      <w:highlight w:val="none"/>
                    </w:rPr>
                  </w:pPr>
                </w:p>
              </w:tc>
              <w:tc>
                <w:tcPr>
                  <w:tcW w:w="738" w:type="pct"/>
                  <w:vMerge w:val="restart"/>
                  <w:vAlign w:val="center"/>
                </w:tcPr>
                <w:p w14:paraId="6DB601DE">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PM</w:t>
                  </w:r>
                  <w:r>
                    <w:rPr>
                      <w:rFonts w:ascii="Times New Roman" w:hAnsi="Times New Roman"/>
                      <w:color w:val="000000" w:themeColor="text1"/>
                      <w:highlight w:val="none"/>
                      <w:vertAlign w:val="subscript"/>
                    </w:rPr>
                    <w:t>2.5</w:t>
                  </w:r>
                </w:p>
              </w:tc>
              <w:tc>
                <w:tcPr>
                  <w:tcW w:w="1396" w:type="pct"/>
                  <w:vAlign w:val="center"/>
                </w:tcPr>
                <w:p w14:paraId="7636456D">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年平均</w:t>
                  </w:r>
                </w:p>
              </w:tc>
              <w:tc>
                <w:tcPr>
                  <w:tcW w:w="817" w:type="pct"/>
                  <w:vAlign w:val="center"/>
                </w:tcPr>
                <w:p w14:paraId="62493DF1">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4.00</w:t>
                  </w:r>
                </w:p>
              </w:tc>
            </w:tr>
            <w:tr w14:paraId="7EE3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2954D8A0">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0464B50C">
                  <w:pPr>
                    <w:pStyle w:val="42"/>
                    <w:adjustRightInd w:val="0"/>
                    <w:snapToGrid w:val="0"/>
                    <w:spacing w:line="240" w:lineRule="atLeast"/>
                    <w:rPr>
                      <w:rFonts w:ascii="Times New Roman" w:hAnsi="Times New Roman"/>
                      <w:color w:val="000000" w:themeColor="text1"/>
                      <w:highlight w:val="none"/>
                    </w:rPr>
                  </w:pPr>
                </w:p>
              </w:tc>
              <w:tc>
                <w:tcPr>
                  <w:tcW w:w="738" w:type="pct"/>
                  <w:vMerge w:val="continue"/>
                  <w:vAlign w:val="center"/>
                </w:tcPr>
                <w:p w14:paraId="7E1B44DC">
                  <w:pPr>
                    <w:pStyle w:val="42"/>
                    <w:adjustRightInd w:val="0"/>
                    <w:snapToGrid w:val="0"/>
                    <w:spacing w:line="240" w:lineRule="atLeast"/>
                    <w:rPr>
                      <w:rFonts w:ascii="Times New Roman" w:hAnsi="Times New Roman"/>
                      <w:color w:val="000000" w:themeColor="text1"/>
                      <w:highlight w:val="none"/>
                    </w:rPr>
                  </w:pPr>
                </w:p>
              </w:tc>
              <w:tc>
                <w:tcPr>
                  <w:tcW w:w="1396" w:type="pct"/>
                  <w:vAlign w:val="center"/>
                </w:tcPr>
                <w:p w14:paraId="1E002496">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24小时平均</w:t>
                  </w:r>
                </w:p>
              </w:tc>
              <w:tc>
                <w:tcPr>
                  <w:tcW w:w="817" w:type="pct"/>
                  <w:vAlign w:val="center"/>
                </w:tcPr>
                <w:p w14:paraId="668E2AB2">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10.00</w:t>
                  </w:r>
                </w:p>
              </w:tc>
            </w:tr>
            <w:tr w14:paraId="13C4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78529DA6">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756BBA99">
                  <w:pPr>
                    <w:pStyle w:val="42"/>
                    <w:adjustRightInd w:val="0"/>
                    <w:snapToGrid w:val="0"/>
                    <w:spacing w:line="240" w:lineRule="atLeast"/>
                    <w:rPr>
                      <w:rFonts w:ascii="Times New Roman" w:hAnsi="Times New Roman"/>
                      <w:color w:val="000000" w:themeColor="text1"/>
                      <w:highlight w:val="none"/>
                    </w:rPr>
                  </w:pPr>
                </w:p>
              </w:tc>
              <w:tc>
                <w:tcPr>
                  <w:tcW w:w="738" w:type="pct"/>
                  <w:vMerge w:val="restart"/>
                  <w:vAlign w:val="center"/>
                </w:tcPr>
                <w:p w14:paraId="7DB25A92">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TSP</w:t>
                  </w:r>
                </w:p>
              </w:tc>
              <w:tc>
                <w:tcPr>
                  <w:tcW w:w="1396" w:type="pct"/>
                  <w:vAlign w:val="center"/>
                </w:tcPr>
                <w:p w14:paraId="6794B9D5">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年平均</w:t>
                  </w:r>
                </w:p>
              </w:tc>
              <w:tc>
                <w:tcPr>
                  <w:tcW w:w="817" w:type="pct"/>
                  <w:vAlign w:val="center"/>
                </w:tcPr>
                <w:p w14:paraId="194043A3">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0.20</w:t>
                  </w:r>
                </w:p>
              </w:tc>
            </w:tr>
            <w:tr w14:paraId="23C0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396" w:type="pct"/>
                  <w:vMerge w:val="continue"/>
                  <w:vAlign w:val="center"/>
                </w:tcPr>
                <w:p w14:paraId="7340C032">
                  <w:pPr>
                    <w:pStyle w:val="42"/>
                    <w:adjustRightInd w:val="0"/>
                    <w:snapToGrid w:val="0"/>
                    <w:spacing w:line="240" w:lineRule="atLeast"/>
                    <w:rPr>
                      <w:rFonts w:ascii="Times New Roman" w:hAnsi="Times New Roman"/>
                      <w:color w:val="000000" w:themeColor="text1"/>
                      <w:highlight w:val="none"/>
                    </w:rPr>
                  </w:pPr>
                </w:p>
              </w:tc>
              <w:tc>
                <w:tcPr>
                  <w:tcW w:w="1650" w:type="pct"/>
                  <w:vMerge w:val="continue"/>
                  <w:vAlign w:val="center"/>
                </w:tcPr>
                <w:p w14:paraId="39357DD8">
                  <w:pPr>
                    <w:pStyle w:val="42"/>
                    <w:adjustRightInd w:val="0"/>
                    <w:snapToGrid w:val="0"/>
                    <w:spacing w:line="240" w:lineRule="atLeast"/>
                    <w:rPr>
                      <w:rFonts w:ascii="Times New Roman" w:hAnsi="Times New Roman"/>
                      <w:color w:val="000000" w:themeColor="text1"/>
                      <w:highlight w:val="none"/>
                    </w:rPr>
                  </w:pPr>
                </w:p>
              </w:tc>
              <w:tc>
                <w:tcPr>
                  <w:tcW w:w="738" w:type="pct"/>
                  <w:vMerge w:val="continue"/>
                  <w:vAlign w:val="center"/>
                </w:tcPr>
                <w:p w14:paraId="4EE4FF62">
                  <w:pPr>
                    <w:pStyle w:val="42"/>
                    <w:adjustRightInd w:val="0"/>
                    <w:snapToGrid w:val="0"/>
                    <w:spacing w:line="240" w:lineRule="atLeast"/>
                    <w:rPr>
                      <w:rFonts w:ascii="Times New Roman" w:hAnsi="Times New Roman"/>
                      <w:color w:val="000000" w:themeColor="text1"/>
                      <w:highlight w:val="none"/>
                    </w:rPr>
                  </w:pPr>
                </w:p>
              </w:tc>
              <w:tc>
                <w:tcPr>
                  <w:tcW w:w="1396" w:type="pct"/>
                  <w:vAlign w:val="center"/>
                </w:tcPr>
                <w:p w14:paraId="6F56E1B2">
                  <w:pPr>
                    <w:pStyle w:val="42"/>
                    <w:adjustRightInd w:val="0"/>
                    <w:snapToGrid w:val="0"/>
                    <w:spacing w:line="240" w:lineRule="atLeast"/>
                    <w:rPr>
                      <w:rFonts w:ascii="Times New Roman" w:hAnsi="Times New Roman"/>
                      <w:color w:val="000000" w:themeColor="text1"/>
                      <w:highlight w:val="none"/>
                    </w:rPr>
                  </w:pPr>
                  <w:r>
                    <w:rPr>
                      <w:rFonts w:ascii="Times New Roman" w:hAnsi="Times New Roman"/>
                      <w:color w:val="000000" w:themeColor="text1"/>
                      <w:highlight w:val="none"/>
                    </w:rPr>
                    <w:t>24小时平均</w:t>
                  </w:r>
                </w:p>
              </w:tc>
              <w:tc>
                <w:tcPr>
                  <w:tcW w:w="817" w:type="pct"/>
                  <w:vAlign w:val="center"/>
                </w:tcPr>
                <w:p w14:paraId="0542D12C">
                  <w:pPr>
                    <w:autoSpaceDE w:val="0"/>
                    <w:autoSpaceDN w:val="0"/>
                    <w:adjustRightInd w:val="0"/>
                    <w:snapToGrid w:val="0"/>
                    <w:spacing w:line="240" w:lineRule="atLeast"/>
                    <w:jc w:val="center"/>
                    <w:rPr>
                      <w:color w:val="000000" w:themeColor="text1"/>
                      <w:szCs w:val="21"/>
                      <w:highlight w:val="none"/>
                    </w:rPr>
                  </w:pPr>
                  <w:r>
                    <w:rPr>
                      <w:color w:val="000000" w:themeColor="text1"/>
                      <w:szCs w:val="21"/>
                      <w:highlight w:val="none"/>
                    </w:rPr>
                    <w:t>0.16</w:t>
                  </w:r>
                </w:p>
              </w:tc>
            </w:tr>
          </w:tbl>
          <w:p w14:paraId="7482F434">
            <w:pPr>
              <w:tabs>
                <w:tab w:val="left" w:pos="0"/>
              </w:tabs>
              <w:spacing w:line="360" w:lineRule="auto"/>
              <w:ind w:firstLine="482" w:firstLineChars="200"/>
              <w:rPr>
                <w:color w:val="000000" w:themeColor="text1"/>
                <w:sz w:val="24"/>
                <w:highlight w:val="none"/>
              </w:rPr>
            </w:pPr>
            <w:r>
              <w:rPr>
                <w:b/>
                <w:color w:val="000000" w:themeColor="text1"/>
                <w:sz w:val="24"/>
                <w:highlight w:val="none"/>
              </w:rPr>
              <w:t>二、污染物排放标准</w:t>
            </w:r>
          </w:p>
          <w:p w14:paraId="7DDBAEB9">
            <w:pPr>
              <w:widowControl/>
              <w:spacing w:line="360" w:lineRule="auto"/>
              <w:ind w:firstLine="480" w:firstLineChars="200"/>
              <w:rPr>
                <w:color w:val="000000" w:themeColor="text1"/>
                <w:sz w:val="24"/>
                <w:highlight w:val="none"/>
              </w:rPr>
            </w:pPr>
            <w:r>
              <w:rPr>
                <w:rFonts w:hint="eastAsia"/>
                <w:color w:val="000000" w:themeColor="text1"/>
                <w:sz w:val="24"/>
                <w:highlight w:val="none"/>
              </w:rPr>
              <w:t>1.</w:t>
            </w:r>
            <w:r>
              <w:rPr>
                <w:color w:val="000000" w:themeColor="text1"/>
                <w:sz w:val="24"/>
                <w:highlight w:val="none"/>
              </w:rPr>
              <w:t>大气污染物排放标准</w:t>
            </w:r>
          </w:p>
          <w:p w14:paraId="0A66951C">
            <w:pPr>
              <w:widowControl/>
              <w:spacing w:line="360" w:lineRule="auto"/>
              <w:ind w:firstLine="480" w:firstLineChars="200"/>
              <w:rPr>
                <w:color w:val="000000" w:themeColor="text1"/>
                <w:kern w:val="0"/>
                <w:szCs w:val="21"/>
                <w:highlight w:val="none"/>
              </w:rPr>
            </w:pPr>
            <w:r>
              <w:rPr>
                <w:color w:val="000000" w:themeColor="text1"/>
                <w:sz w:val="24"/>
                <w:highlight w:val="none"/>
              </w:rPr>
              <w:t>本项目施工期产生的扬尘执行《大气污染物综合排放标准》</w:t>
            </w:r>
            <w:r>
              <w:rPr>
                <w:rFonts w:hint="eastAsia"/>
                <w:color w:val="000000" w:themeColor="text1"/>
                <w:sz w:val="24"/>
                <w:highlight w:val="none"/>
              </w:rPr>
              <w:t>（</w:t>
            </w:r>
            <w:r>
              <w:rPr>
                <w:color w:val="000000" w:themeColor="text1"/>
                <w:sz w:val="24"/>
                <w:highlight w:val="none"/>
              </w:rPr>
              <w:t>GB16297</w:t>
            </w:r>
            <w:r>
              <w:rPr>
                <w:rFonts w:hint="eastAsia"/>
                <w:color w:val="000000" w:themeColor="text1"/>
                <w:sz w:val="24"/>
                <w:highlight w:val="none"/>
              </w:rPr>
              <w:t>-</w:t>
            </w:r>
            <w:r>
              <w:rPr>
                <w:color w:val="000000" w:themeColor="text1"/>
                <w:sz w:val="24"/>
                <w:highlight w:val="none"/>
              </w:rPr>
              <w:t>1996）表2新污染源大气污染物排放限值中的无组织排放监控浓度限值</w:t>
            </w:r>
            <w:r>
              <w:rPr>
                <w:rFonts w:hint="eastAsia"/>
                <w:color w:val="000000" w:themeColor="text1"/>
                <w:sz w:val="24"/>
                <w:highlight w:val="none"/>
              </w:rPr>
              <w:t>；</w:t>
            </w:r>
            <w:r>
              <w:rPr>
                <w:color w:val="000000" w:themeColor="text1"/>
                <w:sz w:val="24"/>
                <w:highlight w:val="none"/>
              </w:rPr>
              <w:t>运营期厂界大气污染物执行《煤炭工业污染物排放标准》</w:t>
            </w:r>
            <w:r>
              <w:rPr>
                <w:rFonts w:hint="eastAsia"/>
                <w:color w:val="000000" w:themeColor="text1"/>
                <w:sz w:val="24"/>
                <w:highlight w:val="none"/>
              </w:rPr>
              <w:t>（</w:t>
            </w:r>
            <w:r>
              <w:rPr>
                <w:color w:val="000000" w:themeColor="text1"/>
                <w:sz w:val="24"/>
                <w:highlight w:val="none"/>
              </w:rPr>
              <w:t>GB20426</w:t>
            </w:r>
            <w:r>
              <w:rPr>
                <w:rFonts w:hint="eastAsia"/>
                <w:color w:val="000000" w:themeColor="text1"/>
                <w:sz w:val="24"/>
                <w:highlight w:val="none"/>
              </w:rPr>
              <w:t>-</w:t>
            </w:r>
            <w:r>
              <w:rPr>
                <w:color w:val="000000" w:themeColor="text1"/>
                <w:sz w:val="24"/>
                <w:highlight w:val="none"/>
              </w:rPr>
              <w:t>2006）颗粒物无组织排放限值</w:t>
            </w:r>
            <w:r>
              <w:rPr>
                <w:rFonts w:hint="eastAsia"/>
                <w:color w:val="000000" w:themeColor="text1"/>
                <w:sz w:val="24"/>
                <w:highlight w:val="none"/>
              </w:rPr>
              <w:t>。</w:t>
            </w:r>
            <w:r>
              <w:rPr>
                <w:color w:val="000000" w:themeColor="text1"/>
                <w:sz w:val="24"/>
                <w:highlight w:val="none"/>
              </w:rPr>
              <w:t>具体标准值见表</w:t>
            </w:r>
            <w:r>
              <w:rPr>
                <w:rFonts w:hint="eastAsia"/>
                <w:color w:val="000000" w:themeColor="text1"/>
                <w:sz w:val="24"/>
                <w:highlight w:val="none"/>
              </w:rPr>
              <w:t>3-10</w:t>
            </w:r>
            <w:r>
              <w:rPr>
                <w:color w:val="000000" w:themeColor="text1"/>
                <w:sz w:val="24"/>
                <w:highlight w:val="none"/>
              </w:rPr>
              <w:t>。</w:t>
            </w:r>
          </w:p>
          <w:p w14:paraId="0F3CC975">
            <w:pPr>
              <w:ind w:firstLine="480" w:firstLineChars="200"/>
              <w:jc w:val="center"/>
              <w:rPr>
                <w:color w:val="000000" w:themeColor="text1"/>
                <w:kern w:val="0"/>
                <w:szCs w:val="21"/>
                <w:highlight w:val="none"/>
              </w:rPr>
            </w:pPr>
            <w:r>
              <w:rPr>
                <w:rFonts w:hint="eastAsia"/>
                <w:color w:val="000000" w:themeColor="text1"/>
                <w:kern w:val="0"/>
                <w:sz w:val="24"/>
                <w:highlight w:val="none"/>
              </w:rPr>
              <w:t>表3-10大气污染物排放限值</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5"/>
              <w:gridCol w:w="1150"/>
              <w:gridCol w:w="2197"/>
              <w:gridCol w:w="2698"/>
            </w:tblGrid>
            <w:tr w14:paraId="5614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 w:type="pct"/>
                  <w:vMerge w:val="restart"/>
                  <w:vAlign w:val="center"/>
                </w:tcPr>
                <w:p w14:paraId="6B3FEF58">
                  <w:pPr>
                    <w:widowControl/>
                    <w:jc w:val="center"/>
                    <w:rPr>
                      <w:color w:val="000000" w:themeColor="text1"/>
                      <w:szCs w:val="21"/>
                      <w:highlight w:val="none"/>
                    </w:rPr>
                  </w:pPr>
                  <w:r>
                    <w:rPr>
                      <w:rFonts w:hint="eastAsia"/>
                      <w:color w:val="000000" w:themeColor="text1"/>
                      <w:szCs w:val="21"/>
                      <w:highlight w:val="none"/>
                    </w:rPr>
                    <w:t>时期</w:t>
                  </w:r>
                </w:p>
              </w:tc>
              <w:tc>
                <w:tcPr>
                  <w:tcW w:w="762" w:type="pct"/>
                  <w:vMerge w:val="restart"/>
                  <w:vAlign w:val="center"/>
                </w:tcPr>
                <w:p w14:paraId="36BCBD64">
                  <w:pPr>
                    <w:widowControl/>
                    <w:jc w:val="center"/>
                    <w:rPr>
                      <w:color w:val="000000" w:themeColor="text1"/>
                      <w:szCs w:val="21"/>
                      <w:highlight w:val="none"/>
                    </w:rPr>
                  </w:pPr>
                  <w:r>
                    <w:rPr>
                      <w:color w:val="000000" w:themeColor="text1"/>
                      <w:szCs w:val="21"/>
                      <w:highlight w:val="none"/>
                    </w:rPr>
                    <w:t>污染物</w:t>
                  </w:r>
                </w:p>
              </w:tc>
              <w:tc>
                <w:tcPr>
                  <w:tcW w:w="3246" w:type="pct"/>
                  <w:gridSpan w:val="2"/>
                </w:tcPr>
                <w:p w14:paraId="77B45B77">
                  <w:pPr>
                    <w:widowControl/>
                    <w:spacing w:beforeLines="20"/>
                    <w:jc w:val="center"/>
                    <w:rPr>
                      <w:color w:val="000000" w:themeColor="text1"/>
                      <w:szCs w:val="21"/>
                      <w:highlight w:val="none"/>
                    </w:rPr>
                  </w:pPr>
                  <w:r>
                    <w:rPr>
                      <w:color w:val="000000" w:themeColor="text1"/>
                      <w:szCs w:val="21"/>
                      <w:highlight w:val="none"/>
                    </w:rPr>
                    <w:t>无组织排放监控浓度限值</w:t>
                  </w:r>
                </w:p>
              </w:tc>
            </w:tr>
            <w:tr w14:paraId="06FC6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 w:type="pct"/>
                  <w:vMerge w:val="continue"/>
                </w:tcPr>
                <w:p w14:paraId="138A1A94">
                  <w:pPr>
                    <w:widowControl/>
                    <w:jc w:val="center"/>
                    <w:rPr>
                      <w:color w:val="000000" w:themeColor="text1"/>
                      <w:szCs w:val="21"/>
                      <w:highlight w:val="none"/>
                    </w:rPr>
                  </w:pPr>
                </w:p>
              </w:tc>
              <w:tc>
                <w:tcPr>
                  <w:tcW w:w="762" w:type="pct"/>
                  <w:vMerge w:val="continue"/>
                </w:tcPr>
                <w:p w14:paraId="6D6F2CEC">
                  <w:pPr>
                    <w:widowControl/>
                    <w:jc w:val="center"/>
                    <w:rPr>
                      <w:color w:val="000000" w:themeColor="text1"/>
                      <w:szCs w:val="21"/>
                      <w:highlight w:val="none"/>
                    </w:rPr>
                  </w:pPr>
                </w:p>
              </w:tc>
              <w:tc>
                <w:tcPr>
                  <w:tcW w:w="1457" w:type="pct"/>
                </w:tcPr>
                <w:p w14:paraId="4CDB9FC7">
                  <w:pPr>
                    <w:widowControl/>
                    <w:spacing w:beforeLines="20"/>
                    <w:jc w:val="center"/>
                    <w:rPr>
                      <w:color w:val="000000" w:themeColor="text1"/>
                      <w:szCs w:val="21"/>
                      <w:highlight w:val="none"/>
                    </w:rPr>
                  </w:pPr>
                  <w:r>
                    <w:rPr>
                      <w:color w:val="000000" w:themeColor="text1"/>
                      <w:szCs w:val="21"/>
                      <w:highlight w:val="none"/>
                    </w:rPr>
                    <w:t>监控点</w:t>
                  </w:r>
                </w:p>
              </w:tc>
              <w:tc>
                <w:tcPr>
                  <w:tcW w:w="1788" w:type="pct"/>
                </w:tcPr>
                <w:p w14:paraId="79B304DB">
                  <w:pPr>
                    <w:widowControl/>
                    <w:spacing w:beforeLines="20"/>
                    <w:jc w:val="center"/>
                    <w:rPr>
                      <w:color w:val="000000" w:themeColor="text1"/>
                      <w:szCs w:val="21"/>
                      <w:highlight w:val="none"/>
                    </w:rPr>
                  </w:pPr>
                  <w:r>
                    <w:rPr>
                      <w:color w:val="000000" w:themeColor="text1"/>
                      <w:szCs w:val="21"/>
                      <w:highlight w:val="none"/>
                    </w:rPr>
                    <w:t>浓度</w:t>
                  </w:r>
                  <w:r>
                    <w:rPr>
                      <w:rFonts w:hint="eastAsia"/>
                      <w:color w:val="000000" w:themeColor="text1"/>
                      <w:szCs w:val="21"/>
                      <w:highlight w:val="none"/>
                    </w:rPr>
                    <w:t>（</w:t>
                  </w:r>
                  <w:r>
                    <w:rPr>
                      <w:color w:val="000000" w:themeColor="text1"/>
                      <w:szCs w:val="21"/>
                      <w:highlight w:val="none"/>
                    </w:rPr>
                    <w:t>mg/m</w:t>
                  </w:r>
                  <w:r>
                    <w:rPr>
                      <w:color w:val="000000" w:themeColor="text1"/>
                      <w:szCs w:val="21"/>
                      <w:highlight w:val="none"/>
                      <w:vertAlign w:val="superscript"/>
                    </w:rPr>
                    <w:t>3</w:t>
                  </w:r>
                  <w:r>
                    <w:rPr>
                      <w:color w:val="000000" w:themeColor="text1"/>
                      <w:szCs w:val="21"/>
                      <w:highlight w:val="none"/>
                    </w:rPr>
                    <w:t>）</w:t>
                  </w:r>
                </w:p>
              </w:tc>
            </w:tr>
            <w:tr w14:paraId="4A16B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 w:type="pct"/>
                </w:tcPr>
                <w:p w14:paraId="473BDE82">
                  <w:pPr>
                    <w:widowControl/>
                    <w:spacing w:beforeLines="20"/>
                    <w:jc w:val="center"/>
                    <w:rPr>
                      <w:color w:val="000000" w:themeColor="text1"/>
                      <w:szCs w:val="21"/>
                      <w:highlight w:val="none"/>
                    </w:rPr>
                  </w:pPr>
                  <w:r>
                    <w:rPr>
                      <w:rFonts w:hint="eastAsia"/>
                      <w:color w:val="000000" w:themeColor="text1"/>
                      <w:szCs w:val="21"/>
                      <w:highlight w:val="none"/>
                    </w:rPr>
                    <w:t>施工前</w:t>
                  </w:r>
                </w:p>
              </w:tc>
              <w:tc>
                <w:tcPr>
                  <w:tcW w:w="762" w:type="pct"/>
                </w:tcPr>
                <w:p w14:paraId="64E0AF45">
                  <w:pPr>
                    <w:widowControl/>
                    <w:spacing w:beforeLines="20"/>
                    <w:jc w:val="center"/>
                    <w:rPr>
                      <w:color w:val="000000" w:themeColor="text1"/>
                      <w:szCs w:val="21"/>
                      <w:highlight w:val="none"/>
                    </w:rPr>
                  </w:pPr>
                  <w:r>
                    <w:rPr>
                      <w:color w:val="000000" w:themeColor="text1"/>
                      <w:szCs w:val="21"/>
                      <w:highlight w:val="none"/>
                    </w:rPr>
                    <w:t>颗粒物</w:t>
                  </w:r>
                </w:p>
              </w:tc>
              <w:tc>
                <w:tcPr>
                  <w:tcW w:w="1457" w:type="pct"/>
                </w:tcPr>
                <w:p w14:paraId="5BE05EFA">
                  <w:pPr>
                    <w:widowControl/>
                    <w:spacing w:beforeLines="20"/>
                    <w:jc w:val="center"/>
                    <w:rPr>
                      <w:color w:val="000000" w:themeColor="text1"/>
                      <w:szCs w:val="21"/>
                      <w:highlight w:val="none"/>
                    </w:rPr>
                  </w:pPr>
                  <w:r>
                    <w:rPr>
                      <w:color w:val="000000" w:themeColor="text1"/>
                      <w:szCs w:val="21"/>
                      <w:highlight w:val="none"/>
                    </w:rPr>
                    <w:t>周界外浓度最高点</w:t>
                  </w:r>
                </w:p>
              </w:tc>
              <w:tc>
                <w:tcPr>
                  <w:tcW w:w="1788" w:type="pct"/>
                  <w:vAlign w:val="center"/>
                </w:tcPr>
                <w:p w14:paraId="6C48E5F7">
                  <w:pPr>
                    <w:widowControl/>
                    <w:spacing w:beforeLines="20"/>
                    <w:jc w:val="center"/>
                    <w:rPr>
                      <w:color w:val="000000" w:themeColor="text1"/>
                      <w:szCs w:val="21"/>
                      <w:highlight w:val="none"/>
                    </w:rPr>
                  </w:pPr>
                  <w:r>
                    <w:rPr>
                      <w:color w:val="000000" w:themeColor="text1"/>
                      <w:szCs w:val="21"/>
                      <w:highlight w:val="none"/>
                    </w:rPr>
                    <w:t>1.0</w:t>
                  </w:r>
                </w:p>
              </w:tc>
            </w:tr>
            <w:tr w14:paraId="258B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991" w:type="pct"/>
                </w:tcPr>
                <w:p w14:paraId="3D4E3BD8">
                  <w:pPr>
                    <w:widowControl/>
                    <w:spacing w:beforeLines="20"/>
                    <w:jc w:val="center"/>
                    <w:rPr>
                      <w:color w:val="000000" w:themeColor="text1"/>
                      <w:szCs w:val="21"/>
                      <w:highlight w:val="none"/>
                    </w:rPr>
                  </w:pPr>
                  <w:r>
                    <w:rPr>
                      <w:rFonts w:hint="eastAsia"/>
                      <w:color w:val="000000" w:themeColor="text1"/>
                      <w:szCs w:val="21"/>
                      <w:highlight w:val="none"/>
                    </w:rPr>
                    <w:t>运营期</w:t>
                  </w:r>
                </w:p>
              </w:tc>
              <w:tc>
                <w:tcPr>
                  <w:tcW w:w="762" w:type="pct"/>
                </w:tcPr>
                <w:p w14:paraId="0C2EE90D">
                  <w:pPr>
                    <w:widowControl/>
                    <w:spacing w:beforeLines="20"/>
                    <w:jc w:val="center"/>
                    <w:rPr>
                      <w:color w:val="000000" w:themeColor="text1"/>
                      <w:szCs w:val="21"/>
                      <w:highlight w:val="none"/>
                    </w:rPr>
                  </w:pPr>
                  <w:r>
                    <w:rPr>
                      <w:color w:val="000000" w:themeColor="text1"/>
                      <w:szCs w:val="21"/>
                      <w:highlight w:val="none"/>
                    </w:rPr>
                    <w:t>颗粒物</w:t>
                  </w:r>
                </w:p>
              </w:tc>
              <w:tc>
                <w:tcPr>
                  <w:tcW w:w="3246" w:type="pct"/>
                  <w:gridSpan w:val="2"/>
                </w:tcPr>
                <w:p w14:paraId="7721C342">
                  <w:pPr>
                    <w:widowControl/>
                    <w:spacing w:beforeLines="20"/>
                    <w:jc w:val="center"/>
                    <w:rPr>
                      <w:color w:val="000000" w:themeColor="text1"/>
                      <w:szCs w:val="21"/>
                      <w:highlight w:val="none"/>
                    </w:rPr>
                  </w:pPr>
                  <w:r>
                    <w:rPr>
                      <w:rFonts w:hint="eastAsia"/>
                      <w:color w:val="000000" w:themeColor="text1"/>
                      <w:szCs w:val="21"/>
                      <w:highlight w:val="none"/>
                    </w:rPr>
                    <w:t>无组织颗粒物排放浓度1.0mg/m</w:t>
                  </w:r>
                  <w:r>
                    <w:rPr>
                      <w:rFonts w:hint="eastAsia"/>
                      <w:color w:val="000000" w:themeColor="text1"/>
                      <w:szCs w:val="21"/>
                      <w:highlight w:val="none"/>
                      <w:vertAlign w:val="superscript"/>
                    </w:rPr>
                    <w:t>3</w:t>
                  </w:r>
                </w:p>
              </w:tc>
            </w:tr>
          </w:tbl>
          <w:p w14:paraId="413E1A05">
            <w:pPr>
              <w:widowControl/>
              <w:spacing w:line="360" w:lineRule="auto"/>
              <w:ind w:firstLine="480" w:firstLineChars="200"/>
              <w:jc w:val="left"/>
              <w:rPr>
                <w:color w:val="000000" w:themeColor="text1"/>
                <w:sz w:val="24"/>
                <w:highlight w:val="none"/>
              </w:rPr>
            </w:pPr>
            <w:r>
              <w:rPr>
                <w:color w:val="000000" w:themeColor="text1"/>
                <w:sz w:val="24"/>
                <w:highlight w:val="none"/>
              </w:rPr>
              <w:t>2.噪声排放标准</w:t>
            </w:r>
          </w:p>
          <w:p w14:paraId="302D1330">
            <w:pPr>
              <w:widowControl/>
              <w:spacing w:line="360" w:lineRule="auto"/>
              <w:ind w:firstLine="480" w:firstLineChars="200"/>
              <w:rPr>
                <w:color w:val="000000" w:themeColor="text1"/>
                <w:sz w:val="24"/>
                <w:highlight w:val="none"/>
              </w:rPr>
            </w:pPr>
            <w:r>
              <w:rPr>
                <w:color w:val="000000" w:themeColor="text1"/>
                <w:sz w:val="24"/>
                <w:highlight w:val="none"/>
              </w:rPr>
              <w:t>项目施工期噪声排放执行《建筑施工场界环境噪声排放标准》</w:t>
            </w:r>
            <w:r>
              <w:rPr>
                <w:rFonts w:hint="eastAsia"/>
                <w:color w:val="000000" w:themeColor="text1"/>
                <w:sz w:val="24"/>
                <w:highlight w:val="none"/>
              </w:rPr>
              <w:t>（</w:t>
            </w:r>
            <w:r>
              <w:rPr>
                <w:color w:val="000000" w:themeColor="text1"/>
                <w:sz w:val="24"/>
                <w:highlight w:val="none"/>
              </w:rPr>
              <w:t>GB12523</w:t>
            </w:r>
            <w:r>
              <w:rPr>
                <w:rFonts w:hint="eastAsia"/>
                <w:color w:val="000000" w:themeColor="text1"/>
                <w:sz w:val="24"/>
                <w:highlight w:val="none"/>
              </w:rPr>
              <w:t>-</w:t>
            </w:r>
            <w:r>
              <w:rPr>
                <w:color w:val="000000" w:themeColor="text1"/>
                <w:sz w:val="24"/>
                <w:highlight w:val="none"/>
              </w:rPr>
              <w:t>2011），《工业企业厂界噪声排放标准》</w:t>
            </w:r>
            <w:r>
              <w:rPr>
                <w:rFonts w:hint="eastAsia"/>
                <w:color w:val="000000" w:themeColor="text1"/>
                <w:sz w:val="24"/>
                <w:highlight w:val="none"/>
              </w:rPr>
              <w:t>（</w:t>
            </w:r>
            <w:r>
              <w:rPr>
                <w:color w:val="000000" w:themeColor="text1"/>
                <w:sz w:val="24"/>
                <w:highlight w:val="none"/>
              </w:rPr>
              <w:t>GB12348</w:t>
            </w:r>
            <w:r>
              <w:rPr>
                <w:rFonts w:hint="eastAsia"/>
                <w:color w:val="000000" w:themeColor="text1"/>
                <w:sz w:val="24"/>
                <w:highlight w:val="none"/>
              </w:rPr>
              <w:t>-</w:t>
            </w:r>
            <w:r>
              <w:rPr>
                <w:color w:val="000000" w:themeColor="text1"/>
                <w:sz w:val="24"/>
                <w:highlight w:val="none"/>
              </w:rPr>
              <w:t>2008）中的</w:t>
            </w:r>
            <w:r>
              <w:rPr>
                <w:rFonts w:hint="eastAsia"/>
                <w:color w:val="000000" w:themeColor="text1"/>
                <w:sz w:val="24"/>
                <w:highlight w:val="none"/>
              </w:rPr>
              <w:t>2</w:t>
            </w:r>
            <w:r>
              <w:rPr>
                <w:color w:val="000000" w:themeColor="text1"/>
                <w:sz w:val="24"/>
                <w:highlight w:val="none"/>
              </w:rPr>
              <w:t>类标准噪声限值见表</w:t>
            </w:r>
            <w:r>
              <w:rPr>
                <w:rFonts w:hint="eastAsia"/>
                <w:color w:val="000000" w:themeColor="text1"/>
                <w:sz w:val="24"/>
                <w:highlight w:val="none"/>
              </w:rPr>
              <w:t>3-11</w:t>
            </w:r>
            <w:r>
              <w:rPr>
                <w:color w:val="000000" w:themeColor="text1"/>
                <w:sz w:val="24"/>
                <w:highlight w:val="none"/>
              </w:rPr>
              <w:t>。</w:t>
            </w:r>
          </w:p>
          <w:p w14:paraId="3A08DD77">
            <w:pPr>
              <w:widowControl/>
              <w:jc w:val="center"/>
              <w:rPr>
                <w:color w:val="000000" w:themeColor="text1"/>
                <w:sz w:val="24"/>
                <w:highlight w:val="none"/>
              </w:rPr>
            </w:pPr>
            <w:r>
              <w:rPr>
                <w:rFonts w:hint="eastAsia"/>
                <w:color w:val="000000" w:themeColor="text1"/>
                <w:kern w:val="0"/>
                <w:sz w:val="24"/>
                <w:highlight w:val="none"/>
              </w:rPr>
              <w:t>表3-11 建筑施工厂界环境噪声排放限值       单位：dB（A）</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6"/>
              <w:gridCol w:w="2646"/>
              <w:gridCol w:w="2647"/>
            </w:tblGrid>
            <w:tr w14:paraId="3EE83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2646" w:type="dxa"/>
                  <w:vAlign w:val="center"/>
                </w:tcPr>
                <w:p w14:paraId="115F75CD">
                  <w:pPr>
                    <w:widowControl/>
                    <w:spacing w:line="240" w:lineRule="atLeast"/>
                    <w:jc w:val="center"/>
                    <w:rPr>
                      <w:color w:val="000000" w:themeColor="text1"/>
                      <w:szCs w:val="21"/>
                      <w:highlight w:val="none"/>
                    </w:rPr>
                  </w:pPr>
                  <w:r>
                    <w:rPr>
                      <w:rFonts w:hint="eastAsia"/>
                      <w:color w:val="000000" w:themeColor="text1"/>
                      <w:szCs w:val="21"/>
                      <w:highlight w:val="none"/>
                    </w:rPr>
                    <w:t>时期</w:t>
                  </w:r>
                </w:p>
              </w:tc>
              <w:tc>
                <w:tcPr>
                  <w:tcW w:w="2646" w:type="dxa"/>
                </w:tcPr>
                <w:p w14:paraId="2811B97D">
                  <w:pPr>
                    <w:widowControl/>
                    <w:spacing w:line="240" w:lineRule="atLeast"/>
                    <w:jc w:val="center"/>
                    <w:rPr>
                      <w:color w:val="000000" w:themeColor="text1"/>
                      <w:szCs w:val="21"/>
                      <w:highlight w:val="none"/>
                    </w:rPr>
                  </w:pPr>
                  <w:r>
                    <w:rPr>
                      <w:color w:val="000000" w:themeColor="text1"/>
                      <w:szCs w:val="21"/>
                      <w:highlight w:val="none"/>
                    </w:rPr>
                    <w:t>昼间</w:t>
                  </w:r>
                </w:p>
              </w:tc>
              <w:tc>
                <w:tcPr>
                  <w:tcW w:w="2647" w:type="dxa"/>
                </w:tcPr>
                <w:p w14:paraId="2A5A4327">
                  <w:pPr>
                    <w:widowControl/>
                    <w:spacing w:line="240" w:lineRule="atLeast"/>
                    <w:jc w:val="center"/>
                    <w:rPr>
                      <w:color w:val="000000" w:themeColor="text1"/>
                      <w:szCs w:val="21"/>
                      <w:highlight w:val="none"/>
                    </w:rPr>
                  </w:pPr>
                  <w:r>
                    <w:rPr>
                      <w:color w:val="000000" w:themeColor="text1"/>
                      <w:szCs w:val="21"/>
                      <w:highlight w:val="none"/>
                    </w:rPr>
                    <w:t>夜间</w:t>
                  </w:r>
                </w:p>
              </w:tc>
            </w:tr>
            <w:tr w14:paraId="3C8DD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2646" w:type="dxa"/>
                </w:tcPr>
                <w:p w14:paraId="70FDC3DE">
                  <w:pPr>
                    <w:widowControl/>
                    <w:spacing w:line="240" w:lineRule="atLeast"/>
                    <w:jc w:val="center"/>
                    <w:rPr>
                      <w:color w:val="000000" w:themeColor="text1"/>
                      <w:szCs w:val="21"/>
                      <w:highlight w:val="none"/>
                    </w:rPr>
                  </w:pPr>
                  <w:r>
                    <w:rPr>
                      <w:color w:val="000000" w:themeColor="text1"/>
                      <w:szCs w:val="21"/>
                      <w:highlight w:val="none"/>
                    </w:rPr>
                    <w:t>施工</w:t>
                  </w:r>
                  <w:r>
                    <w:rPr>
                      <w:rFonts w:hint="eastAsia"/>
                      <w:color w:val="000000" w:themeColor="text1"/>
                      <w:szCs w:val="21"/>
                      <w:highlight w:val="none"/>
                    </w:rPr>
                    <w:t>期</w:t>
                  </w:r>
                </w:p>
              </w:tc>
              <w:tc>
                <w:tcPr>
                  <w:tcW w:w="2646" w:type="dxa"/>
                </w:tcPr>
                <w:p w14:paraId="56F16FA0">
                  <w:pPr>
                    <w:widowControl/>
                    <w:spacing w:line="240" w:lineRule="atLeast"/>
                    <w:jc w:val="center"/>
                    <w:rPr>
                      <w:color w:val="000000" w:themeColor="text1"/>
                      <w:szCs w:val="21"/>
                      <w:highlight w:val="none"/>
                    </w:rPr>
                  </w:pPr>
                  <w:r>
                    <w:rPr>
                      <w:color w:val="000000" w:themeColor="text1"/>
                      <w:szCs w:val="21"/>
                      <w:highlight w:val="none"/>
                    </w:rPr>
                    <w:t>70</w:t>
                  </w:r>
                </w:p>
              </w:tc>
              <w:tc>
                <w:tcPr>
                  <w:tcW w:w="2647" w:type="dxa"/>
                </w:tcPr>
                <w:p w14:paraId="1FA484C3">
                  <w:pPr>
                    <w:widowControl/>
                    <w:spacing w:line="240" w:lineRule="atLeast"/>
                    <w:jc w:val="center"/>
                    <w:rPr>
                      <w:color w:val="000000" w:themeColor="text1"/>
                      <w:szCs w:val="21"/>
                      <w:highlight w:val="none"/>
                    </w:rPr>
                  </w:pPr>
                  <w:r>
                    <w:rPr>
                      <w:color w:val="000000" w:themeColor="text1"/>
                      <w:szCs w:val="21"/>
                      <w:highlight w:val="none"/>
                    </w:rPr>
                    <w:t>55</w:t>
                  </w:r>
                </w:p>
              </w:tc>
            </w:tr>
            <w:tr w14:paraId="18B14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2646" w:type="dxa"/>
                </w:tcPr>
                <w:p w14:paraId="290691AD">
                  <w:pPr>
                    <w:widowControl/>
                    <w:spacing w:line="240" w:lineRule="atLeast"/>
                    <w:jc w:val="center"/>
                    <w:rPr>
                      <w:color w:val="000000" w:themeColor="text1"/>
                      <w:szCs w:val="21"/>
                      <w:highlight w:val="none"/>
                    </w:rPr>
                  </w:pPr>
                  <w:r>
                    <w:rPr>
                      <w:rFonts w:hint="eastAsia"/>
                      <w:color w:val="000000" w:themeColor="text1"/>
                      <w:szCs w:val="21"/>
                      <w:highlight w:val="none"/>
                    </w:rPr>
                    <w:t>运营期</w:t>
                  </w:r>
                </w:p>
              </w:tc>
              <w:tc>
                <w:tcPr>
                  <w:tcW w:w="2646" w:type="dxa"/>
                </w:tcPr>
                <w:p w14:paraId="5E34D160">
                  <w:pPr>
                    <w:widowControl/>
                    <w:spacing w:line="240" w:lineRule="atLeast"/>
                    <w:jc w:val="center"/>
                    <w:rPr>
                      <w:color w:val="000000" w:themeColor="text1"/>
                      <w:szCs w:val="21"/>
                      <w:highlight w:val="none"/>
                    </w:rPr>
                  </w:pPr>
                  <w:r>
                    <w:rPr>
                      <w:rFonts w:hint="eastAsia"/>
                      <w:color w:val="000000" w:themeColor="text1"/>
                      <w:szCs w:val="21"/>
                      <w:highlight w:val="none"/>
                    </w:rPr>
                    <w:t>60</w:t>
                  </w:r>
                </w:p>
              </w:tc>
              <w:tc>
                <w:tcPr>
                  <w:tcW w:w="2647" w:type="dxa"/>
                </w:tcPr>
                <w:p w14:paraId="4A6CD643">
                  <w:pPr>
                    <w:widowControl/>
                    <w:spacing w:line="240" w:lineRule="atLeast"/>
                    <w:jc w:val="center"/>
                    <w:rPr>
                      <w:color w:val="000000" w:themeColor="text1"/>
                      <w:szCs w:val="21"/>
                      <w:highlight w:val="none"/>
                    </w:rPr>
                  </w:pPr>
                  <w:r>
                    <w:rPr>
                      <w:rFonts w:hint="eastAsia"/>
                      <w:color w:val="000000" w:themeColor="text1"/>
                      <w:szCs w:val="21"/>
                      <w:highlight w:val="none"/>
                    </w:rPr>
                    <w:t>50</w:t>
                  </w:r>
                </w:p>
              </w:tc>
            </w:tr>
          </w:tbl>
          <w:p w14:paraId="2271FE5F">
            <w:pPr>
              <w:widowControl/>
              <w:spacing w:line="360" w:lineRule="auto"/>
              <w:ind w:firstLine="480" w:firstLineChars="200"/>
              <w:jc w:val="left"/>
              <w:rPr>
                <w:color w:val="000000" w:themeColor="text1"/>
                <w:sz w:val="24"/>
                <w:highlight w:val="none"/>
              </w:rPr>
            </w:pPr>
            <w:r>
              <w:rPr>
                <w:rFonts w:hint="eastAsia"/>
                <w:color w:val="000000" w:themeColor="text1"/>
                <w:sz w:val="24"/>
                <w:highlight w:val="none"/>
              </w:rPr>
              <w:t>3.</w:t>
            </w:r>
            <w:r>
              <w:rPr>
                <w:color w:val="000000" w:themeColor="text1"/>
                <w:sz w:val="24"/>
                <w:highlight w:val="none"/>
              </w:rPr>
              <w:t>固体废物</w:t>
            </w:r>
            <w:r>
              <w:rPr>
                <w:rFonts w:hint="eastAsia"/>
                <w:color w:val="000000" w:themeColor="text1"/>
                <w:sz w:val="24"/>
                <w:highlight w:val="none"/>
              </w:rPr>
              <w:t>标准</w:t>
            </w:r>
          </w:p>
          <w:p w14:paraId="315C13FD">
            <w:pPr>
              <w:adjustRightInd w:val="0"/>
              <w:snapToGrid w:val="0"/>
              <w:spacing w:line="360" w:lineRule="auto"/>
              <w:ind w:firstLine="480" w:firstLineChars="200"/>
              <w:rPr>
                <w:rFonts w:ascii="宋体" w:hAnsi="宋体" w:cs="宋体"/>
                <w:color w:val="000000" w:themeColor="text1"/>
                <w:kern w:val="0"/>
                <w:szCs w:val="21"/>
                <w:highlight w:val="none"/>
              </w:rPr>
            </w:pPr>
            <w:r>
              <w:rPr>
                <w:rFonts w:hint="eastAsia"/>
                <w:color w:val="000000" w:themeColor="text1"/>
                <w:sz w:val="24"/>
                <w:highlight w:val="none"/>
              </w:rPr>
              <w:t>本项目危险废物执行《危险废物贮存污染控制标准》（GB18597-2023）</w:t>
            </w:r>
            <w:r>
              <w:rPr>
                <w:rFonts w:hint="eastAsia"/>
                <w:color w:val="000000" w:themeColor="text1"/>
                <w:sz w:val="24"/>
                <w:highlight w:val="none"/>
                <w:lang w:eastAsia="zh-CN"/>
              </w:rPr>
              <w:t>，</w:t>
            </w:r>
            <w:r>
              <w:rPr>
                <w:rFonts w:hint="eastAsia" w:ascii="Times New Roman" w:hAnsi="Times New Roman" w:cs="Times New Roman"/>
                <w:color w:val="000000" w:themeColor="text1"/>
                <w:sz w:val="24"/>
                <w:szCs w:val="24"/>
                <w:highlight w:val="none"/>
                <w:lang w:val="en-US" w:eastAsia="zh-CN"/>
              </w:rPr>
              <w:t>固废</w:t>
            </w:r>
            <w:r>
              <w:rPr>
                <w:rFonts w:hint="eastAsia" w:ascii="Times New Roman" w:hAnsi="Times New Roman" w:cs="Times New Roman"/>
                <w:color w:val="000000" w:themeColor="text1"/>
                <w:sz w:val="24"/>
                <w:szCs w:val="24"/>
                <w:highlight w:val="none"/>
                <w:lang w:val="en-US"/>
              </w:rPr>
              <w:t>执行</w:t>
            </w:r>
            <w:r>
              <w:rPr>
                <w:rFonts w:hint="eastAsia" w:cs="Times New Roman"/>
                <w:color w:val="000000" w:themeColor="text1"/>
                <w:kern w:val="0"/>
                <w:sz w:val="24"/>
                <w:szCs w:val="24"/>
                <w:highlight w:val="none"/>
                <w:lang w:val="en-US" w:eastAsia="zh-CN"/>
              </w:rPr>
              <w:t>《</w:t>
            </w:r>
            <w:r>
              <w:rPr>
                <w:rFonts w:hint="default" w:ascii="Times New Roman" w:hAnsi="Times New Roman" w:cs="Times New Roman"/>
                <w:color w:val="000000" w:themeColor="text1"/>
                <w:kern w:val="0"/>
                <w:sz w:val="24"/>
                <w:szCs w:val="24"/>
                <w:highlight w:val="none"/>
                <w:lang w:val="en-US" w:eastAsia="zh-CN"/>
              </w:rPr>
              <w:t>一般工业固体废物贮存和填埋污染控制标准》</w:t>
            </w:r>
            <w:r>
              <w:rPr>
                <w:rFonts w:hint="eastAsia" w:ascii="Times New Roman" w:hAnsi="Times New Roman" w:cs="Times New Roman"/>
                <w:color w:val="000000" w:themeColor="text1"/>
                <w:kern w:val="0"/>
                <w:sz w:val="24"/>
                <w:szCs w:val="24"/>
                <w:highlight w:val="none"/>
                <w:lang w:val="en-US" w:eastAsia="zh-CN"/>
              </w:rPr>
              <w:t>（</w:t>
            </w:r>
            <w:r>
              <w:rPr>
                <w:rFonts w:hint="default" w:ascii="Times New Roman" w:hAnsi="Times New Roman" w:cs="Times New Roman"/>
                <w:color w:val="000000" w:themeColor="text1"/>
                <w:kern w:val="0"/>
                <w:sz w:val="24"/>
                <w:szCs w:val="24"/>
                <w:highlight w:val="none"/>
                <w:lang w:val="en-US" w:eastAsia="zh-CN"/>
              </w:rPr>
              <w:t>GB18599-2020</w:t>
            </w:r>
            <w:r>
              <w:rPr>
                <w:rFonts w:hint="eastAsia" w:ascii="Times New Roman" w:hAnsi="Times New Roman" w:cs="Times New Roman"/>
                <w:color w:val="000000" w:themeColor="text1"/>
                <w:kern w:val="0"/>
                <w:sz w:val="24"/>
                <w:szCs w:val="24"/>
                <w:highlight w:val="none"/>
                <w:lang w:val="en-US" w:eastAsia="zh-CN"/>
              </w:rPr>
              <w:t>）</w:t>
            </w:r>
            <w:r>
              <w:rPr>
                <w:rFonts w:hint="eastAsia"/>
                <w:color w:val="000000" w:themeColor="text1"/>
                <w:sz w:val="24"/>
                <w:highlight w:val="none"/>
              </w:rPr>
              <w:t>。</w:t>
            </w:r>
          </w:p>
        </w:tc>
      </w:tr>
      <w:tr w14:paraId="09A6D9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00" w:hRule="atLeast"/>
          <w:jc w:val="center"/>
        </w:trPr>
        <w:tc>
          <w:tcPr>
            <w:tcW w:w="442" w:type="pct"/>
            <w:vAlign w:val="center"/>
          </w:tcPr>
          <w:p w14:paraId="30C65FC5">
            <w:pPr>
              <w:adjustRightInd w:val="0"/>
              <w:snapToGrid w:val="0"/>
              <w:jc w:val="center"/>
              <w:rPr>
                <w:rFonts w:ascii="宋体" w:hAnsi="宋体" w:cs="宋体"/>
                <w:color w:val="000000" w:themeColor="text1"/>
                <w:kern w:val="0"/>
                <w:sz w:val="24"/>
                <w:highlight w:val="none"/>
              </w:rPr>
            </w:pPr>
            <w:r>
              <w:rPr>
                <w:rFonts w:hint="eastAsia" w:ascii="宋体" w:hAnsi="宋体" w:cs="宋体"/>
                <w:color w:val="000000" w:themeColor="text1"/>
                <w:kern w:val="0"/>
                <w:sz w:val="24"/>
                <w:highlight w:val="none"/>
              </w:rPr>
              <w:t>其他</w:t>
            </w:r>
          </w:p>
        </w:tc>
        <w:tc>
          <w:tcPr>
            <w:tcW w:w="4557" w:type="pct"/>
            <w:vAlign w:val="center"/>
          </w:tcPr>
          <w:p w14:paraId="78899D9E">
            <w:pPr>
              <w:adjustRightInd w:val="0"/>
              <w:snapToGrid w:val="0"/>
              <w:jc w:val="center"/>
              <w:rPr>
                <w:rFonts w:ascii="宋体" w:hAnsi="宋体" w:cs="宋体"/>
                <w:color w:val="000000" w:themeColor="text1"/>
                <w:kern w:val="0"/>
                <w:sz w:val="24"/>
                <w:highlight w:val="none"/>
              </w:rPr>
            </w:pPr>
            <w:r>
              <w:rPr>
                <w:rFonts w:hint="eastAsia" w:ascii="宋体" w:hAnsi="宋体" w:cs="宋体"/>
                <w:color w:val="000000" w:themeColor="text1"/>
                <w:kern w:val="0"/>
                <w:sz w:val="24"/>
                <w:highlight w:val="none"/>
              </w:rPr>
              <w:t>无</w:t>
            </w:r>
          </w:p>
        </w:tc>
      </w:tr>
    </w:tbl>
    <w:p w14:paraId="3BFE108A">
      <w:pPr>
        <w:pStyle w:val="23"/>
        <w:adjustRightInd w:val="0"/>
        <w:snapToGrid w:val="0"/>
        <w:spacing w:before="0" w:beforeAutospacing="0" w:after="0" w:afterAutospacing="0" w:line="14" w:lineRule="auto"/>
        <w:jc w:val="center"/>
        <w:rPr>
          <w:rFonts w:ascii="黑体" w:hAnsi="黑体" w:eastAsia="黑体"/>
          <w:snapToGrid w:val="0"/>
          <w:color w:val="000000" w:themeColor="text1"/>
          <w:kern w:val="2"/>
          <w:sz w:val="36"/>
          <w:szCs w:val="36"/>
          <w:highlight w:val="none"/>
        </w:rPr>
      </w:pPr>
    </w:p>
    <w:p w14:paraId="1FAC4201">
      <w:pPr>
        <w:pStyle w:val="23"/>
        <w:jc w:val="center"/>
        <w:outlineLvl w:val="0"/>
        <w:rPr>
          <w:rFonts w:ascii="黑体" w:hAnsi="黑体" w:eastAsia="黑体"/>
          <w:snapToGrid w:val="0"/>
          <w:color w:val="000000" w:themeColor="text1"/>
          <w:sz w:val="30"/>
          <w:szCs w:val="30"/>
          <w:highlight w:val="none"/>
        </w:rPr>
      </w:pPr>
      <w:r>
        <w:rPr>
          <w:rFonts w:ascii="黑体" w:hAnsi="黑体" w:eastAsia="黑体"/>
          <w:snapToGrid w:val="0"/>
          <w:color w:val="000000" w:themeColor="text1"/>
          <w:kern w:val="2"/>
          <w:sz w:val="36"/>
          <w:szCs w:val="36"/>
          <w:highlight w:val="none"/>
        </w:rPr>
        <w:br w:type="page"/>
      </w:r>
      <w:r>
        <w:rPr>
          <w:rFonts w:hint="eastAsia" w:ascii="黑体" w:hAnsi="黑体" w:eastAsia="黑体"/>
          <w:snapToGrid w:val="0"/>
          <w:color w:val="000000" w:themeColor="text1"/>
          <w:sz w:val="30"/>
          <w:szCs w:val="30"/>
          <w:highlight w:val="none"/>
        </w:rPr>
        <w:t>四、生态环境影响分析</w:t>
      </w:r>
    </w:p>
    <w:tbl>
      <w:tblPr>
        <w:tblStyle w:val="26"/>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8373"/>
      </w:tblGrid>
      <w:tr w14:paraId="43F0DD6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879" w:type="dxa"/>
            <w:tcMar>
              <w:left w:w="28" w:type="dxa"/>
              <w:right w:w="28" w:type="dxa"/>
            </w:tcMar>
            <w:vAlign w:val="center"/>
          </w:tcPr>
          <w:p w14:paraId="2F5E1996">
            <w:pPr>
              <w:pStyle w:val="23"/>
              <w:adjustRightInd w:val="0"/>
              <w:snapToGrid w:val="0"/>
              <w:spacing w:before="0" w:beforeAutospacing="0" w:after="0" w:afterAutospacing="0"/>
              <w:jc w:val="center"/>
              <w:rPr>
                <w:rFonts w:cs="宋体"/>
                <w:bCs/>
                <w:color w:val="000000" w:themeColor="text1"/>
                <w:kern w:val="2"/>
                <w:sz w:val="21"/>
                <w:szCs w:val="21"/>
                <w:highlight w:val="none"/>
              </w:rPr>
            </w:pPr>
            <w:bookmarkStart w:id="14" w:name="_Hlk49796138"/>
            <w:r>
              <w:rPr>
                <w:rFonts w:hint="eastAsia" w:cs="宋体"/>
                <w:bCs/>
                <w:color w:val="000000" w:themeColor="text1"/>
                <w:spacing w:val="10"/>
                <w:kern w:val="2"/>
                <w:highlight w:val="none"/>
              </w:rPr>
              <w:t>施工期生态环境影响分析</w:t>
            </w:r>
            <w:bookmarkEnd w:id="14"/>
          </w:p>
        </w:tc>
        <w:tc>
          <w:tcPr>
            <w:tcW w:w="8363" w:type="dxa"/>
          </w:tcPr>
          <w:p w14:paraId="1DE66739">
            <w:pPr>
              <w:spacing w:line="360" w:lineRule="auto"/>
              <w:ind w:firstLine="482" w:firstLineChars="200"/>
              <w:rPr>
                <w:b/>
                <w:bCs/>
                <w:color w:val="000000" w:themeColor="text1"/>
                <w:sz w:val="24"/>
                <w:highlight w:val="none"/>
              </w:rPr>
            </w:pPr>
            <w:r>
              <w:rPr>
                <w:b/>
                <w:bCs/>
                <w:color w:val="000000" w:themeColor="text1"/>
                <w:sz w:val="24"/>
                <w:highlight w:val="none"/>
              </w:rPr>
              <w:t>一、生态环境影响分析</w:t>
            </w:r>
          </w:p>
          <w:p w14:paraId="30854AEE">
            <w:pPr>
              <w:widowControl/>
              <w:spacing w:line="360" w:lineRule="auto"/>
              <w:ind w:firstLine="480" w:firstLineChars="200"/>
              <w:rPr>
                <w:color w:val="000000" w:themeColor="text1"/>
                <w:sz w:val="24"/>
                <w:highlight w:val="none"/>
              </w:rPr>
            </w:pPr>
            <w:r>
              <w:rPr>
                <w:rFonts w:hint="eastAsia"/>
                <w:color w:val="000000" w:themeColor="text1"/>
                <w:kern w:val="0"/>
                <w:sz w:val="24"/>
                <w:highlight w:val="none"/>
              </w:rPr>
              <w:t>（</w:t>
            </w:r>
            <w:r>
              <w:rPr>
                <w:color w:val="000000" w:themeColor="text1"/>
                <w:kern w:val="0"/>
                <w:sz w:val="24"/>
                <w:highlight w:val="none"/>
              </w:rPr>
              <w:t>1）工程占地影响分析</w:t>
            </w:r>
          </w:p>
          <w:p w14:paraId="7AABDE6A">
            <w:pPr>
              <w:pStyle w:val="35"/>
              <w:rPr>
                <w:color w:val="000000" w:themeColor="text1"/>
                <w:kern w:val="0"/>
                <w:sz w:val="24"/>
                <w:highlight w:val="none"/>
              </w:rPr>
            </w:pPr>
            <w:r>
              <w:rPr>
                <w:color w:val="000000" w:themeColor="text1"/>
                <w:kern w:val="0"/>
                <w:sz w:val="24"/>
                <w:highlight w:val="none"/>
              </w:rPr>
              <w:t>本工程</w:t>
            </w:r>
            <w:r>
              <w:rPr>
                <w:rFonts w:hint="eastAsia"/>
                <w:color w:val="000000" w:themeColor="text1"/>
                <w:sz w:val="24"/>
                <w:highlight w:val="none"/>
              </w:rPr>
              <w:t>占地面积6000m</w:t>
            </w:r>
            <w:r>
              <w:rPr>
                <w:rFonts w:hint="eastAsia"/>
                <w:color w:val="000000" w:themeColor="text1"/>
                <w:sz w:val="24"/>
                <w:highlight w:val="none"/>
                <w:vertAlign w:val="superscript"/>
              </w:rPr>
              <w:t>2</w:t>
            </w:r>
            <w:r>
              <w:rPr>
                <w:rFonts w:hint="eastAsia"/>
                <w:color w:val="000000" w:themeColor="text1"/>
                <w:sz w:val="24"/>
                <w:highlight w:val="none"/>
              </w:rPr>
              <w:t>，全部为永久占地；永久占地类型为天然牧草地、乔木林地。本项目施工生产区及施工道路位于风井场地占地范围内，施工生活区依托煤矿办公生活区，</w:t>
            </w:r>
            <w:r>
              <w:rPr>
                <w:color w:val="000000" w:themeColor="text1"/>
                <w:sz w:val="24"/>
                <w:highlight w:val="none"/>
              </w:rPr>
              <w:t>施工期间的施工便道</w:t>
            </w:r>
            <w:r>
              <w:rPr>
                <w:rFonts w:hint="eastAsia"/>
                <w:color w:val="000000" w:themeColor="text1"/>
                <w:sz w:val="24"/>
                <w:highlight w:val="none"/>
              </w:rPr>
              <w:t>依托现有县道，进场道路依托煤矿现有巡检道路。不新增临时占地</w:t>
            </w:r>
            <w:r>
              <w:rPr>
                <w:rFonts w:hint="eastAsia"/>
                <w:color w:val="000000" w:themeColor="text1"/>
                <w:kern w:val="0"/>
                <w:sz w:val="24"/>
                <w:highlight w:val="none"/>
              </w:rPr>
              <w:t>。</w:t>
            </w:r>
          </w:p>
          <w:p w14:paraId="4075CB27">
            <w:pPr>
              <w:widowControl/>
              <w:spacing w:line="360" w:lineRule="auto"/>
              <w:ind w:firstLine="468" w:firstLineChars="200"/>
              <w:rPr>
                <w:color w:val="000000" w:themeColor="text1"/>
                <w:highlight w:val="none"/>
              </w:rPr>
            </w:pPr>
            <w:r>
              <w:rPr>
                <w:rFonts w:hint="eastAsia"/>
                <w:color w:val="000000" w:themeColor="text1"/>
                <w:spacing w:val="-3"/>
                <w:sz w:val="24"/>
                <w:highlight w:val="none"/>
              </w:rPr>
              <w:t>根据生态解译结果，本项目永久占地占用的天然草地约6000</w:t>
            </w:r>
            <w:r>
              <w:rPr>
                <w:rFonts w:hint="eastAsia"/>
                <w:color w:val="000000" w:themeColor="text1"/>
                <w:sz w:val="24"/>
                <w:highlight w:val="none"/>
              </w:rPr>
              <w:t>m</w:t>
            </w:r>
            <w:r>
              <w:rPr>
                <w:rFonts w:hint="eastAsia"/>
                <w:color w:val="000000" w:themeColor="text1"/>
                <w:sz w:val="24"/>
                <w:highlight w:val="none"/>
                <w:vertAlign w:val="superscript"/>
              </w:rPr>
              <w:t>2</w:t>
            </w:r>
            <w:r>
              <w:rPr>
                <w:rFonts w:hint="eastAsia"/>
                <w:color w:val="000000" w:themeColor="text1"/>
                <w:spacing w:val="-3"/>
                <w:sz w:val="24"/>
                <w:highlight w:val="none"/>
              </w:rPr>
              <w:t>；</w:t>
            </w:r>
            <w:r>
              <w:rPr>
                <w:color w:val="000000" w:themeColor="text1"/>
                <w:spacing w:val="-3"/>
                <w:sz w:val="24"/>
                <w:highlight w:val="none"/>
              </w:rPr>
              <w:t>工程建设使永久占地</w:t>
            </w:r>
            <w:r>
              <w:rPr>
                <w:rFonts w:hint="eastAsia"/>
                <w:color w:val="000000" w:themeColor="text1"/>
                <w:sz w:val="24"/>
                <w:highlight w:val="none"/>
              </w:rPr>
              <w:t>区域</w:t>
            </w:r>
            <w:r>
              <w:rPr>
                <w:color w:val="000000" w:themeColor="text1"/>
                <w:spacing w:val="-3"/>
                <w:sz w:val="24"/>
                <w:highlight w:val="none"/>
              </w:rPr>
              <w:t>土地利用状况发生改变，由原来的</w:t>
            </w:r>
            <w:r>
              <w:rPr>
                <w:rFonts w:hint="eastAsia"/>
                <w:color w:val="000000" w:themeColor="text1"/>
                <w:sz w:val="24"/>
                <w:highlight w:val="none"/>
              </w:rPr>
              <w:t>天然草地、乔木林地</w:t>
            </w:r>
            <w:r>
              <w:rPr>
                <w:color w:val="000000" w:themeColor="text1"/>
                <w:spacing w:val="-3"/>
                <w:sz w:val="24"/>
                <w:highlight w:val="none"/>
              </w:rPr>
              <w:t>变为</w:t>
            </w:r>
            <w:r>
              <w:rPr>
                <w:rFonts w:hint="eastAsia"/>
                <w:color w:val="000000" w:themeColor="text1"/>
                <w:spacing w:val="-3"/>
                <w:sz w:val="24"/>
                <w:highlight w:val="none"/>
              </w:rPr>
              <w:t>建设用地，项目建成后会进行植被绿化</w:t>
            </w:r>
            <w:r>
              <w:rPr>
                <w:color w:val="000000" w:themeColor="text1"/>
                <w:spacing w:val="-3"/>
                <w:sz w:val="24"/>
                <w:highlight w:val="none"/>
              </w:rPr>
              <w:t>，</w:t>
            </w:r>
            <w:r>
              <w:rPr>
                <w:rFonts w:hint="eastAsia"/>
                <w:color w:val="000000" w:themeColor="text1"/>
                <w:spacing w:val="-3"/>
                <w:sz w:val="24"/>
                <w:highlight w:val="none"/>
              </w:rPr>
              <w:t>故</w:t>
            </w:r>
            <w:r>
              <w:rPr>
                <w:color w:val="000000" w:themeColor="text1"/>
                <w:spacing w:val="-3"/>
                <w:sz w:val="24"/>
                <w:highlight w:val="none"/>
              </w:rPr>
              <w:t>对区域的土地利用造</w:t>
            </w:r>
            <w:r>
              <w:rPr>
                <w:color w:val="000000" w:themeColor="text1"/>
                <w:spacing w:val="-6"/>
                <w:sz w:val="24"/>
                <w:highlight w:val="none"/>
              </w:rPr>
              <w:t>成</w:t>
            </w:r>
            <w:r>
              <w:rPr>
                <w:rFonts w:hint="eastAsia"/>
                <w:color w:val="000000" w:themeColor="text1"/>
                <w:spacing w:val="-6"/>
                <w:sz w:val="24"/>
                <w:highlight w:val="none"/>
              </w:rPr>
              <w:t>的</w:t>
            </w:r>
            <w:r>
              <w:rPr>
                <w:color w:val="000000" w:themeColor="text1"/>
                <w:spacing w:val="-6"/>
                <w:sz w:val="24"/>
                <w:highlight w:val="none"/>
              </w:rPr>
              <w:t>影响</w:t>
            </w:r>
            <w:r>
              <w:rPr>
                <w:rFonts w:hint="eastAsia"/>
                <w:color w:val="000000" w:themeColor="text1"/>
                <w:spacing w:val="-6"/>
                <w:sz w:val="24"/>
                <w:highlight w:val="none"/>
              </w:rPr>
              <w:t>较小</w:t>
            </w:r>
            <w:r>
              <w:rPr>
                <w:color w:val="000000" w:themeColor="text1"/>
                <w:kern w:val="0"/>
                <w:sz w:val="24"/>
                <w:highlight w:val="none"/>
              </w:rPr>
              <w:t>。</w:t>
            </w:r>
          </w:p>
          <w:p w14:paraId="3A471895">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w:t>
            </w:r>
            <w:r>
              <w:rPr>
                <w:color w:val="000000" w:themeColor="text1"/>
                <w:sz w:val="24"/>
                <w:highlight w:val="none"/>
              </w:rPr>
              <w:t>2）对植物的影响</w:t>
            </w:r>
          </w:p>
          <w:p w14:paraId="4D8A897D">
            <w:pPr>
              <w:adjustRightInd w:val="0"/>
              <w:snapToGrid w:val="0"/>
              <w:spacing w:line="360" w:lineRule="auto"/>
              <w:ind w:firstLine="480" w:firstLineChars="200"/>
              <w:rPr>
                <w:color w:val="000000" w:themeColor="text1"/>
                <w:sz w:val="24"/>
                <w:highlight w:val="none"/>
              </w:rPr>
            </w:pPr>
            <w:r>
              <w:rPr>
                <w:color w:val="000000" w:themeColor="text1"/>
                <w:sz w:val="24"/>
                <w:highlight w:val="none"/>
              </w:rPr>
              <w:t>项目施工过程中场地平整、地基开挖、堆填土石方等工程一方面将直接破坏建设区的植被，另一方面这些开发活动改变了附近土层结构和土壤的肥力状况，将对植物生长造成不利影响；并且受项目施工扰动影响地表植被结构将被改变，可能会对本来脆弱的生态环境和水土保持造成不利影响。根据生态解译结果，</w:t>
            </w:r>
            <w:r>
              <w:rPr>
                <w:rFonts w:hint="eastAsia"/>
                <w:color w:val="000000" w:themeColor="text1"/>
                <w:sz w:val="24"/>
                <w:highlight w:val="none"/>
              </w:rPr>
              <w:t>项目占地范围</w:t>
            </w:r>
            <w:r>
              <w:rPr>
                <w:color w:val="000000" w:themeColor="text1"/>
                <w:sz w:val="24"/>
                <w:highlight w:val="none"/>
              </w:rPr>
              <w:t>内</w:t>
            </w:r>
            <w:r>
              <w:rPr>
                <w:rFonts w:hint="eastAsia"/>
                <w:color w:val="000000" w:themeColor="text1"/>
                <w:sz w:val="24"/>
                <w:highlight w:val="none"/>
              </w:rPr>
              <w:t>影响的植被为</w:t>
            </w:r>
            <w:r>
              <w:rPr>
                <w:color w:val="000000" w:themeColor="text1"/>
                <w:sz w:val="24"/>
                <w:highlight w:val="none"/>
              </w:rPr>
              <w:t>百里香、蒿类</w:t>
            </w:r>
            <w:r>
              <w:rPr>
                <w:rFonts w:hint="eastAsia"/>
                <w:color w:val="000000" w:themeColor="text1"/>
                <w:sz w:val="24"/>
                <w:highlight w:val="none"/>
                <w:lang w:val="en-US" w:eastAsia="zh-CN"/>
              </w:rPr>
              <w:t>及杨树</w:t>
            </w:r>
            <w:r>
              <w:rPr>
                <w:rFonts w:hint="eastAsia"/>
                <w:color w:val="000000" w:themeColor="text1"/>
                <w:sz w:val="24"/>
                <w:highlight w:val="none"/>
              </w:rPr>
              <w:t>。工程占地范围内破坏的植被均为区内的常见种或广布种，不会对当地植物群落的种类组成产生影响，也不会造成植物物种的消失。</w:t>
            </w:r>
            <w:r>
              <w:rPr>
                <w:color w:val="000000" w:themeColor="text1"/>
                <w:sz w:val="24"/>
                <w:highlight w:val="none"/>
              </w:rPr>
              <w:t>施工过程中应采取积极有效的防护措施，最大程度</w:t>
            </w:r>
            <w:r>
              <w:rPr>
                <w:rFonts w:hint="eastAsia"/>
                <w:color w:val="000000" w:themeColor="text1"/>
                <w:sz w:val="24"/>
                <w:highlight w:val="none"/>
                <w:lang w:eastAsia="zh-CN"/>
              </w:rPr>
              <w:t>地</w:t>
            </w:r>
            <w:r>
              <w:rPr>
                <w:color w:val="000000" w:themeColor="text1"/>
                <w:sz w:val="24"/>
                <w:highlight w:val="none"/>
              </w:rPr>
              <w:t>降低对植被的影响。项目建成后，将对场区内进行绿化，能在一定程度上补偿对原有生态的影响，并能使项目与周围环境更加协调，起到美化环境的效果</w:t>
            </w:r>
            <w:r>
              <w:rPr>
                <w:rFonts w:hint="eastAsia"/>
                <w:color w:val="000000" w:themeColor="text1"/>
                <w:sz w:val="24"/>
                <w:highlight w:val="none"/>
              </w:rPr>
              <w:t>，工程建设对植被的环境影响是可以接受的</w:t>
            </w:r>
            <w:r>
              <w:rPr>
                <w:color w:val="000000" w:themeColor="text1"/>
                <w:sz w:val="24"/>
                <w:highlight w:val="none"/>
              </w:rPr>
              <w:t>。</w:t>
            </w:r>
          </w:p>
          <w:p w14:paraId="5F0AC706">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w:t>
            </w:r>
            <w:r>
              <w:rPr>
                <w:color w:val="000000" w:themeColor="text1"/>
                <w:sz w:val="24"/>
                <w:highlight w:val="none"/>
              </w:rPr>
              <w:t>3）对动物的影响</w:t>
            </w:r>
          </w:p>
          <w:p w14:paraId="725D4D8E">
            <w:pPr>
              <w:adjustRightInd w:val="0"/>
              <w:snapToGrid w:val="0"/>
              <w:spacing w:line="360" w:lineRule="auto"/>
              <w:ind w:firstLine="480" w:firstLineChars="200"/>
              <w:rPr>
                <w:color w:val="000000" w:themeColor="text1"/>
                <w:sz w:val="24"/>
                <w:highlight w:val="none"/>
              </w:rPr>
            </w:pPr>
            <w:r>
              <w:rPr>
                <w:color w:val="000000" w:themeColor="text1"/>
                <w:sz w:val="24"/>
                <w:highlight w:val="none"/>
              </w:rPr>
              <w:t>工程施工过程中，由于施工车辆噪声、人为活动干扰等因素，可能导致场地附近的动物产生回避行为，使其向外围迁移，工程场地范围内出现的频率会降低，但不会对野生动物的总体多样性产生影响。由于施工期较短，而场址相对整个地区来说范围又很小，项目区野生动物稀少，因此，施工期对周围环境的影响较小。</w:t>
            </w:r>
          </w:p>
          <w:p w14:paraId="03AFB8E1">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w:t>
            </w:r>
            <w:r>
              <w:rPr>
                <w:color w:val="000000" w:themeColor="text1"/>
                <w:sz w:val="24"/>
                <w:highlight w:val="none"/>
              </w:rPr>
              <w:t>4）对水土流失的影响</w:t>
            </w:r>
          </w:p>
          <w:p w14:paraId="35923D5E">
            <w:pPr>
              <w:spacing w:line="360" w:lineRule="auto"/>
              <w:ind w:firstLine="480" w:firstLineChars="200"/>
              <w:rPr>
                <w:color w:val="000000" w:themeColor="text1"/>
                <w:sz w:val="24"/>
                <w:highlight w:val="none"/>
              </w:rPr>
            </w:pPr>
            <w:r>
              <w:rPr>
                <w:color w:val="000000" w:themeColor="text1"/>
                <w:sz w:val="24"/>
                <w:highlight w:val="none"/>
              </w:rPr>
              <w:t>本项目水土流失主要为施工过程中由于施工扰动造成的水土流失，项目施工期间开挖和扰动地表，致使地表裸露、植被稀疏、土体松散，土壤抗蚀能力降低，在大风季节产生大量以风力侵蚀为主的水土流失，在雨季产生以水力侵蚀为主的水土流失。因此，本项目建设初期造成的水土流失会对</w:t>
            </w:r>
            <w:r>
              <w:rPr>
                <w:rFonts w:hint="eastAsia"/>
                <w:color w:val="000000" w:themeColor="text1"/>
                <w:sz w:val="24"/>
                <w:highlight w:val="none"/>
              </w:rPr>
              <w:t>项目区</w:t>
            </w:r>
            <w:r>
              <w:rPr>
                <w:color w:val="000000" w:themeColor="text1"/>
                <w:sz w:val="24"/>
                <w:highlight w:val="none"/>
              </w:rPr>
              <w:t>及周边产生一定的影响。</w:t>
            </w:r>
          </w:p>
          <w:p w14:paraId="6B6494BC">
            <w:pPr>
              <w:spacing w:line="360" w:lineRule="auto"/>
              <w:ind w:firstLine="472" w:firstLineChars="200"/>
              <w:rPr>
                <w:color w:val="000000" w:themeColor="text1"/>
                <w:sz w:val="24"/>
                <w:highlight w:val="none"/>
              </w:rPr>
            </w:pPr>
            <w:r>
              <w:rPr>
                <w:color w:val="000000" w:themeColor="text1"/>
                <w:spacing w:val="-2"/>
                <w:sz w:val="24"/>
                <w:highlight w:val="none"/>
              </w:rPr>
              <w:t>施工时应特别注意减少扰动面积，并采取临时措施对裸土的防护，</w:t>
            </w:r>
            <w:r>
              <w:rPr>
                <w:color w:val="000000" w:themeColor="text1"/>
                <w:sz w:val="24"/>
                <w:highlight w:val="none"/>
              </w:rPr>
              <w:t>合理选择施工季节，避免在大风多雨季节进行施工，</w:t>
            </w:r>
            <w:r>
              <w:rPr>
                <w:color w:val="000000" w:themeColor="text1"/>
                <w:spacing w:val="-2"/>
                <w:sz w:val="24"/>
                <w:highlight w:val="none"/>
              </w:rPr>
              <w:t>减少水土流失的产生</w:t>
            </w:r>
            <w:r>
              <w:rPr>
                <w:color w:val="000000" w:themeColor="text1"/>
                <w:sz w:val="24"/>
                <w:highlight w:val="none"/>
              </w:rPr>
              <w:t>。</w:t>
            </w:r>
          </w:p>
          <w:p w14:paraId="12F97FB9">
            <w:pPr>
              <w:spacing w:line="360" w:lineRule="auto"/>
              <w:ind w:firstLine="482" w:firstLineChars="200"/>
              <w:rPr>
                <w:b/>
                <w:bCs/>
                <w:color w:val="000000" w:themeColor="text1"/>
                <w:sz w:val="24"/>
                <w:highlight w:val="none"/>
              </w:rPr>
            </w:pPr>
            <w:r>
              <w:rPr>
                <w:b/>
                <w:bCs/>
                <w:color w:val="000000" w:themeColor="text1"/>
                <w:sz w:val="24"/>
                <w:highlight w:val="none"/>
              </w:rPr>
              <w:t>二、大气环境影响分析</w:t>
            </w:r>
          </w:p>
          <w:p w14:paraId="42AC28AE">
            <w:pPr>
              <w:adjustRightInd w:val="0"/>
              <w:snapToGrid w:val="0"/>
              <w:spacing w:line="360" w:lineRule="auto"/>
              <w:ind w:firstLine="480" w:firstLineChars="200"/>
              <w:rPr>
                <w:color w:val="000000" w:themeColor="text1"/>
                <w:sz w:val="24"/>
                <w:highlight w:val="none"/>
              </w:rPr>
            </w:pPr>
            <w:r>
              <w:rPr>
                <w:color w:val="000000" w:themeColor="text1"/>
                <w:sz w:val="24"/>
                <w:highlight w:val="none"/>
              </w:rPr>
              <w:t>本项目施工废气包括施工扬尘、施工机械与运输车辆尾气等。</w:t>
            </w:r>
          </w:p>
          <w:p w14:paraId="4A88E403">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w:t>
            </w:r>
            <w:r>
              <w:rPr>
                <w:color w:val="000000" w:themeColor="text1"/>
                <w:sz w:val="24"/>
                <w:highlight w:val="none"/>
              </w:rPr>
              <w:t>1）施工扬尘</w:t>
            </w:r>
          </w:p>
          <w:p w14:paraId="317EBDC1">
            <w:pPr>
              <w:adjustRightInd w:val="0"/>
              <w:snapToGrid w:val="0"/>
              <w:spacing w:line="360" w:lineRule="auto"/>
              <w:ind w:firstLine="480" w:firstLineChars="200"/>
              <w:rPr>
                <w:color w:val="000000" w:themeColor="text1"/>
                <w:sz w:val="24"/>
                <w:highlight w:val="none"/>
              </w:rPr>
            </w:pPr>
            <w:r>
              <w:rPr>
                <w:color w:val="000000" w:themeColor="text1"/>
                <w:sz w:val="24"/>
                <w:highlight w:val="none"/>
              </w:rPr>
              <w:t>施工扬尘主要来自：①土石方扬尘；②材料堆放等产生的扬尘；③运输道路扬尘。施工废气污染物影响距离</w:t>
            </w:r>
            <w:r>
              <w:rPr>
                <w:rFonts w:hint="eastAsia"/>
                <w:color w:val="000000" w:themeColor="text1"/>
                <w:sz w:val="24"/>
                <w:highlight w:val="none"/>
              </w:rPr>
              <w:t>一般</w:t>
            </w:r>
            <w:r>
              <w:rPr>
                <w:color w:val="000000" w:themeColor="text1"/>
                <w:sz w:val="24"/>
                <w:highlight w:val="none"/>
              </w:rPr>
              <w:t>为施工场所下风向100m左右</w:t>
            </w:r>
            <w:r>
              <w:rPr>
                <w:rFonts w:hint="eastAsia"/>
                <w:color w:val="000000" w:themeColor="text1"/>
                <w:sz w:val="24"/>
                <w:highlight w:val="none"/>
              </w:rPr>
              <w:t>，本项目周边500m范围内无居民分布</w:t>
            </w:r>
            <w:r>
              <w:rPr>
                <w:color w:val="000000" w:themeColor="text1"/>
                <w:sz w:val="24"/>
                <w:highlight w:val="none"/>
              </w:rPr>
              <w:t>。本环评要求施工单位做好抑尘工作确保不会</w:t>
            </w:r>
            <w:r>
              <w:rPr>
                <w:rFonts w:hint="eastAsia"/>
                <w:color w:val="000000" w:themeColor="text1"/>
                <w:sz w:val="24"/>
                <w:highlight w:val="none"/>
              </w:rPr>
              <w:t>对</w:t>
            </w:r>
            <w:r>
              <w:rPr>
                <w:color w:val="000000" w:themeColor="text1"/>
                <w:sz w:val="24"/>
                <w:highlight w:val="none"/>
              </w:rPr>
              <w:t>周围居民造成影响。总之，施工期的影响是局部的、短期的，随着工程施工结束而消失，对敏感点的大气环境影响较小。</w:t>
            </w:r>
          </w:p>
          <w:p w14:paraId="134CF4F4">
            <w:pPr>
              <w:adjustRightInd w:val="0"/>
              <w:snapToGrid w:val="0"/>
              <w:spacing w:line="360" w:lineRule="auto"/>
              <w:ind w:firstLine="480" w:firstLineChars="200"/>
              <w:rPr>
                <w:color w:val="000000" w:themeColor="text1"/>
                <w:sz w:val="24"/>
                <w:highlight w:val="none"/>
              </w:rPr>
            </w:pPr>
            <w:r>
              <w:rPr>
                <w:color w:val="000000" w:themeColor="text1"/>
                <w:sz w:val="24"/>
                <w:highlight w:val="none"/>
              </w:rPr>
              <w:t>①土石方扬尘</w:t>
            </w:r>
          </w:p>
          <w:p w14:paraId="6860880F">
            <w:pPr>
              <w:adjustRightInd w:val="0"/>
              <w:snapToGrid w:val="0"/>
              <w:spacing w:line="360" w:lineRule="auto"/>
              <w:ind w:firstLine="480" w:firstLineChars="200"/>
              <w:rPr>
                <w:color w:val="000000" w:themeColor="text1"/>
                <w:sz w:val="24"/>
                <w:highlight w:val="none"/>
              </w:rPr>
            </w:pPr>
            <w:r>
              <w:rPr>
                <w:color w:val="000000" w:themeColor="text1"/>
                <w:sz w:val="24"/>
                <w:highlight w:val="none"/>
              </w:rPr>
              <w:t>项目施工期间建筑基础开挖、填垫整地、临建工程修建等过程会形成裸露地面，会产生扬尘，扬尘量大小与施工现场条件、施工管理水平、机械化程度高低及施工季节、时间长短，以及土质结构、天气条件等诸多因素关系密切。</w:t>
            </w:r>
          </w:p>
          <w:p w14:paraId="6A98A1F2">
            <w:pPr>
              <w:adjustRightInd w:val="0"/>
              <w:snapToGrid w:val="0"/>
              <w:spacing w:line="360" w:lineRule="auto"/>
              <w:ind w:firstLine="480" w:firstLineChars="200"/>
              <w:rPr>
                <w:color w:val="000000" w:themeColor="text1"/>
                <w:sz w:val="24"/>
                <w:highlight w:val="none"/>
              </w:rPr>
            </w:pPr>
            <w:r>
              <w:rPr>
                <w:color w:val="000000" w:themeColor="text1"/>
                <w:sz w:val="24"/>
                <w:highlight w:val="none"/>
              </w:rPr>
              <w:t xml:space="preserve">②施工材料堆放等产生的扬尘 </w:t>
            </w:r>
          </w:p>
          <w:p w14:paraId="30A94FC2">
            <w:pPr>
              <w:adjustRightInd w:val="0"/>
              <w:snapToGrid w:val="0"/>
              <w:spacing w:line="360" w:lineRule="auto"/>
              <w:ind w:firstLine="480" w:firstLineChars="200"/>
              <w:rPr>
                <w:color w:val="000000" w:themeColor="text1"/>
                <w:sz w:val="24"/>
                <w:highlight w:val="none"/>
              </w:rPr>
            </w:pPr>
            <w:r>
              <w:rPr>
                <w:color w:val="000000" w:themeColor="text1"/>
                <w:sz w:val="24"/>
                <w:highlight w:val="none"/>
              </w:rPr>
              <w:t>施工场地建筑物料堆放也是造成扬尘污染</w:t>
            </w:r>
            <w:r>
              <w:rPr>
                <w:rFonts w:hint="eastAsia"/>
                <w:color w:val="000000" w:themeColor="text1"/>
                <w:sz w:val="24"/>
                <w:highlight w:val="none"/>
              </w:rPr>
              <w:t>的</w:t>
            </w:r>
            <w:r>
              <w:rPr>
                <w:color w:val="000000" w:themeColor="text1"/>
                <w:sz w:val="24"/>
                <w:highlight w:val="none"/>
              </w:rPr>
              <w:t>主要原因之一。施工中若环境保护措施不够完善，进行粗放式施工，易产生建筑尘。起尘风速与粒径和含水率有关，减少露天堆放和保证一定的含水率可有效减少施工物料扬尘的影响。</w:t>
            </w:r>
          </w:p>
          <w:p w14:paraId="662FC2A3">
            <w:pPr>
              <w:spacing w:line="360" w:lineRule="auto"/>
              <w:ind w:firstLine="480" w:firstLineChars="200"/>
              <w:rPr>
                <w:color w:val="000000" w:themeColor="text1"/>
                <w:sz w:val="24"/>
                <w:highlight w:val="none"/>
              </w:rPr>
            </w:pPr>
            <w:r>
              <w:rPr>
                <w:color w:val="000000" w:themeColor="text1"/>
                <w:sz w:val="24"/>
                <w:highlight w:val="none"/>
              </w:rPr>
              <w:t>本项目建筑材料的搬运、物料堆放容易产生扬尘。在气候干燥且有风的情况下，会产生大量的扬尘，扬尘量可按堆场扬尘的经验公式计算：</w:t>
            </w:r>
          </w:p>
          <w:p w14:paraId="682F4B50">
            <w:pPr>
              <w:spacing w:line="360" w:lineRule="auto"/>
              <w:ind w:firstLine="1680" w:firstLineChars="800"/>
              <w:rPr>
                <w:iCs/>
                <w:color w:val="000000" w:themeColor="text1"/>
                <w:highlight w:val="none"/>
                <w:vertAlign w:val="superscript"/>
              </w:rPr>
            </w:pPr>
            <w:r>
              <w:rPr>
                <w:iCs/>
                <w:color w:val="000000" w:themeColor="text1"/>
                <w:highlight w:val="none"/>
              </w:rPr>
              <w:t>Q=2.1</w:t>
            </w:r>
            <w:r>
              <w:rPr>
                <w:rFonts w:hint="eastAsia"/>
                <w:iCs/>
                <w:color w:val="000000" w:themeColor="text1"/>
                <w:highlight w:val="none"/>
              </w:rPr>
              <w:t>（</w:t>
            </w:r>
            <w:r>
              <w:rPr>
                <w:iCs/>
                <w:color w:val="000000" w:themeColor="text1"/>
                <w:highlight w:val="none"/>
              </w:rPr>
              <w:t>V</w:t>
            </w:r>
            <w:r>
              <w:rPr>
                <w:iCs/>
                <w:color w:val="000000" w:themeColor="text1"/>
                <w:highlight w:val="none"/>
                <w:vertAlign w:val="subscript"/>
              </w:rPr>
              <w:t>50</w:t>
            </w:r>
            <w:r>
              <w:rPr>
                <w:rFonts w:hint="eastAsia"/>
                <w:iCs/>
                <w:color w:val="000000" w:themeColor="text1"/>
                <w:highlight w:val="none"/>
              </w:rPr>
              <w:t>-</w:t>
            </w:r>
            <w:r>
              <w:rPr>
                <w:iCs/>
                <w:color w:val="000000" w:themeColor="text1"/>
                <w:highlight w:val="none"/>
              </w:rPr>
              <w:t>V</w:t>
            </w:r>
            <w:r>
              <w:rPr>
                <w:iCs/>
                <w:color w:val="000000" w:themeColor="text1"/>
                <w:highlight w:val="none"/>
                <w:vertAlign w:val="subscript"/>
              </w:rPr>
              <w:t>0</w:t>
            </w:r>
            <w:r>
              <w:rPr>
                <w:iCs/>
                <w:color w:val="000000" w:themeColor="text1"/>
                <w:highlight w:val="none"/>
              </w:rPr>
              <w:t>）3e</w:t>
            </w:r>
            <w:r>
              <w:rPr>
                <w:rFonts w:hint="eastAsia"/>
                <w:iCs/>
                <w:color w:val="000000" w:themeColor="text1"/>
                <w:highlight w:val="none"/>
                <w:vertAlign w:val="superscript"/>
              </w:rPr>
              <w:t>-</w:t>
            </w:r>
            <w:r>
              <w:rPr>
                <w:iCs/>
                <w:color w:val="000000" w:themeColor="text1"/>
                <w:highlight w:val="none"/>
                <w:vertAlign w:val="superscript"/>
              </w:rPr>
              <w:t>1.023W</w:t>
            </w:r>
          </w:p>
          <w:p w14:paraId="1F0B1282">
            <w:pPr>
              <w:spacing w:line="360" w:lineRule="auto"/>
              <w:ind w:firstLine="480" w:firstLineChars="200"/>
              <w:rPr>
                <w:color w:val="000000" w:themeColor="text1"/>
                <w:sz w:val="24"/>
                <w:highlight w:val="none"/>
              </w:rPr>
            </w:pPr>
            <w:r>
              <w:rPr>
                <w:color w:val="000000" w:themeColor="text1"/>
                <w:sz w:val="24"/>
                <w:highlight w:val="none"/>
              </w:rPr>
              <w:t>式中：Q</w:t>
            </w:r>
            <w:r>
              <w:rPr>
                <w:rFonts w:hint="eastAsia"/>
                <w:color w:val="000000" w:themeColor="text1"/>
                <w:sz w:val="24"/>
                <w:highlight w:val="none"/>
              </w:rPr>
              <w:t>--</w:t>
            </w:r>
            <w:r>
              <w:rPr>
                <w:color w:val="000000" w:themeColor="text1"/>
                <w:sz w:val="24"/>
                <w:highlight w:val="none"/>
              </w:rPr>
              <w:t>起尘量，kg/t·a；</w:t>
            </w:r>
          </w:p>
          <w:p w14:paraId="59CACD69">
            <w:pPr>
              <w:spacing w:line="360" w:lineRule="auto"/>
              <w:ind w:firstLine="1200" w:firstLineChars="500"/>
              <w:rPr>
                <w:color w:val="000000" w:themeColor="text1"/>
                <w:sz w:val="24"/>
                <w:highlight w:val="none"/>
              </w:rPr>
            </w:pPr>
            <w:r>
              <w:rPr>
                <w:color w:val="000000" w:themeColor="text1"/>
                <w:sz w:val="24"/>
                <w:highlight w:val="none"/>
              </w:rPr>
              <w:t>Vso</w:t>
            </w:r>
            <w:r>
              <w:rPr>
                <w:rFonts w:hint="eastAsia"/>
                <w:color w:val="000000" w:themeColor="text1"/>
                <w:sz w:val="24"/>
                <w:highlight w:val="none"/>
              </w:rPr>
              <w:t>--</w:t>
            </w:r>
            <w:r>
              <w:rPr>
                <w:color w:val="000000" w:themeColor="text1"/>
                <w:sz w:val="24"/>
                <w:highlight w:val="none"/>
              </w:rPr>
              <w:t>距地面50m处风速，m/s；</w:t>
            </w:r>
          </w:p>
          <w:p w14:paraId="78C0D682">
            <w:pPr>
              <w:spacing w:line="360" w:lineRule="auto"/>
              <w:ind w:firstLine="1200" w:firstLineChars="500"/>
              <w:rPr>
                <w:color w:val="000000" w:themeColor="text1"/>
                <w:sz w:val="24"/>
                <w:highlight w:val="none"/>
              </w:rPr>
            </w:pPr>
            <w:r>
              <w:rPr>
                <w:color w:val="000000" w:themeColor="text1"/>
                <w:sz w:val="24"/>
                <w:highlight w:val="none"/>
              </w:rPr>
              <w:t>Vo</w:t>
            </w:r>
            <w:r>
              <w:rPr>
                <w:rFonts w:hint="eastAsia"/>
                <w:color w:val="000000" w:themeColor="text1"/>
                <w:sz w:val="24"/>
                <w:highlight w:val="none"/>
              </w:rPr>
              <w:t>--</w:t>
            </w:r>
            <w:r>
              <w:rPr>
                <w:color w:val="000000" w:themeColor="text1"/>
                <w:sz w:val="24"/>
                <w:highlight w:val="none"/>
              </w:rPr>
              <w:t>起尘风速，m/s；</w:t>
            </w:r>
          </w:p>
          <w:p w14:paraId="3C2B1C49">
            <w:pPr>
              <w:spacing w:line="360" w:lineRule="auto"/>
              <w:ind w:firstLine="1200" w:firstLineChars="500"/>
              <w:rPr>
                <w:color w:val="000000" w:themeColor="text1"/>
                <w:sz w:val="24"/>
                <w:highlight w:val="none"/>
              </w:rPr>
            </w:pPr>
            <w:r>
              <w:rPr>
                <w:color w:val="000000" w:themeColor="text1"/>
                <w:sz w:val="24"/>
                <w:highlight w:val="none"/>
              </w:rPr>
              <w:t>W</w:t>
            </w:r>
            <w:r>
              <w:rPr>
                <w:rFonts w:hint="eastAsia"/>
                <w:color w:val="000000" w:themeColor="text1"/>
                <w:sz w:val="24"/>
                <w:highlight w:val="none"/>
              </w:rPr>
              <w:t>--</w:t>
            </w:r>
            <w:r>
              <w:rPr>
                <w:color w:val="000000" w:themeColor="text1"/>
                <w:sz w:val="24"/>
                <w:highlight w:val="none"/>
              </w:rPr>
              <w:t>尘粒的含水量，%。</w:t>
            </w:r>
          </w:p>
          <w:p w14:paraId="1CFC7D8A">
            <w:pPr>
              <w:spacing w:line="360" w:lineRule="auto"/>
              <w:ind w:firstLine="480" w:firstLineChars="200"/>
              <w:rPr>
                <w:color w:val="000000" w:themeColor="text1"/>
                <w:sz w:val="24"/>
                <w:highlight w:val="none"/>
              </w:rPr>
            </w:pPr>
            <w:r>
              <w:rPr>
                <w:color w:val="000000" w:themeColor="text1"/>
                <w:sz w:val="24"/>
                <w:highlight w:val="none"/>
              </w:rPr>
              <w:t>起尘风速与尘粒和含水量有关，因此，减少露天堆放、保证一定的含水量以及减少裸露地面是减少风力起尘的有效手段。扬尘在空气</w:t>
            </w:r>
            <w:r>
              <w:rPr>
                <w:rFonts w:hint="eastAsia"/>
                <w:color w:val="000000" w:themeColor="text1"/>
                <w:sz w:val="24"/>
                <w:highlight w:val="none"/>
              </w:rPr>
              <w:t>中</w:t>
            </w:r>
            <w:r>
              <w:rPr>
                <w:color w:val="000000" w:themeColor="text1"/>
                <w:sz w:val="24"/>
                <w:highlight w:val="none"/>
              </w:rPr>
              <w:t>的扩散</w:t>
            </w:r>
            <w:r>
              <w:rPr>
                <w:rFonts w:hint="eastAsia"/>
                <w:color w:val="000000" w:themeColor="text1"/>
                <w:sz w:val="24"/>
                <w:highlight w:val="none"/>
              </w:rPr>
              <w:t>和</w:t>
            </w:r>
            <w:r>
              <w:rPr>
                <w:color w:val="000000" w:themeColor="text1"/>
                <w:sz w:val="24"/>
                <w:highlight w:val="none"/>
              </w:rPr>
              <w:t>稀释与风速等气象条件有关，也与扬尘本身的沉降速度有关。不同尘粒的沉降速度见表</w:t>
            </w:r>
            <w:r>
              <w:rPr>
                <w:rFonts w:hint="eastAsia"/>
                <w:color w:val="000000" w:themeColor="text1"/>
                <w:sz w:val="24"/>
                <w:highlight w:val="none"/>
              </w:rPr>
              <w:t>4-1</w:t>
            </w:r>
            <w:r>
              <w:rPr>
                <w:color w:val="000000" w:themeColor="text1"/>
                <w:sz w:val="24"/>
                <w:highlight w:val="none"/>
              </w:rPr>
              <w:t>。</w:t>
            </w:r>
          </w:p>
          <w:p w14:paraId="3640A1E0">
            <w:pPr>
              <w:jc w:val="center"/>
              <w:rPr>
                <w:color w:val="000000" w:themeColor="text1"/>
                <w:sz w:val="24"/>
                <w:highlight w:val="none"/>
              </w:rPr>
            </w:pPr>
            <w:r>
              <w:rPr>
                <w:color w:val="000000" w:themeColor="text1"/>
                <w:sz w:val="24"/>
                <w:highlight w:val="none"/>
              </w:rPr>
              <w:t>表4</w:t>
            </w:r>
            <w:r>
              <w:rPr>
                <w:rFonts w:hint="eastAsia"/>
                <w:color w:val="000000" w:themeColor="text1"/>
                <w:sz w:val="24"/>
                <w:highlight w:val="none"/>
              </w:rPr>
              <w:t>-</w:t>
            </w:r>
            <w:r>
              <w:rPr>
                <w:color w:val="000000" w:themeColor="text1"/>
                <w:sz w:val="24"/>
                <w:highlight w:val="none"/>
              </w:rPr>
              <w:t>1不同粒径的沉降速度</w:t>
            </w:r>
          </w:p>
          <w:tbl>
            <w:tblPr>
              <w:tblStyle w:val="2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658"/>
              <w:gridCol w:w="1009"/>
              <w:gridCol w:w="886"/>
              <w:gridCol w:w="896"/>
              <w:gridCol w:w="1047"/>
              <w:gridCol w:w="934"/>
              <w:gridCol w:w="886"/>
              <w:gridCol w:w="720"/>
            </w:tblGrid>
            <w:tr w14:paraId="016081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58" w:type="dxa"/>
                  <w:tcBorders>
                    <w:tl2br w:val="nil"/>
                    <w:tr2bl w:val="nil"/>
                  </w:tcBorders>
                  <w:vAlign w:val="center"/>
                </w:tcPr>
                <w:p w14:paraId="0E22751C">
                  <w:pPr>
                    <w:rPr>
                      <w:color w:val="000000" w:themeColor="text1"/>
                      <w:szCs w:val="21"/>
                      <w:highlight w:val="none"/>
                    </w:rPr>
                  </w:pPr>
                  <w:r>
                    <w:rPr>
                      <w:color w:val="000000" w:themeColor="text1"/>
                      <w:szCs w:val="21"/>
                      <w:highlight w:val="none"/>
                    </w:rPr>
                    <w:t>粒径</w:t>
                  </w:r>
                  <w:r>
                    <w:rPr>
                      <w:rFonts w:hint="eastAsia"/>
                      <w:color w:val="000000" w:themeColor="text1"/>
                      <w:szCs w:val="21"/>
                      <w:highlight w:val="none"/>
                    </w:rPr>
                    <w:t>（</w:t>
                  </w:r>
                  <w:r>
                    <w:rPr>
                      <w:color w:val="000000" w:themeColor="text1"/>
                      <w:szCs w:val="21"/>
                      <w:highlight w:val="none"/>
                    </w:rPr>
                    <w:t>μm）</w:t>
                  </w:r>
                </w:p>
              </w:tc>
              <w:tc>
                <w:tcPr>
                  <w:tcW w:w="1009" w:type="dxa"/>
                  <w:tcBorders>
                    <w:tl2br w:val="nil"/>
                    <w:tr2bl w:val="nil"/>
                  </w:tcBorders>
                  <w:vAlign w:val="center"/>
                </w:tcPr>
                <w:p w14:paraId="70DCD0E5">
                  <w:pPr>
                    <w:jc w:val="center"/>
                    <w:rPr>
                      <w:color w:val="000000" w:themeColor="text1"/>
                      <w:szCs w:val="21"/>
                      <w:highlight w:val="none"/>
                    </w:rPr>
                  </w:pPr>
                  <w:r>
                    <w:rPr>
                      <w:color w:val="000000" w:themeColor="text1"/>
                      <w:szCs w:val="21"/>
                      <w:highlight w:val="none"/>
                    </w:rPr>
                    <w:t>10</w:t>
                  </w:r>
                </w:p>
              </w:tc>
              <w:tc>
                <w:tcPr>
                  <w:tcW w:w="886" w:type="dxa"/>
                  <w:tcBorders>
                    <w:tl2br w:val="nil"/>
                    <w:tr2bl w:val="nil"/>
                  </w:tcBorders>
                  <w:vAlign w:val="center"/>
                </w:tcPr>
                <w:p w14:paraId="3DF39346">
                  <w:pPr>
                    <w:jc w:val="center"/>
                    <w:rPr>
                      <w:color w:val="000000" w:themeColor="text1"/>
                      <w:szCs w:val="21"/>
                      <w:highlight w:val="none"/>
                    </w:rPr>
                  </w:pPr>
                  <w:r>
                    <w:rPr>
                      <w:color w:val="000000" w:themeColor="text1"/>
                      <w:szCs w:val="21"/>
                      <w:highlight w:val="none"/>
                    </w:rPr>
                    <w:t>20</w:t>
                  </w:r>
                </w:p>
              </w:tc>
              <w:tc>
                <w:tcPr>
                  <w:tcW w:w="896" w:type="dxa"/>
                  <w:tcBorders>
                    <w:tl2br w:val="nil"/>
                    <w:tr2bl w:val="nil"/>
                  </w:tcBorders>
                  <w:vAlign w:val="center"/>
                </w:tcPr>
                <w:p w14:paraId="1C776BE8">
                  <w:pPr>
                    <w:jc w:val="center"/>
                    <w:rPr>
                      <w:color w:val="000000" w:themeColor="text1"/>
                      <w:szCs w:val="21"/>
                      <w:highlight w:val="none"/>
                    </w:rPr>
                  </w:pPr>
                  <w:r>
                    <w:rPr>
                      <w:color w:val="000000" w:themeColor="text1"/>
                      <w:szCs w:val="21"/>
                      <w:highlight w:val="none"/>
                    </w:rPr>
                    <w:t>30</w:t>
                  </w:r>
                </w:p>
              </w:tc>
              <w:tc>
                <w:tcPr>
                  <w:tcW w:w="1047" w:type="dxa"/>
                  <w:tcBorders>
                    <w:tl2br w:val="nil"/>
                    <w:tr2bl w:val="nil"/>
                  </w:tcBorders>
                  <w:vAlign w:val="center"/>
                </w:tcPr>
                <w:p w14:paraId="1B25432C">
                  <w:pPr>
                    <w:jc w:val="center"/>
                    <w:rPr>
                      <w:color w:val="000000" w:themeColor="text1"/>
                      <w:szCs w:val="21"/>
                      <w:highlight w:val="none"/>
                    </w:rPr>
                  </w:pPr>
                  <w:r>
                    <w:rPr>
                      <w:color w:val="000000" w:themeColor="text1"/>
                      <w:szCs w:val="21"/>
                      <w:highlight w:val="none"/>
                    </w:rPr>
                    <w:t>40</w:t>
                  </w:r>
                </w:p>
              </w:tc>
              <w:tc>
                <w:tcPr>
                  <w:tcW w:w="934" w:type="dxa"/>
                  <w:tcBorders>
                    <w:tl2br w:val="nil"/>
                    <w:tr2bl w:val="nil"/>
                  </w:tcBorders>
                  <w:vAlign w:val="center"/>
                </w:tcPr>
                <w:p w14:paraId="6F06716A">
                  <w:pPr>
                    <w:jc w:val="center"/>
                    <w:rPr>
                      <w:color w:val="000000" w:themeColor="text1"/>
                      <w:szCs w:val="21"/>
                      <w:highlight w:val="none"/>
                    </w:rPr>
                  </w:pPr>
                  <w:r>
                    <w:rPr>
                      <w:color w:val="000000" w:themeColor="text1"/>
                      <w:szCs w:val="21"/>
                      <w:highlight w:val="none"/>
                    </w:rPr>
                    <w:t>50</w:t>
                  </w:r>
                </w:p>
              </w:tc>
              <w:tc>
                <w:tcPr>
                  <w:tcW w:w="886" w:type="dxa"/>
                  <w:tcBorders>
                    <w:tl2br w:val="nil"/>
                    <w:tr2bl w:val="nil"/>
                  </w:tcBorders>
                  <w:vAlign w:val="center"/>
                </w:tcPr>
                <w:p w14:paraId="76B3FD49">
                  <w:pPr>
                    <w:jc w:val="center"/>
                    <w:rPr>
                      <w:color w:val="000000" w:themeColor="text1"/>
                      <w:szCs w:val="21"/>
                      <w:highlight w:val="none"/>
                    </w:rPr>
                  </w:pPr>
                  <w:r>
                    <w:rPr>
                      <w:color w:val="000000" w:themeColor="text1"/>
                      <w:szCs w:val="21"/>
                      <w:highlight w:val="none"/>
                    </w:rPr>
                    <w:t>60</w:t>
                  </w:r>
                </w:p>
              </w:tc>
              <w:tc>
                <w:tcPr>
                  <w:tcW w:w="720" w:type="dxa"/>
                  <w:tcBorders>
                    <w:tl2br w:val="nil"/>
                    <w:tr2bl w:val="nil"/>
                  </w:tcBorders>
                  <w:vAlign w:val="center"/>
                </w:tcPr>
                <w:p w14:paraId="7EDFE564">
                  <w:pPr>
                    <w:jc w:val="center"/>
                    <w:rPr>
                      <w:color w:val="000000" w:themeColor="text1"/>
                      <w:szCs w:val="21"/>
                      <w:highlight w:val="none"/>
                    </w:rPr>
                  </w:pPr>
                  <w:r>
                    <w:rPr>
                      <w:color w:val="000000" w:themeColor="text1"/>
                      <w:szCs w:val="21"/>
                      <w:highlight w:val="none"/>
                    </w:rPr>
                    <w:t>70</w:t>
                  </w:r>
                </w:p>
              </w:tc>
            </w:tr>
            <w:tr w14:paraId="19C707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58" w:type="dxa"/>
                  <w:tcBorders>
                    <w:tl2br w:val="nil"/>
                    <w:tr2bl w:val="nil"/>
                  </w:tcBorders>
                  <w:vAlign w:val="center"/>
                </w:tcPr>
                <w:p w14:paraId="08071EF3">
                  <w:pPr>
                    <w:rPr>
                      <w:color w:val="000000" w:themeColor="text1"/>
                      <w:szCs w:val="21"/>
                      <w:highlight w:val="none"/>
                    </w:rPr>
                  </w:pPr>
                  <w:r>
                    <w:rPr>
                      <w:color w:val="000000" w:themeColor="text1"/>
                      <w:szCs w:val="21"/>
                      <w:highlight w:val="none"/>
                    </w:rPr>
                    <w:t>沉降速度</w:t>
                  </w:r>
                  <w:r>
                    <w:rPr>
                      <w:rFonts w:hint="eastAsia"/>
                      <w:color w:val="000000" w:themeColor="text1"/>
                      <w:szCs w:val="21"/>
                      <w:highlight w:val="none"/>
                    </w:rPr>
                    <w:t>（</w:t>
                  </w:r>
                  <w:r>
                    <w:rPr>
                      <w:color w:val="000000" w:themeColor="text1"/>
                      <w:szCs w:val="21"/>
                      <w:highlight w:val="none"/>
                    </w:rPr>
                    <w:t>m/s）</w:t>
                  </w:r>
                </w:p>
              </w:tc>
              <w:tc>
                <w:tcPr>
                  <w:tcW w:w="1009" w:type="dxa"/>
                  <w:tcBorders>
                    <w:tl2br w:val="nil"/>
                    <w:tr2bl w:val="nil"/>
                  </w:tcBorders>
                  <w:vAlign w:val="center"/>
                </w:tcPr>
                <w:p w14:paraId="30E31C35">
                  <w:pPr>
                    <w:jc w:val="center"/>
                    <w:rPr>
                      <w:color w:val="000000" w:themeColor="text1"/>
                      <w:szCs w:val="21"/>
                      <w:highlight w:val="none"/>
                    </w:rPr>
                  </w:pPr>
                  <w:r>
                    <w:rPr>
                      <w:color w:val="000000" w:themeColor="text1"/>
                      <w:szCs w:val="21"/>
                      <w:highlight w:val="none"/>
                    </w:rPr>
                    <w:t>0.003</w:t>
                  </w:r>
                </w:p>
              </w:tc>
              <w:tc>
                <w:tcPr>
                  <w:tcW w:w="886" w:type="dxa"/>
                  <w:tcBorders>
                    <w:tl2br w:val="nil"/>
                    <w:tr2bl w:val="nil"/>
                  </w:tcBorders>
                  <w:vAlign w:val="center"/>
                </w:tcPr>
                <w:p w14:paraId="0F0EAF20">
                  <w:pPr>
                    <w:jc w:val="center"/>
                    <w:rPr>
                      <w:color w:val="000000" w:themeColor="text1"/>
                      <w:szCs w:val="21"/>
                      <w:highlight w:val="none"/>
                    </w:rPr>
                  </w:pPr>
                  <w:r>
                    <w:rPr>
                      <w:color w:val="000000" w:themeColor="text1"/>
                      <w:szCs w:val="21"/>
                      <w:highlight w:val="none"/>
                    </w:rPr>
                    <w:t>0.012</w:t>
                  </w:r>
                </w:p>
              </w:tc>
              <w:tc>
                <w:tcPr>
                  <w:tcW w:w="896" w:type="dxa"/>
                  <w:tcBorders>
                    <w:tl2br w:val="nil"/>
                    <w:tr2bl w:val="nil"/>
                  </w:tcBorders>
                  <w:vAlign w:val="center"/>
                </w:tcPr>
                <w:p w14:paraId="40C70E06">
                  <w:pPr>
                    <w:jc w:val="center"/>
                    <w:rPr>
                      <w:color w:val="000000" w:themeColor="text1"/>
                      <w:szCs w:val="21"/>
                      <w:highlight w:val="none"/>
                    </w:rPr>
                  </w:pPr>
                  <w:r>
                    <w:rPr>
                      <w:color w:val="000000" w:themeColor="text1"/>
                      <w:szCs w:val="21"/>
                      <w:highlight w:val="none"/>
                    </w:rPr>
                    <w:t>0.027</w:t>
                  </w:r>
                </w:p>
              </w:tc>
              <w:tc>
                <w:tcPr>
                  <w:tcW w:w="1047" w:type="dxa"/>
                  <w:tcBorders>
                    <w:tl2br w:val="nil"/>
                    <w:tr2bl w:val="nil"/>
                  </w:tcBorders>
                  <w:vAlign w:val="center"/>
                </w:tcPr>
                <w:p w14:paraId="4F5CC975">
                  <w:pPr>
                    <w:jc w:val="center"/>
                    <w:rPr>
                      <w:color w:val="000000" w:themeColor="text1"/>
                      <w:szCs w:val="21"/>
                      <w:highlight w:val="none"/>
                    </w:rPr>
                  </w:pPr>
                  <w:r>
                    <w:rPr>
                      <w:color w:val="000000" w:themeColor="text1"/>
                      <w:szCs w:val="21"/>
                      <w:highlight w:val="none"/>
                    </w:rPr>
                    <w:t>0.048</w:t>
                  </w:r>
                </w:p>
              </w:tc>
              <w:tc>
                <w:tcPr>
                  <w:tcW w:w="934" w:type="dxa"/>
                  <w:tcBorders>
                    <w:tl2br w:val="nil"/>
                    <w:tr2bl w:val="nil"/>
                  </w:tcBorders>
                  <w:vAlign w:val="center"/>
                </w:tcPr>
                <w:p w14:paraId="725EE788">
                  <w:pPr>
                    <w:jc w:val="center"/>
                    <w:rPr>
                      <w:color w:val="000000" w:themeColor="text1"/>
                      <w:szCs w:val="21"/>
                      <w:highlight w:val="none"/>
                    </w:rPr>
                  </w:pPr>
                  <w:r>
                    <w:rPr>
                      <w:color w:val="000000" w:themeColor="text1"/>
                      <w:szCs w:val="21"/>
                      <w:highlight w:val="none"/>
                    </w:rPr>
                    <w:t>0.07</w:t>
                  </w:r>
                </w:p>
              </w:tc>
              <w:tc>
                <w:tcPr>
                  <w:tcW w:w="886" w:type="dxa"/>
                  <w:tcBorders>
                    <w:tl2br w:val="nil"/>
                    <w:tr2bl w:val="nil"/>
                  </w:tcBorders>
                  <w:vAlign w:val="center"/>
                </w:tcPr>
                <w:p w14:paraId="0D486D60">
                  <w:pPr>
                    <w:jc w:val="center"/>
                    <w:rPr>
                      <w:color w:val="000000" w:themeColor="text1"/>
                      <w:szCs w:val="21"/>
                      <w:highlight w:val="none"/>
                    </w:rPr>
                  </w:pPr>
                  <w:r>
                    <w:rPr>
                      <w:color w:val="000000" w:themeColor="text1"/>
                      <w:szCs w:val="21"/>
                      <w:highlight w:val="none"/>
                    </w:rPr>
                    <w:t>0.108</w:t>
                  </w:r>
                </w:p>
              </w:tc>
              <w:tc>
                <w:tcPr>
                  <w:tcW w:w="720" w:type="dxa"/>
                  <w:tcBorders>
                    <w:tl2br w:val="nil"/>
                    <w:tr2bl w:val="nil"/>
                  </w:tcBorders>
                  <w:vAlign w:val="center"/>
                </w:tcPr>
                <w:p w14:paraId="72F974F1">
                  <w:pPr>
                    <w:jc w:val="center"/>
                    <w:rPr>
                      <w:color w:val="000000" w:themeColor="text1"/>
                      <w:szCs w:val="21"/>
                      <w:highlight w:val="none"/>
                    </w:rPr>
                  </w:pPr>
                  <w:r>
                    <w:rPr>
                      <w:color w:val="000000" w:themeColor="text1"/>
                      <w:szCs w:val="21"/>
                      <w:highlight w:val="none"/>
                    </w:rPr>
                    <w:t>0.147</w:t>
                  </w:r>
                </w:p>
              </w:tc>
            </w:tr>
            <w:tr w14:paraId="50E2CA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58" w:type="dxa"/>
                  <w:tcBorders>
                    <w:tl2br w:val="nil"/>
                    <w:tr2bl w:val="nil"/>
                  </w:tcBorders>
                  <w:vAlign w:val="center"/>
                </w:tcPr>
                <w:p w14:paraId="347D8AB3">
                  <w:pPr>
                    <w:rPr>
                      <w:color w:val="000000" w:themeColor="text1"/>
                      <w:szCs w:val="21"/>
                      <w:highlight w:val="none"/>
                    </w:rPr>
                  </w:pPr>
                  <w:r>
                    <w:rPr>
                      <w:color w:val="000000" w:themeColor="text1"/>
                      <w:szCs w:val="21"/>
                      <w:highlight w:val="none"/>
                    </w:rPr>
                    <w:t>粒径</w:t>
                  </w:r>
                  <w:r>
                    <w:rPr>
                      <w:rFonts w:hint="eastAsia"/>
                      <w:color w:val="000000" w:themeColor="text1"/>
                      <w:szCs w:val="21"/>
                      <w:highlight w:val="none"/>
                    </w:rPr>
                    <w:t>（</w:t>
                  </w:r>
                  <w:r>
                    <w:rPr>
                      <w:color w:val="000000" w:themeColor="text1"/>
                      <w:szCs w:val="21"/>
                      <w:highlight w:val="none"/>
                    </w:rPr>
                    <w:t>μm）</w:t>
                  </w:r>
                </w:p>
              </w:tc>
              <w:tc>
                <w:tcPr>
                  <w:tcW w:w="1009" w:type="dxa"/>
                  <w:tcBorders>
                    <w:tl2br w:val="nil"/>
                    <w:tr2bl w:val="nil"/>
                  </w:tcBorders>
                  <w:vAlign w:val="center"/>
                </w:tcPr>
                <w:p w14:paraId="708AC59B">
                  <w:pPr>
                    <w:jc w:val="center"/>
                    <w:rPr>
                      <w:color w:val="000000" w:themeColor="text1"/>
                      <w:szCs w:val="21"/>
                      <w:highlight w:val="none"/>
                    </w:rPr>
                  </w:pPr>
                  <w:r>
                    <w:rPr>
                      <w:color w:val="000000" w:themeColor="text1"/>
                      <w:szCs w:val="21"/>
                      <w:highlight w:val="none"/>
                    </w:rPr>
                    <w:t>80</w:t>
                  </w:r>
                </w:p>
              </w:tc>
              <w:tc>
                <w:tcPr>
                  <w:tcW w:w="886" w:type="dxa"/>
                  <w:tcBorders>
                    <w:tl2br w:val="nil"/>
                    <w:tr2bl w:val="nil"/>
                  </w:tcBorders>
                  <w:vAlign w:val="center"/>
                </w:tcPr>
                <w:p w14:paraId="4DB5BF7C">
                  <w:pPr>
                    <w:jc w:val="center"/>
                    <w:rPr>
                      <w:color w:val="000000" w:themeColor="text1"/>
                      <w:szCs w:val="21"/>
                      <w:highlight w:val="none"/>
                    </w:rPr>
                  </w:pPr>
                  <w:r>
                    <w:rPr>
                      <w:color w:val="000000" w:themeColor="text1"/>
                      <w:szCs w:val="21"/>
                      <w:highlight w:val="none"/>
                    </w:rPr>
                    <w:t>90</w:t>
                  </w:r>
                </w:p>
              </w:tc>
              <w:tc>
                <w:tcPr>
                  <w:tcW w:w="896" w:type="dxa"/>
                  <w:tcBorders>
                    <w:tl2br w:val="nil"/>
                    <w:tr2bl w:val="nil"/>
                  </w:tcBorders>
                  <w:vAlign w:val="center"/>
                </w:tcPr>
                <w:p w14:paraId="22D3C438">
                  <w:pPr>
                    <w:jc w:val="center"/>
                    <w:rPr>
                      <w:color w:val="000000" w:themeColor="text1"/>
                      <w:szCs w:val="21"/>
                      <w:highlight w:val="none"/>
                    </w:rPr>
                  </w:pPr>
                  <w:r>
                    <w:rPr>
                      <w:color w:val="000000" w:themeColor="text1"/>
                      <w:szCs w:val="21"/>
                      <w:highlight w:val="none"/>
                    </w:rPr>
                    <w:t>100</w:t>
                  </w:r>
                </w:p>
              </w:tc>
              <w:tc>
                <w:tcPr>
                  <w:tcW w:w="1047" w:type="dxa"/>
                  <w:tcBorders>
                    <w:tl2br w:val="nil"/>
                    <w:tr2bl w:val="nil"/>
                  </w:tcBorders>
                  <w:vAlign w:val="center"/>
                </w:tcPr>
                <w:p w14:paraId="1C054677">
                  <w:pPr>
                    <w:jc w:val="center"/>
                    <w:rPr>
                      <w:color w:val="000000" w:themeColor="text1"/>
                      <w:szCs w:val="21"/>
                      <w:highlight w:val="none"/>
                    </w:rPr>
                  </w:pPr>
                  <w:r>
                    <w:rPr>
                      <w:color w:val="000000" w:themeColor="text1"/>
                      <w:szCs w:val="21"/>
                      <w:highlight w:val="none"/>
                    </w:rPr>
                    <w:t>150</w:t>
                  </w:r>
                </w:p>
              </w:tc>
              <w:tc>
                <w:tcPr>
                  <w:tcW w:w="934" w:type="dxa"/>
                  <w:tcBorders>
                    <w:tl2br w:val="nil"/>
                    <w:tr2bl w:val="nil"/>
                  </w:tcBorders>
                  <w:vAlign w:val="center"/>
                </w:tcPr>
                <w:p w14:paraId="4DC181D9">
                  <w:pPr>
                    <w:jc w:val="center"/>
                    <w:rPr>
                      <w:color w:val="000000" w:themeColor="text1"/>
                      <w:szCs w:val="21"/>
                      <w:highlight w:val="none"/>
                    </w:rPr>
                  </w:pPr>
                  <w:r>
                    <w:rPr>
                      <w:color w:val="000000" w:themeColor="text1"/>
                      <w:szCs w:val="21"/>
                      <w:highlight w:val="none"/>
                    </w:rPr>
                    <w:t>200</w:t>
                  </w:r>
                </w:p>
              </w:tc>
              <w:tc>
                <w:tcPr>
                  <w:tcW w:w="886" w:type="dxa"/>
                  <w:tcBorders>
                    <w:tl2br w:val="nil"/>
                    <w:tr2bl w:val="nil"/>
                  </w:tcBorders>
                  <w:vAlign w:val="center"/>
                </w:tcPr>
                <w:p w14:paraId="23D23AFC">
                  <w:pPr>
                    <w:jc w:val="center"/>
                    <w:rPr>
                      <w:color w:val="000000" w:themeColor="text1"/>
                      <w:szCs w:val="21"/>
                      <w:highlight w:val="none"/>
                    </w:rPr>
                  </w:pPr>
                  <w:r>
                    <w:rPr>
                      <w:color w:val="000000" w:themeColor="text1"/>
                      <w:szCs w:val="21"/>
                      <w:highlight w:val="none"/>
                    </w:rPr>
                    <w:t>250</w:t>
                  </w:r>
                </w:p>
              </w:tc>
              <w:tc>
                <w:tcPr>
                  <w:tcW w:w="720" w:type="dxa"/>
                  <w:tcBorders>
                    <w:tl2br w:val="nil"/>
                    <w:tr2bl w:val="nil"/>
                  </w:tcBorders>
                  <w:vAlign w:val="center"/>
                </w:tcPr>
                <w:p w14:paraId="0D2813DB">
                  <w:pPr>
                    <w:jc w:val="center"/>
                    <w:rPr>
                      <w:color w:val="000000" w:themeColor="text1"/>
                      <w:szCs w:val="21"/>
                      <w:highlight w:val="none"/>
                    </w:rPr>
                  </w:pPr>
                  <w:r>
                    <w:rPr>
                      <w:color w:val="000000" w:themeColor="text1"/>
                      <w:szCs w:val="21"/>
                      <w:highlight w:val="none"/>
                    </w:rPr>
                    <w:t>350</w:t>
                  </w:r>
                </w:p>
              </w:tc>
            </w:tr>
            <w:tr w14:paraId="150C9A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58" w:type="dxa"/>
                  <w:tcBorders>
                    <w:tl2br w:val="nil"/>
                    <w:tr2bl w:val="nil"/>
                  </w:tcBorders>
                  <w:vAlign w:val="center"/>
                </w:tcPr>
                <w:p w14:paraId="7EBEB95D">
                  <w:pPr>
                    <w:rPr>
                      <w:color w:val="000000" w:themeColor="text1"/>
                      <w:szCs w:val="21"/>
                      <w:highlight w:val="none"/>
                    </w:rPr>
                  </w:pPr>
                  <w:r>
                    <w:rPr>
                      <w:color w:val="000000" w:themeColor="text1"/>
                      <w:szCs w:val="21"/>
                      <w:highlight w:val="none"/>
                    </w:rPr>
                    <w:t>沉降速度</w:t>
                  </w:r>
                  <w:r>
                    <w:rPr>
                      <w:rFonts w:hint="eastAsia"/>
                      <w:color w:val="000000" w:themeColor="text1"/>
                      <w:szCs w:val="21"/>
                      <w:highlight w:val="none"/>
                    </w:rPr>
                    <w:t>（</w:t>
                  </w:r>
                  <w:r>
                    <w:rPr>
                      <w:color w:val="000000" w:themeColor="text1"/>
                      <w:szCs w:val="21"/>
                      <w:highlight w:val="none"/>
                    </w:rPr>
                    <w:t>m/s）</w:t>
                  </w:r>
                </w:p>
              </w:tc>
              <w:tc>
                <w:tcPr>
                  <w:tcW w:w="1009" w:type="dxa"/>
                  <w:tcBorders>
                    <w:tl2br w:val="nil"/>
                    <w:tr2bl w:val="nil"/>
                  </w:tcBorders>
                  <w:vAlign w:val="center"/>
                </w:tcPr>
                <w:p w14:paraId="6EA9CA4E">
                  <w:pPr>
                    <w:jc w:val="center"/>
                    <w:rPr>
                      <w:color w:val="000000" w:themeColor="text1"/>
                      <w:szCs w:val="21"/>
                      <w:highlight w:val="none"/>
                    </w:rPr>
                  </w:pPr>
                  <w:r>
                    <w:rPr>
                      <w:color w:val="000000" w:themeColor="text1"/>
                      <w:szCs w:val="21"/>
                      <w:highlight w:val="none"/>
                    </w:rPr>
                    <w:t>0.138</w:t>
                  </w:r>
                </w:p>
              </w:tc>
              <w:tc>
                <w:tcPr>
                  <w:tcW w:w="886" w:type="dxa"/>
                  <w:tcBorders>
                    <w:tl2br w:val="nil"/>
                    <w:tr2bl w:val="nil"/>
                  </w:tcBorders>
                  <w:vAlign w:val="center"/>
                </w:tcPr>
                <w:p w14:paraId="68B0FB72">
                  <w:pPr>
                    <w:jc w:val="center"/>
                    <w:rPr>
                      <w:color w:val="000000" w:themeColor="text1"/>
                      <w:szCs w:val="21"/>
                      <w:highlight w:val="none"/>
                    </w:rPr>
                  </w:pPr>
                  <w:r>
                    <w:rPr>
                      <w:color w:val="000000" w:themeColor="text1"/>
                      <w:szCs w:val="21"/>
                      <w:highlight w:val="none"/>
                    </w:rPr>
                    <w:t>0.174</w:t>
                  </w:r>
                </w:p>
              </w:tc>
              <w:tc>
                <w:tcPr>
                  <w:tcW w:w="896" w:type="dxa"/>
                  <w:tcBorders>
                    <w:tl2br w:val="nil"/>
                    <w:tr2bl w:val="nil"/>
                  </w:tcBorders>
                  <w:vAlign w:val="center"/>
                </w:tcPr>
                <w:p w14:paraId="7481BEC2">
                  <w:pPr>
                    <w:jc w:val="center"/>
                    <w:rPr>
                      <w:color w:val="000000" w:themeColor="text1"/>
                      <w:szCs w:val="21"/>
                      <w:highlight w:val="none"/>
                    </w:rPr>
                  </w:pPr>
                  <w:r>
                    <w:rPr>
                      <w:color w:val="000000" w:themeColor="text1"/>
                      <w:szCs w:val="21"/>
                      <w:highlight w:val="none"/>
                    </w:rPr>
                    <w:t>0.182</w:t>
                  </w:r>
                </w:p>
              </w:tc>
              <w:tc>
                <w:tcPr>
                  <w:tcW w:w="1047" w:type="dxa"/>
                  <w:tcBorders>
                    <w:tl2br w:val="nil"/>
                    <w:tr2bl w:val="nil"/>
                  </w:tcBorders>
                  <w:vAlign w:val="center"/>
                </w:tcPr>
                <w:p w14:paraId="6051197C">
                  <w:pPr>
                    <w:jc w:val="center"/>
                    <w:rPr>
                      <w:color w:val="000000" w:themeColor="text1"/>
                      <w:szCs w:val="21"/>
                      <w:highlight w:val="none"/>
                    </w:rPr>
                  </w:pPr>
                  <w:r>
                    <w:rPr>
                      <w:color w:val="000000" w:themeColor="text1"/>
                      <w:szCs w:val="21"/>
                      <w:highlight w:val="none"/>
                    </w:rPr>
                    <w:t>0.209</w:t>
                  </w:r>
                </w:p>
              </w:tc>
              <w:tc>
                <w:tcPr>
                  <w:tcW w:w="934" w:type="dxa"/>
                  <w:tcBorders>
                    <w:tl2br w:val="nil"/>
                    <w:tr2bl w:val="nil"/>
                  </w:tcBorders>
                  <w:vAlign w:val="center"/>
                </w:tcPr>
                <w:p w14:paraId="00A42391">
                  <w:pPr>
                    <w:jc w:val="center"/>
                    <w:rPr>
                      <w:color w:val="000000" w:themeColor="text1"/>
                      <w:szCs w:val="21"/>
                      <w:highlight w:val="none"/>
                    </w:rPr>
                  </w:pPr>
                  <w:r>
                    <w:rPr>
                      <w:color w:val="000000" w:themeColor="text1"/>
                      <w:szCs w:val="21"/>
                      <w:highlight w:val="none"/>
                    </w:rPr>
                    <w:t>0.804</w:t>
                  </w:r>
                </w:p>
              </w:tc>
              <w:tc>
                <w:tcPr>
                  <w:tcW w:w="886" w:type="dxa"/>
                  <w:tcBorders>
                    <w:tl2br w:val="nil"/>
                    <w:tr2bl w:val="nil"/>
                  </w:tcBorders>
                  <w:vAlign w:val="center"/>
                </w:tcPr>
                <w:p w14:paraId="3538B134">
                  <w:pPr>
                    <w:jc w:val="center"/>
                    <w:rPr>
                      <w:color w:val="000000" w:themeColor="text1"/>
                      <w:szCs w:val="21"/>
                      <w:highlight w:val="none"/>
                    </w:rPr>
                  </w:pPr>
                  <w:r>
                    <w:rPr>
                      <w:color w:val="000000" w:themeColor="text1"/>
                      <w:szCs w:val="21"/>
                      <w:highlight w:val="none"/>
                    </w:rPr>
                    <w:t>1.005</w:t>
                  </w:r>
                </w:p>
              </w:tc>
              <w:tc>
                <w:tcPr>
                  <w:tcW w:w="720" w:type="dxa"/>
                  <w:tcBorders>
                    <w:tl2br w:val="nil"/>
                    <w:tr2bl w:val="nil"/>
                  </w:tcBorders>
                  <w:vAlign w:val="center"/>
                </w:tcPr>
                <w:p w14:paraId="0EB5823B">
                  <w:pPr>
                    <w:jc w:val="center"/>
                    <w:rPr>
                      <w:color w:val="000000" w:themeColor="text1"/>
                      <w:szCs w:val="21"/>
                      <w:highlight w:val="none"/>
                    </w:rPr>
                  </w:pPr>
                  <w:r>
                    <w:rPr>
                      <w:color w:val="000000" w:themeColor="text1"/>
                      <w:szCs w:val="21"/>
                      <w:highlight w:val="none"/>
                    </w:rPr>
                    <w:t>1.829</w:t>
                  </w:r>
                </w:p>
              </w:tc>
            </w:tr>
            <w:tr w14:paraId="5505C3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58" w:type="dxa"/>
                  <w:tcBorders>
                    <w:tl2br w:val="nil"/>
                    <w:tr2bl w:val="nil"/>
                  </w:tcBorders>
                  <w:vAlign w:val="center"/>
                </w:tcPr>
                <w:p w14:paraId="2B3817CB">
                  <w:pPr>
                    <w:rPr>
                      <w:color w:val="000000" w:themeColor="text1"/>
                      <w:szCs w:val="21"/>
                      <w:highlight w:val="none"/>
                    </w:rPr>
                  </w:pPr>
                  <w:r>
                    <w:rPr>
                      <w:color w:val="000000" w:themeColor="text1"/>
                      <w:szCs w:val="21"/>
                      <w:highlight w:val="none"/>
                    </w:rPr>
                    <w:t>粒径</w:t>
                  </w:r>
                  <w:r>
                    <w:rPr>
                      <w:rFonts w:hint="eastAsia"/>
                      <w:color w:val="000000" w:themeColor="text1"/>
                      <w:szCs w:val="21"/>
                      <w:highlight w:val="none"/>
                    </w:rPr>
                    <w:t>（</w:t>
                  </w:r>
                  <w:r>
                    <w:rPr>
                      <w:color w:val="000000" w:themeColor="text1"/>
                      <w:szCs w:val="21"/>
                      <w:highlight w:val="none"/>
                    </w:rPr>
                    <w:t>μm）</w:t>
                  </w:r>
                </w:p>
              </w:tc>
              <w:tc>
                <w:tcPr>
                  <w:tcW w:w="1009" w:type="dxa"/>
                  <w:tcBorders>
                    <w:tl2br w:val="nil"/>
                    <w:tr2bl w:val="nil"/>
                  </w:tcBorders>
                  <w:vAlign w:val="center"/>
                </w:tcPr>
                <w:p w14:paraId="072B3F4A">
                  <w:pPr>
                    <w:jc w:val="center"/>
                    <w:rPr>
                      <w:color w:val="000000" w:themeColor="text1"/>
                      <w:szCs w:val="21"/>
                      <w:highlight w:val="none"/>
                    </w:rPr>
                  </w:pPr>
                  <w:r>
                    <w:rPr>
                      <w:color w:val="000000" w:themeColor="text1"/>
                      <w:szCs w:val="21"/>
                      <w:highlight w:val="none"/>
                    </w:rPr>
                    <w:t>450</w:t>
                  </w:r>
                </w:p>
              </w:tc>
              <w:tc>
                <w:tcPr>
                  <w:tcW w:w="886" w:type="dxa"/>
                  <w:tcBorders>
                    <w:tl2br w:val="nil"/>
                    <w:tr2bl w:val="nil"/>
                  </w:tcBorders>
                  <w:vAlign w:val="center"/>
                </w:tcPr>
                <w:p w14:paraId="1B83DC0C">
                  <w:pPr>
                    <w:jc w:val="center"/>
                    <w:rPr>
                      <w:color w:val="000000" w:themeColor="text1"/>
                      <w:szCs w:val="21"/>
                      <w:highlight w:val="none"/>
                    </w:rPr>
                  </w:pPr>
                  <w:r>
                    <w:rPr>
                      <w:color w:val="000000" w:themeColor="text1"/>
                      <w:szCs w:val="21"/>
                      <w:highlight w:val="none"/>
                    </w:rPr>
                    <w:t>550</w:t>
                  </w:r>
                </w:p>
              </w:tc>
              <w:tc>
                <w:tcPr>
                  <w:tcW w:w="896" w:type="dxa"/>
                  <w:tcBorders>
                    <w:tl2br w:val="nil"/>
                    <w:tr2bl w:val="nil"/>
                  </w:tcBorders>
                  <w:vAlign w:val="center"/>
                </w:tcPr>
                <w:p w14:paraId="56387426">
                  <w:pPr>
                    <w:jc w:val="center"/>
                    <w:rPr>
                      <w:color w:val="000000" w:themeColor="text1"/>
                      <w:szCs w:val="21"/>
                      <w:highlight w:val="none"/>
                    </w:rPr>
                  </w:pPr>
                  <w:r>
                    <w:rPr>
                      <w:color w:val="000000" w:themeColor="text1"/>
                      <w:szCs w:val="21"/>
                      <w:highlight w:val="none"/>
                    </w:rPr>
                    <w:t>650</w:t>
                  </w:r>
                </w:p>
              </w:tc>
              <w:tc>
                <w:tcPr>
                  <w:tcW w:w="1047" w:type="dxa"/>
                  <w:tcBorders>
                    <w:tl2br w:val="nil"/>
                    <w:tr2bl w:val="nil"/>
                  </w:tcBorders>
                  <w:vAlign w:val="center"/>
                </w:tcPr>
                <w:p w14:paraId="7228B29C">
                  <w:pPr>
                    <w:jc w:val="center"/>
                    <w:rPr>
                      <w:color w:val="000000" w:themeColor="text1"/>
                      <w:szCs w:val="21"/>
                      <w:highlight w:val="none"/>
                    </w:rPr>
                  </w:pPr>
                  <w:r>
                    <w:rPr>
                      <w:color w:val="000000" w:themeColor="text1"/>
                      <w:szCs w:val="21"/>
                      <w:highlight w:val="none"/>
                    </w:rPr>
                    <w:t>750</w:t>
                  </w:r>
                </w:p>
              </w:tc>
              <w:tc>
                <w:tcPr>
                  <w:tcW w:w="934" w:type="dxa"/>
                  <w:tcBorders>
                    <w:tl2br w:val="nil"/>
                    <w:tr2bl w:val="nil"/>
                  </w:tcBorders>
                  <w:vAlign w:val="center"/>
                </w:tcPr>
                <w:p w14:paraId="65AF326C">
                  <w:pPr>
                    <w:jc w:val="center"/>
                    <w:rPr>
                      <w:color w:val="000000" w:themeColor="text1"/>
                      <w:szCs w:val="21"/>
                      <w:highlight w:val="none"/>
                    </w:rPr>
                  </w:pPr>
                  <w:r>
                    <w:rPr>
                      <w:color w:val="000000" w:themeColor="text1"/>
                      <w:szCs w:val="21"/>
                      <w:highlight w:val="none"/>
                    </w:rPr>
                    <w:t>800</w:t>
                  </w:r>
                </w:p>
              </w:tc>
              <w:tc>
                <w:tcPr>
                  <w:tcW w:w="886" w:type="dxa"/>
                  <w:tcBorders>
                    <w:tl2br w:val="nil"/>
                    <w:tr2bl w:val="nil"/>
                  </w:tcBorders>
                  <w:vAlign w:val="center"/>
                </w:tcPr>
                <w:p w14:paraId="22159700">
                  <w:pPr>
                    <w:jc w:val="center"/>
                    <w:rPr>
                      <w:color w:val="000000" w:themeColor="text1"/>
                      <w:szCs w:val="21"/>
                      <w:highlight w:val="none"/>
                    </w:rPr>
                  </w:pPr>
                  <w:r>
                    <w:rPr>
                      <w:color w:val="000000" w:themeColor="text1"/>
                      <w:szCs w:val="21"/>
                      <w:highlight w:val="none"/>
                    </w:rPr>
                    <w:t>950</w:t>
                  </w:r>
                </w:p>
              </w:tc>
              <w:tc>
                <w:tcPr>
                  <w:tcW w:w="720" w:type="dxa"/>
                  <w:tcBorders>
                    <w:tl2br w:val="nil"/>
                    <w:tr2bl w:val="nil"/>
                  </w:tcBorders>
                  <w:vAlign w:val="center"/>
                </w:tcPr>
                <w:p w14:paraId="08A33491">
                  <w:pPr>
                    <w:jc w:val="center"/>
                    <w:rPr>
                      <w:color w:val="000000" w:themeColor="text1"/>
                      <w:szCs w:val="21"/>
                      <w:highlight w:val="none"/>
                    </w:rPr>
                  </w:pPr>
                  <w:r>
                    <w:rPr>
                      <w:color w:val="000000" w:themeColor="text1"/>
                      <w:szCs w:val="21"/>
                      <w:highlight w:val="none"/>
                    </w:rPr>
                    <w:t>1050</w:t>
                  </w:r>
                </w:p>
              </w:tc>
            </w:tr>
            <w:tr w14:paraId="206FAD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58" w:type="dxa"/>
                  <w:tcBorders>
                    <w:tl2br w:val="nil"/>
                    <w:tr2bl w:val="nil"/>
                  </w:tcBorders>
                  <w:vAlign w:val="center"/>
                </w:tcPr>
                <w:p w14:paraId="704581DD">
                  <w:pPr>
                    <w:rPr>
                      <w:color w:val="000000" w:themeColor="text1"/>
                      <w:szCs w:val="21"/>
                      <w:highlight w:val="none"/>
                    </w:rPr>
                  </w:pPr>
                  <w:r>
                    <w:rPr>
                      <w:color w:val="000000" w:themeColor="text1"/>
                      <w:szCs w:val="21"/>
                      <w:highlight w:val="none"/>
                    </w:rPr>
                    <w:t>沉降速度</w:t>
                  </w:r>
                  <w:r>
                    <w:rPr>
                      <w:rFonts w:hint="eastAsia"/>
                      <w:color w:val="000000" w:themeColor="text1"/>
                      <w:szCs w:val="21"/>
                      <w:highlight w:val="none"/>
                    </w:rPr>
                    <w:t>（</w:t>
                  </w:r>
                  <w:r>
                    <w:rPr>
                      <w:color w:val="000000" w:themeColor="text1"/>
                      <w:szCs w:val="21"/>
                      <w:highlight w:val="none"/>
                    </w:rPr>
                    <w:t>m/s）</w:t>
                  </w:r>
                </w:p>
              </w:tc>
              <w:tc>
                <w:tcPr>
                  <w:tcW w:w="1009" w:type="dxa"/>
                  <w:tcBorders>
                    <w:tl2br w:val="nil"/>
                    <w:tr2bl w:val="nil"/>
                  </w:tcBorders>
                  <w:vAlign w:val="center"/>
                </w:tcPr>
                <w:p w14:paraId="30367A35">
                  <w:pPr>
                    <w:jc w:val="center"/>
                    <w:rPr>
                      <w:color w:val="000000" w:themeColor="text1"/>
                      <w:szCs w:val="21"/>
                      <w:highlight w:val="none"/>
                    </w:rPr>
                  </w:pPr>
                  <w:r>
                    <w:rPr>
                      <w:color w:val="000000" w:themeColor="text1"/>
                      <w:szCs w:val="21"/>
                      <w:highlight w:val="none"/>
                    </w:rPr>
                    <w:t>2.211</w:t>
                  </w:r>
                </w:p>
              </w:tc>
              <w:tc>
                <w:tcPr>
                  <w:tcW w:w="886" w:type="dxa"/>
                  <w:tcBorders>
                    <w:tl2br w:val="nil"/>
                    <w:tr2bl w:val="nil"/>
                  </w:tcBorders>
                  <w:vAlign w:val="center"/>
                </w:tcPr>
                <w:p w14:paraId="1BA5A4EA">
                  <w:pPr>
                    <w:jc w:val="center"/>
                    <w:rPr>
                      <w:color w:val="000000" w:themeColor="text1"/>
                      <w:szCs w:val="21"/>
                      <w:highlight w:val="none"/>
                    </w:rPr>
                  </w:pPr>
                  <w:r>
                    <w:rPr>
                      <w:color w:val="000000" w:themeColor="text1"/>
                      <w:szCs w:val="21"/>
                      <w:highlight w:val="none"/>
                    </w:rPr>
                    <w:t>2.614</w:t>
                  </w:r>
                </w:p>
              </w:tc>
              <w:tc>
                <w:tcPr>
                  <w:tcW w:w="896" w:type="dxa"/>
                  <w:tcBorders>
                    <w:tl2br w:val="nil"/>
                    <w:tr2bl w:val="nil"/>
                  </w:tcBorders>
                  <w:vAlign w:val="center"/>
                </w:tcPr>
                <w:p w14:paraId="2E95B787">
                  <w:pPr>
                    <w:jc w:val="center"/>
                    <w:rPr>
                      <w:color w:val="000000" w:themeColor="text1"/>
                      <w:szCs w:val="21"/>
                      <w:highlight w:val="none"/>
                    </w:rPr>
                  </w:pPr>
                  <w:r>
                    <w:rPr>
                      <w:color w:val="000000" w:themeColor="text1"/>
                      <w:szCs w:val="21"/>
                      <w:highlight w:val="none"/>
                    </w:rPr>
                    <w:t>3.016</w:t>
                  </w:r>
                </w:p>
              </w:tc>
              <w:tc>
                <w:tcPr>
                  <w:tcW w:w="1047" w:type="dxa"/>
                  <w:tcBorders>
                    <w:tl2br w:val="nil"/>
                    <w:tr2bl w:val="nil"/>
                  </w:tcBorders>
                  <w:vAlign w:val="center"/>
                </w:tcPr>
                <w:p w14:paraId="5F267C07">
                  <w:pPr>
                    <w:jc w:val="center"/>
                    <w:rPr>
                      <w:color w:val="000000" w:themeColor="text1"/>
                      <w:szCs w:val="21"/>
                      <w:highlight w:val="none"/>
                    </w:rPr>
                  </w:pPr>
                  <w:r>
                    <w:rPr>
                      <w:color w:val="000000" w:themeColor="text1"/>
                      <w:szCs w:val="21"/>
                      <w:highlight w:val="none"/>
                    </w:rPr>
                    <w:t>3.418</w:t>
                  </w:r>
                </w:p>
              </w:tc>
              <w:tc>
                <w:tcPr>
                  <w:tcW w:w="934" w:type="dxa"/>
                  <w:tcBorders>
                    <w:tl2br w:val="nil"/>
                    <w:tr2bl w:val="nil"/>
                  </w:tcBorders>
                  <w:vAlign w:val="center"/>
                </w:tcPr>
                <w:p w14:paraId="0CE58444">
                  <w:pPr>
                    <w:jc w:val="center"/>
                    <w:rPr>
                      <w:color w:val="000000" w:themeColor="text1"/>
                      <w:szCs w:val="21"/>
                      <w:highlight w:val="none"/>
                    </w:rPr>
                  </w:pPr>
                  <w:r>
                    <w:rPr>
                      <w:color w:val="000000" w:themeColor="text1"/>
                      <w:szCs w:val="21"/>
                      <w:highlight w:val="none"/>
                    </w:rPr>
                    <w:t>3.720</w:t>
                  </w:r>
                </w:p>
              </w:tc>
              <w:tc>
                <w:tcPr>
                  <w:tcW w:w="886" w:type="dxa"/>
                  <w:tcBorders>
                    <w:tl2br w:val="nil"/>
                    <w:tr2bl w:val="nil"/>
                  </w:tcBorders>
                  <w:vAlign w:val="center"/>
                </w:tcPr>
                <w:p w14:paraId="6532E0E3">
                  <w:pPr>
                    <w:jc w:val="center"/>
                    <w:rPr>
                      <w:color w:val="000000" w:themeColor="text1"/>
                      <w:szCs w:val="21"/>
                      <w:highlight w:val="none"/>
                    </w:rPr>
                  </w:pPr>
                  <w:r>
                    <w:rPr>
                      <w:color w:val="000000" w:themeColor="text1"/>
                      <w:szCs w:val="21"/>
                      <w:highlight w:val="none"/>
                    </w:rPr>
                    <w:t>4.222</w:t>
                  </w:r>
                </w:p>
              </w:tc>
              <w:tc>
                <w:tcPr>
                  <w:tcW w:w="720" w:type="dxa"/>
                  <w:tcBorders>
                    <w:tl2br w:val="nil"/>
                    <w:tr2bl w:val="nil"/>
                  </w:tcBorders>
                  <w:vAlign w:val="center"/>
                </w:tcPr>
                <w:p w14:paraId="646A050A">
                  <w:pPr>
                    <w:jc w:val="center"/>
                    <w:rPr>
                      <w:color w:val="000000" w:themeColor="text1"/>
                      <w:szCs w:val="21"/>
                      <w:highlight w:val="none"/>
                    </w:rPr>
                  </w:pPr>
                  <w:r>
                    <w:rPr>
                      <w:color w:val="000000" w:themeColor="text1"/>
                      <w:szCs w:val="21"/>
                      <w:highlight w:val="none"/>
                    </w:rPr>
                    <w:t>4.62</w:t>
                  </w:r>
                </w:p>
              </w:tc>
            </w:tr>
          </w:tbl>
          <w:p w14:paraId="46B03238">
            <w:pPr>
              <w:adjustRightInd w:val="0"/>
              <w:snapToGrid w:val="0"/>
              <w:spacing w:line="360" w:lineRule="auto"/>
              <w:ind w:firstLine="480" w:firstLineChars="200"/>
              <w:rPr>
                <w:color w:val="000000" w:themeColor="text1"/>
                <w:sz w:val="24"/>
                <w:highlight w:val="none"/>
              </w:rPr>
            </w:pPr>
            <w:r>
              <w:rPr>
                <w:color w:val="000000" w:themeColor="text1"/>
                <w:sz w:val="24"/>
                <w:highlight w:val="none"/>
              </w:rPr>
              <w:t>由表可知，尘粒的沉降速度随粒径的增大而迅速增大。当粒径为250μm时，沉降速度为1.005m/s，因此可以认为当尘粒大于250μm时，主要影响范围在扬尘点下风向近距离范围内，而真正对外环境产生影响的是一些微小尘粒。根据现场的气候情况不同，其影响范围也有所不同。由起尘计算公式可知，Vo与粒径和含水率有关。因此，本工程在施工过程中，通过采取减少露天堆放、保证一定的含水率、使用土工布遮挡及减少裸露地面等措施，尽量将起尘量降到最低，从而减少其对周围环境空气质量的影响。扬尘对环境的影响较小。</w:t>
            </w:r>
          </w:p>
          <w:p w14:paraId="6369B94F">
            <w:pPr>
              <w:adjustRightInd w:val="0"/>
              <w:snapToGrid w:val="0"/>
              <w:spacing w:line="360" w:lineRule="auto"/>
              <w:ind w:firstLine="480" w:firstLineChars="200"/>
              <w:rPr>
                <w:color w:val="000000" w:themeColor="text1"/>
                <w:sz w:val="24"/>
                <w:highlight w:val="none"/>
              </w:rPr>
            </w:pPr>
            <w:r>
              <w:rPr>
                <w:color w:val="000000" w:themeColor="text1"/>
                <w:sz w:val="24"/>
                <w:highlight w:val="none"/>
              </w:rPr>
              <w:t>③运输道路扬尘</w:t>
            </w:r>
          </w:p>
          <w:p w14:paraId="6B012E76">
            <w:pPr>
              <w:adjustRightInd w:val="0"/>
              <w:snapToGrid w:val="0"/>
              <w:spacing w:line="360" w:lineRule="auto"/>
              <w:ind w:firstLine="480" w:firstLineChars="200"/>
              <w:rPr>
                <w:color w:val="000000" w:themeColor="text1"/>
                <w:sz w:val="24"/>
                <w:highlight w:val="none"/>
              </w:rPr>
            </w:pPr>
            <w:r>
              <w:rPr>
                <w:color w:val="000000" w:themeColor="text1"/>
                <w:sz w:val="24"/>
                <w:highlight w:val="none"/>
              </w:rPr>
              <w:t>施工区内车辆运输引起的道路扬尘约占场地扬尘总量的</w:t>
            </w:r>
            <w:r>
              <w:rPr>
                <w:rFonts w:hint="eastAsia"/>
                <w:color w:val="000000" w:themeColor="text1"/>
                <w:sz w:val="24"/>
                <w:highlight w:val="none"/>
              </w:rPr>
              <w:t>6</w:t>
            </w:r>
            <w:r>
              <w:rPr>
                <w:color w:val="000000" w:themeColor="text1"/>
                <w:sz w:val="24"/>
                <w:highlight w:val="none"/>
              </w:rPr>
              <w:t>0%以上，道路扬尘的起尘量与运输车辆的车速、载重量、路面含尘量、相对湿度等因素有关。根据同类工程建设经验，施工期施工区内运输车辆大多行驶在土路便道上，路面含尘量高，道路扬尘比较严重。因此，应加强路面洒水抑尘。运输道路扬尘在完全干燥</w:t>
            </w:r>
            <w:r>
              <w:rPr>
                <w:rFonts w:hint="eastAsia"/>
                <w:color w:val="000000" w:themeColor="text1"/>
                <w:sz w:val="24"/>
                <w:highlight w:val="none"/>
              </w:rPr>
              <w:t>的</w:t>
            </w:r>
            <w:r>
              <w:rPr>
                <w:color w:val="000000" w:themeColor="text1"/>
                <w:sz w:val="24"/>
                <w:highlight w:val="none"/>
              </w:rPr>
              <w:t>情况下，可按下列经验公式计算：</w:t>
            </w:r>
          </w:p>
          <w:p w14:paraId="763995CC">
            <w:pPr>
              <w:spacing w:line="360" w:lineRule="auto"/>
              <w:ind w:firstLine="1200" w:firstLineChars="500"/>
              <w:rPr>
                <w:color w:val="000000" w:themeColor="text1"/>
                <w:sz w:val="24"/>
                <w:highlight w:val="none"/>
                <w:vertAlign w:val="superscript"/>
              </w:rPr>
            </w:pPr>
            <w:r>
              <w:rPr>
                <w:color w:val="000000" w:themeColor="text1"/>
                <w:sz w:val="24"/>
                <w:highlight w:val="none"/>
              </w:rPr>
              <w:t>Q=0.123</w:t>
            </w:r>
            <w:r>
              <w:rPr>
                <w:rFonts w:hint="eastAsia"/>
                <w:color w:val="000000" w:themeColor="text1"/>
                <w:sz w:val="24"/>
                <w:highlight w:val="none"/>
              </w:rPr>
              <w:t>（</w:t>
            </w:r>
            <w:r>
              <w:rPr>
                <w:color w:val="000000" w:themeColor="text1"/>
                <w:sz w:val="24"/>
                <w:highlight w:val="none"/>
              </w:rPr>
              <w:t>V/5）</w:t>
            </w:r>
            <w:r>
              <w:rPr>
                <w:rFonts w:hint="eastAsia"/>
                <w:color w:val="000000" w:themeColor="text1"/>
                <w:sz w:val="24"/>
                <w:highlight w:val="none"/>
              </w:rPr>
              <w:t>（</w:t>
            </w:r>
            <w:r>
              <w:rPr>
                <w:color w:val="000000" w:themeColor="text1"/>
                <w:sz w:val="24"/>
                <w:highlight w:val="none"/>
              </w:rPr>
              <w:t>W/6.8</w:t>
            </w:r>
            <w:r>
              <w:rPr>
                <w:rFonts w:hint="eastAsia"/>
                <w:color w:val="000000" w:themeColor="text1"/>
                <w:sz w:val="24"/>
                <w:highlight w:val="none"/>
              </w:rPr>
              <w:t>）</w:t>
            </w:r>
            <w:r>
              <w:rPr>
                <w:color w:val="000000" w:themeColor="text1"/>
                <w:sz w:val="24"/>
                <w:highlight w:val="none"/>
                <w:vertAlign w:val="superscript"/>
              </w:rPr>
              <w:t>0.85</w:t>
            </w:r>
            <w:r>
              <w:rPr>
                <w:rFonts w:hint="eastAsia"/>
                <w:color w:val="000000" w:themeColor="text1"/>
                <w:sz w:val="24"/>
                <w:highlight w:val="none"/>
              </w:rPr>
              <w:t>（</w:t>
            </w:r>
            <w:r>
              <w:rPr>
                <w:color w:val="000000" w:themeColor="text1"/>
                <w:sz w:val="24"/>
                <w:highlight w:val="none"/>
              </w:rPr>
              <w:t>P/0.5</w:t>
            </w:r>
            <w:r>
              <w:rPr>
                <w:rFonts w:hint="eastAsia"/>
                <w:color w:val="000000" w:themeColor="text1"/>
                <w:sz w:val="24"/>
                <w:highlight w:val="none"/>
              </w:rPr>
              <w:t>）</w:t>
            </w:r>
            <w:r>
              <w:rPr>
                <w:color w:val="000000" w:themeColor="text1"/>
                <w:sz w:val="24"/>
                <w:highlight w:val="none"/>
                <w:vertAlign w:val="superscript"/>
              </w:rPr>
              <w:t>0.7</w:t>
            </w:r>
            <w:r>
              <w:rPr>
                <w:rFonts w:hint="eastAsia"/>
                <w:color w:val="000000" w:themeColor="text1"/>
                <w:sz w:val="24"/>
                <w:highlight w:val="none"/>
                <w:vertAlign w:val="superscript"/>
              </w:rPr>
              <w:t>5</w:t>
            </w:r>
          </w:p>
          <w:p w14:paraId="4D4C677A">
            <w:pPr>
              <w:spacing w:line="360" w:lineRule="auto"/>
              <w:ind w:firstLine="480" w:firstLineChars="200"/>
              <w:rPr>
                <w:color w:val="000000" w:themeColor="text1"/>
                <w:sz w:val="24"/>
                <w:highlight w:val="none"/>
              </w:rPr>
            </w:pPr>
            <w:r>
              <w:rPr>
                <w:color w:val="000000" w:themeColor="text1"/>
                <w:sz w:val="24"/>
                <w:highlight w:val="none"/>
              </w:rPr>
              <w:t>式中：Q</w:t>
            </w:r>
            <w:r>
              <w:rPr>
                <w:rFonts w:hint="eastAsia"/>
                <w:color w:val="000000" w:themeColor="text1"/>
                <w:sz w:val="24"/>
                <w:highlight w:val="none"/>
              </w:rPr>
              <w:t>--</w:t>
            </w:r>
            <w:r>
              <w:rPr>
                <w:color w:val="000000" w:themeColor="text1"/>
                <w:sz w:val="24"/>
                <w:highlight w:val="none"/>
              </w:rPr>
              <w:t>汽车行驶的扬尘，kg/km·辆；</w:t>
            </w:r>
          </w:p>
          <w:p w14:paraId="35946BE0">
            <w:pPr>
              <w:spacing w:line="360" w:lineRule="auto"/>
              <w:ind w:firstLine="1200" w:firstLineChars="500"/>
              <w:rPr>
                <w:color w:val="000000" w:themeColor="text1"/>
                <w:sz w:val="24"/>
                <w:highlight w:val="none"/>
              </w:rPr>
            </w:pPr>
            <w:r>
              <w:rPr>
                <w:color w:val="000000" w:themeColor="text1"/>
                <w:sz w:val="24"/>
                <w:highlight w:val="none"/>
              </w:rPr>
              <w:t>V</w:t>
            </w:r>
            <w:r>
              <w:rPr>
                <w:rFonts w:hint="eastAsia"/>
                <w:color w:val="000000" w:themeColor="text1"/>
                <w:sz w:val="24"/>
                <w:highlight w:val="none"/>
              </w:rPr>
              <w:t>--</w:t>
            </w:r>
            <w:r>
              <w:rPr>
                <w:color w:val="000000" w:themeColor="text1"/>
                <w:sz w:val="24"/>
                <w:highlight w:val="none"/>
              </w:rPr>
              <w:t>汽车速度，km/h；</w:t>
            </w:r>
          </w:p>
          <w:p w14:paraId="0C777148">
            <w:pPr>
              <w:spacing w:line="360" w:lineRule="auto"/>
              <w:ind w:firstLine="1200" w:firstLineChars="500"/>
              <w:rPr>
                <w:color w:val="000000" w:themeColor="text1"/>
                <w:sz w:val="24"/>
                <w:highlight w:val="none"/>
              </w:rPr>
            </w:pPr>
            <w:r>
              <w:rPr>
                <w:color w:val="000000" w:themeColor="text1"/>
                <w:sz w:val="24"/>
                <w:highlight w:val="none"/>
              </w:rPr>
              <w:t>W</w:t>
            </w:r>
            <w:r>
              <w:rPr>
                <w:rFonts w:hint="eastAsia"/>
                <w:color w:val="000000" w:themeColor="text1"/>
                <w:sz w:val="24"/>
                <w:highlight w:val="none"/>
              </w:rPr>
              <w:t>--</w:t>
            </w:r>
            <w:r>
              <w:rPr>
                <w:color w:val="000000" w:themeColor="text1"/>
                <w:sz w:val="24"/>
                <w:highlight w:val="none"/>
              </w:rPr>
              <w:t>汽车载重量，t；</w:t>
            </w:r>
          </w:p>
          <w:p w14:paraId="4D5A78CB">
            <w:pPr>
              <w:spacing w:line="360" w:lineRule="auto"/>
              <w:ind w:firstLine="1200" w:firstLineChars="500"/>
              <w:rPr>
                <w:color w:val="000000" w:themeColor="text1"/>
                <w:sz w:val="24"/>
                <w:highlight w:val="none"/>
              </w:rPr>
            </w:pPr>
            <w:r>
              <w:rPr>
                <w:color w:val="000000" w:themeColor="text1"/>
                <w:sz w:val="24"/>
                <w:highlight w:val="none"/>
              </w:rPr>
              <w:t>P</w:t>
            </w:r>
            <w:r>
              <w:rPr>
                <w:rFonts w:hint="eastAsia"/>
                <w:color w:val="000000" w:themeColor="text1"/>
                <w:sz w:val="24"/>
                <w:highlight w:val="none"/>
              </w:rPr>
              <w:t>--</w:t>
            </w:r>
            <w:r>
              <w:rPr>
                <w:color w:val="000000" w:themeColor="text1"/>
                <w:sz w:val="24"/>
                <w:highlight w:val="none"/>
              </w:rPr>
              <w:t>道路表面粉尘量，kg/㎡。</w:t>
            </w:r>
          </w:p>
          <w:p w14:paraId="6B86B763">
            <w:pPr>
              <w:spacing w:line="360" w:lineRule="auto"/>
              <w:ind w:firstLine="480" w:firstLineChars="200"/>
              <w:rPr>
                <w:color w:val="000000" w:themeColor="text1"/>
                <w:sz w:val="24"/>
                <w:highlight w:val="none"/>
              </w:rPr>
            </w:pPr>
            <w:r>
              <w:rPr>
                <w:color w:val="000000" w:themeColor="text1"/>
                <w:sz w:val="24"/>
                <w:highlight w:val="none"/>
              </w:rPr>
              <w:t>以下为一辆10t卡车通过一段长度为1km路面时，不同行驶速度下的扬尘量按经验公式计算后的路表扬尘量见表4</w:t>
            </w:r>
            <w:r>
              <w:rPr>
                <w:rFonts w:hint="eastAsia"/>
                <w:color w:val="000000" w:themeColor="text1"/>
                <w:sz w:val="24"/>
                <w:highlight w:val="none"/>
              </w:rPr>
              <w:t>-2</w:t>
            </w:r>
            <w:r>
              <w:rPr>
                <w:color w:val="000000" w:themeColor="text1"/>
                <w:sz w:val="24"/>
                <w:highlight w:val="none"/>
              </w:rPr>
              <w:t>。</w:t>
            </w:r>
          </w:p>
          <w:p w14:paraId="3EDB74C5">
            <w:pPr>
              <w:ind w:firstLine="480" w:firstLineChars="200"/>
              <w:rPr>
                <w:color w:val="000000" w:themeColor="text1"/>
                <w:sz w:val="24"/>
                <w:highlight w:val="none"/>
              </w:rPr>
            </w:pPr>
            <w:r>
              <w:rPr>
                <w:color w:val="000000" w:themeColor="text1"/>
                <w:sz w:val="24"/>
                <w:highlight w:val="none"/>
              </w:rPr>
              <w:t>表</w:t>
            </w:r>
            <w:r>
              <w:rPr>
                <w:rFonts w:hint="eastAsia"/>
                <w:color w:val="000000" w:themeColor="text1"/>
                <w:sz w:val="24"/>
                <w:highlight w:val="none"/>
              </w:rPr>
              <w:t xml:space="preserve">4-2  </w:t>
            </w:r>
            <w:r>
              <w:rPr>
                <w:color w:val="000000" w:themeColor="text1"/>
                <w:sz w:val="24"/>
                <w:highlight w:val="none"/>
              </w:rPr>
              <w:t xml:space="preserve">不同车速下的路表面粉尘量 </w:t>
            </w:r>
            <w:r>
              <w:rPr>
                <w:rFonts w:hint="eastAsia"/>
                <w:color w:val="000000" w:themeColor="text1"/>
                <w:sz w:val="24"/>
                <w:highlight w:val="none"/>
              </w:rPr>
              <w:t xml:space="preserve">      </w:t>
            </w:r>
            <w:r>
              <w:rPr>
                <w:color w:val="000000" w:themeColor="text1"/>
                <w:sz w:val="24"/>
                <w:highlight w:val="none"/>
              </w:rPr>
              <w:t>单位：kg/辆·km</w:t>
            </w:r>
          </w:p>
          <w:tbl>
            <w:tblPr>
              <w:tblStyle w:val="2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068"/>
              <w:gridCol w:w="1405"/>
              <w:gridCol w:w="1029"/>
              <w:gridCol w:w="1040"/>
              <w:gridCol w:w="987"/>
              <w:gridCol w:w="906"/>
              <w:gridCol w:w="880"/>
              <w:gridCol w:w="805"/>
            </w:tblGrid>
            <w:tr w14:paraId="6A876B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2440" w:type="dxa"/>
                  <w:gridSpan w:val="2"/>
                  <w:tcBorders>
                    <w:tl2br w:val="nil"/>
                    <w:tr2bl w:val="nil"/>
                  </w:tcBorders>
                  <w:vAlign w:val="center"/>
                </w:tcPr>
                <w:p w14:paraId="14E047EC">
                  <w:pPr>
                    <w:jc w:val="center"/>
                    <w:rPr>
                      <w:color w:val="000000" w:themeColor="text1"/>
                      <w:szCs w:val="21"/>
                      <w:highlight w:val="none"/>
                    </w:rPr>
                  </w:pPr>
                  <w:r>
                    <w:rPr>
                      <w:color w:val="000000" w:themeColor="text1"/>
                      <w:szCs w:val="21"/>
                      <w:highlight w:val="none"/>
                    </w:rPr>
                    <w:t>地面清洁情况</w:t>
                  </w:r>
                  <w:r>
                    <w:rPr>
                      <w:rFonts w:hint="eastAsia"/>
                      <w:color w:val="000000" w:themeColor="text1"/>
                      <w:szCs w:val="21"/>
                      <w:highlight w:val="none"/>
                    </w:rPr>
                    <w:t>（</w:t>
                  </w:r>
                  <w:r>
                    <w:rPr>
                      <w:color w:val="000000" w:themeColor="text1"/>
                      <w:szCs w:val="21"/>
                      <w:highlight w:val="none"/>
                    </w:rPr>
                    <w:t>kg/m²）</w:t>
                  </w:r>
                </w:p>
              </w:tc>
              <w:tc>
                <w:tcPr>
                  <w:tcW w:w="1029" w:type="dxa"/>
                  <w:tcBorders>
                    <w:tl2br w:val="nil"/>
                    <w:tr2bl w:val="nil"/>
                  </w:tcBorders>
                  <w:vAlign w:val="center"/>
                </w:tcPr>
                <w:p w14:paraId="27EF6246">
                  <w:pPr>
                    <w:jc w:val="center"/>
                    <w:rPr>
                      <w:color w:val="000000" w:themeColor="text1"/>
                      <w:szCs w:val="21"/>
                      <w:highlight w:val="none"/>
                    </w:rPr>
                  </w:pPr>
                  <w:r>
                    <w:rPr>
                      <w:color w:val="000000" w:themeColor="text1"/>
                      <w:szCs w:val="21"/>
                      <w:highlight w:val="none"/>
                    </w:rPr>
                    <w:t>0.1</w:t>
                  </w:r>
                </w:p>
              </w:tc>
              <w:tc>
                <w:tcPr>
                  <w:tcW w:w="1040" w:type="dxa"/>
                  <w:tcBorders>
                    <w:tl2br w:val="nil"/>
                    <w:tr2bl w:val="nil"/>
                  </w:tcBorders>
                  <w:vAlign w:val="center"/>
                </w:tcPr>
                <w:p w14:paraId="74EF2354">
                  <w:pPr>
                    <w:jc w:val="center"/>
                    <w:rPr>
                      <w:color w:val="000000" w:themeColor="text1"/>
                      <w:szCs w:val="21"/>
                      <w:highlight w:val="none"/>
                    </w:rPr>
                  </w:pPr>
                  <w:r>
                    <w:rPr>
                      <w:color w:val="000000" w:themeColor="text1"/>
                      <w:szCs w:val="21"/>
                      <w:highlight w:val="none"/>
                    </w:rPr>
                    <w:t>0.2</w:t>
                  </w:r>
                </w:p>
              </w:tc>
              <w:tc>
                <w:tcPr>
                  <w:tcW w:w="987" w:type="dxa"/>
                  <w:tcBorders>
                    <w:tl2br w:val="nil"/>
                    <w:tr2bl w:val="nil"/>
                  </w:tcBorders>
                  <w:vAlign w:val="center"/>
                </w:tcPr>
                <w:p w14:paraId="3CAAABA1">
                  <w:pPr>
                    <w:jc w:val="center"/>
                    <w:rPr>
                      <w:color w:val="000000" w:themeColor="text1"/>
                      <w:szCs w:val="21"/>
                      <w:highlight w:val="none"/>
                    </w:rPr>
                  </w:pPr>
                  <w:r>
                    <w:rPr>
                      <w:color w:val="000000" w:themeColor="text1"/>
                      <w:szCs w:val="21"/>
                      <w:highlight w:val="none"/>
                    </w:rPr>
                    <w:t>0.3</w:t>
                  </w:r>
                </w:p>
              </w:tc>
              <w:tc>
                <w:tcPr>
                  <w:tcW w:w="906" w:type="dxa"/>
                  <w:tcBorders>
                    <w:tl2br w:val="nil"/>
                    <w:tr2bl w:val="nil"/>
                  </w:tcBorders>
                  <w:vAlign w:val="center"/>
                </w:tcPr>
                <w:p w14:paraId="5B9B1944">
                  <w:pPr>
                    <w:jc w:val="center"/>
                    <w:rPr>
                      <w:color w:val="000000" w:themeColor="text1"/>
                      <w:szCs w:val="21"/>
                      <w:highlight w:val="none"/>
                    </w:rPr>
                  </w:pPr>
                  <w:r>
                    <w:rPr>
                      <w:color w:val="000000" w:themeColor="text1"/>
                      <w:szCs w:val="21"/>
                      <w:highlight w:val="none"/>
                    </w:rPr>
                    <w:t>0.4</w:t>
                  </w:r>
                </w:p>
              </w:tc>
              <w:tc>
                <w:tcPr>
                  <w:tcW w:w="880" w:type="dxa"/>
                  <w:tcBorders>
                    <w:tl2br w:val="nil"/>
                    <w:tr2bl w:val="nil"/>
                  </w:tcBorders>
                  <w:vAlign w:val="center"/>
                </w:tcPr>
                <w:p w14:paraId="03118595">
                  <w:pPr>
                    <w:jc w:val="center"/>
                    <w:rPr>
                      <w:color w:val="000000" w:themeColor="text1"/>
                      <w:szCs w:val="21"/>
                      <w:highlight w:val="none"/>
                    </w:rPr>
                  </w:pPr>
                  <w:r>
                    <w:rPr>
                      <w:color w:val="000000" w:themeColor="text1"/>
                      <w:szCs w:val="21"/>
                      <w:highlight w:val="none"/>
                    </w:rPr>
                    <w:t>0.5</w:t>
                  </w:r>
                </w:p>
              </w:tc>
              <w:tc>
                <w:tcPr>
                  <w:tcW w:w="805" w:type="dxa"/>
                  <w:tcBorders>
                    <w:tl2br w:val="nil"/>
                    <w:tr2bl w:val="nil"/>
                  </w:tcBorders>
                  <w:vAlign w:val="center"/>
                </w:tcPr>
                <w:p w14:paraId="260299C5">
                  <w:pPr>
                    <w:jc w:val="center"/>
                    <w:rPr>
                      <w:color w:val="000000" w:themeColor="text1"/>
                      <w:szCs w:val="21"/>
                      <w:highlight w:val="none"/>
                    </w:rPr>
                  </w:pPr>
                  <w:r>
                    <w:rPr>
                      <w:color w:val="000000" w:themeColor="text1"/>
                      <w:szCs w:val="21"/>
                      <w:highlight w:val="none"/>
                    </w:rPr>
                    <w:t>1.0</w:t>
                  </w:r>
                </w:p>
              </w:tc>
            </w:tr>
            <w:tr w14:paraId="1187A7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35" w:type="dxa"/>
                  <w:vMerge w:val="restart"/>
                  <w:tcBorders>
                    <w:tl2br w:val="nil"/>
                    <w:tr2bl w:val="nil"/>
                  </w:tcBorders>
                  <w:vAlign w:val="center"/>
                </w:tcPr>
                <w:p w14:paraId="336F15D3">
                  <w:pPr>
                    <w:jc w:val="center"/>
                    <w:rPr>
                      <w:color w:val="000000" w:themeColor="text1"/>
                      <w:szCs w:val="21"/>
                      <w:highlight w:val="none"/>
                    </w:rPr>
                  </w:pPr>
                  <w:r>
                    <w:rPr>
                      <w:color w:val="000000" w:themeColor="text1"/>
                      <w:szCs w:val="21"/>
                      <w:highlight w:val="none"/>
                    </w:rPr>
                    <w:t>不同车速</w:t>
                  </w:r>
                  <w:r>
                    <w:rPr>
                      <w:rFonts w:hint="eastAsia"/>
                      <w:color w:val="000000" w:themeColor="text1"/>
                      <w:szCs w:val="21"/>
                      <w:highlight w:val="none"/>
                    </w:rPr>
                    <w:t>（</w:t>
                  </w:r>
                  <w:r>
                    <w:rPr>
                      <w:color w:val="000000" w:themeColor="text1"/>
                      <w:szCs w:val="21"/>
                      <w:highlight w:val="none"/>
                    </w:rPr>
                    <w:t>km/h）</w:t>
                  </w:r>
                </w:p>
              </w:tc>
              <w:tc>
                <w:tcPr>
                  <w:tcW w:w="1405" w:type="dxa"/>
                  <w:tcBorders>
                    <w:tl2br w:val="nil"/>
                    <w:tr2bl w:val="nil"/>
                  </w:tcBorders>
                  <w:vAlign w:val="center"/>
                </w:tcPr>
                <w:p w14:paraId="255A226F">
                  <w:pPr>
                    <w:jc w:val="center"/>
                    <w:rPr>
                      <w:color w:val="000000" w:themeColor="text1"/>
                      <w:szCs w:val="21"/>
                      <w:highlight w:val="none"/>
                    </w:rPr>
                  </w:pPr>
                  <w:r>
                    <w:rPr>
                      <w:color w:val="000000" w:themeColor="text1"/>
                      <w:szCs w:val="21"/>
                      <w:highlight w:val="none"/>
                    </w:rPr>
                    <w:t>5</w:t>
                  </w:r>
                </w:p>
              </w:tc>
              <w:tc>
                <w:tcPr>
                  <w:tcW w:w="1029" w:type="dxa"/>
                  <w:tcBorders>
                    <w:tl2br w:val="nil"/>
                    <w:tr2bl w:val="nil"/>
                  </w:tcBorders>
                  <w:vAlign w:val="center"/>
                </w:tcPr>
                <w:p w14:paraId="4B273AFD">
                  <w:pPr>
                    <w:jc w:val="center"/>
                    <w:rPr>
                      <w:color w:val="000000" w:themeColor="text1"/>
                      <w:szCs w:val="21"/>
                      <w:highlight w:val="none"/>
                    </w:rPr>
                  </w:pPr>
                  <w:r>
                    <w:rPr>
                      <w:color w:val="000000" w:themeColor="text1"/>
                      <w:szCs w:val="21"/>
                      <w:highlight w:val="none"/>
                    </w:rPr>
                    <w:t>0.0511</w:t>
                  </w:r>
                </w:p>
              </w:tc>
              <w:tc>
                <w:tcPr>
                  <w:tcW w:w="1040" w:type="dxa"/>
                  <w:tcBorders>
                    <w:tl2br w:val="nil"/>
                    <w:tr2bl w:val="nil"/>
                  </w:tcBorders>
                  <w:vAlign w:val="center"/>
                </w:tcPr>
                <w:p w14:paraId="3645DBF5">
                  <w:pPr>
                    <w:jc w:val="center"/>
                    <w:rPr>
                      <w:color w:val="000000" w:themeColor="text1"/>
                      <w:szCs w:val="21"/>
                      <w:highlight w:val="none"/>
                    </w:rPr>
                  </w:pPr>
                  <w:r>
                    <w:rPr>
                      <w:color w:val="000000" w:themeColor="text1"/>
                      <w:szCs w:val="21"/>
                      <w:highlight w:val="none"/>
                    </w:rPr>
                    <w:t>0.0859</w:t>
                  </w:r>
                </w:p>
              </w:tc>
              <w:tc>
                <w:tcPr>
                  <w:tcW w:w="987" w:type="dxa"/>
                  <w:tcBorders>
                    <w:tl2br w:val="nil"/>
                    <w:tr2bl w:val="nil"/>
                  </w:tcBorders>
                  <w:vAlign w:val="center"/>
                </w:tcPr>
                <w:p w14:paraId="2CE0F0CB">
                  <w:pPr>
                    <w:jc w:val="center"/>
                    <w:rPr>
                      <w:color w:val="000000" w:themeColor="text1"/>
                      <w:szCs w:val="21"/>
                      <w:highlight w:val="none"/>
                    </w:rPr>
                  </w:pPr>
                  <w:r>
                    <w:rPr>
                      <w:color w:val="000000" w:themeColor="text1"/>
                      <w:szCs w:val="21"/>
                      <w:highlight w:val="none"/>
                    </w:rPr>
                    <w:t>0.1164</w:t>
                  </w:r>
                </w:p>
              </w:tc>
              <w:tc>
                <w:tcPr>
                  <w:tcW w:w="906" w:type="dxa"/>
                  <w:tcBorders>
                    <w:tl2br w:val="nil"/>
                    <w:tr2bl w:val="nil"/>
                  </w:tcBorders>
                  <w:vAlign w:val="center"/>
                </w:tcPr>
                <w:p w14:paraId="511A4C64">
                  <w:pPr>
                    <w:jc w:val="center"/>
                    <w:rPr>
                      <w:color w:val="000000" w:themeColor="text1"/>
                      <w:szCs w:val="21"/>
                      <w:highlight w:val="none"/>
                    </w:rPr>
                  </w:pPr>
                  <w:r>
                    <w:rPr>
                      <w:color w:val="000000" w:themeColor="text1"/>
                      <w:szCs w:val="21"/>
                      <w:highlight w:val="none"/>
                    </w:rPr>
                    <w:t>0.1444</w:t>
                  </w:r>
                </w:p>
              </w:tc>
              <w:tc>
                <w:tcPr>
                  <w:tcW w:w="880" w:type="dxa"/>
                  <w:tcBorders>
                    <w:tl2br w:val="nil"/>
                    <w:tr2bl w:val="nil"/>
                  </w:tcBorders>
                  <w:vAlign w:val="center"/>
                </w:tcPr>
                <w:p w14:paraId="6FFE3945">
                  <w:pPr>
                    <w:jc w:val="center"/>
                    <w:rPr>
                      <w:color w:val="000000" w:themeColor="text1"/>
                      <w:szCs w:val="21"/>
                      <w:highlight w:val="none"/>
                    </w:rPr>
                  </w:pPr>
                  <w:r>
                    <w:rPr>
                      <w:color w:val="000000" w:themeColor="text1"/>
                      <w:szCs w:val="21"/>
                      <w:highlight w:val="none"/>
                    </w:rPr>
                    <w:t>0.1707</w:t>
                  </w:r>
                </w:p>
              </w:tc>
              <w:tc>
                <w:tcPr>
                  <w:tcW w:w="805" w:type="dxa"/>
                  <w:tcBorders>
                    <w:tl2br w:val="nil"/>
                    <w:tr2bl w:val="nil"/>
                  </w:tcBorders>
                  <w:vAlign w:val="center"/>
                </w:tcPr>
                <w:p w14:paraId="19EAA236">
                  <w:pPr>
                    <w:jc w:val="center"/>
                    <w:rPr>
                      <w:color w:val="000000" w:themeColor="text1"/>
                      <w:szCs w:val="21"/>
                      <w:highlight w:val="none"/>
                    </w:rPr>
                  </w:pPr>
                  <w:r>
                    <w:rPr>
                      <w:color w:val="000000" w:themeColor="text1"/>
                      <w:szCs w:val="21"/>
                      <w:highlight w:val="none"/>
                    </w:rPr>
                    <w:t>0.2871</w:t>
                  </w:r>
                </w:p>
              </w:tc>
            </w:tr>
            <w:tr w14:paraId="6E80F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35" w:type="dxa"/>
                  <w:vMerge w:val="continue"/>
                  <w:tcBorders>
                    <w:tl2br w:val="nil"/>
                    <w:tr2bl w:val="nil"/>
                  </w:tcBorders>
                  <w:vAlign w:val="center"/>
                </w:tcPr>
                <w:p w14:paraId="5FF9EC98">
                  <w:pPr>
                    <w:jc w:val="center"/>
                    <w:rPr>
                      <w:color w:val="000000" w:themeColor="text1"/>
                      <w:szCs w:val="21"/>
                      <w:highlight w:val="none"/>
                    </w:rPr>
                  </w:pPr>
                </w:p>
              </w:tc>
              <w:tc>
                <w:tcPr>
                  <w:tcW w:w="1405" w:type="dxa"/>
                  <w:tcBorders>
                    <w:tl2br w:val="nil"/>
                    <w:tr2bl w:val="nil"/>
                  </w:tcBorders>
                  <w:vAlign w:val="center"/>
                </w:tcPr>
                <w:p w14:paraId="567AF8E2">
                  <w:pPr>
                    <w:jc w:val="center"/>
                    <w:rPr>
                      <w:color w:val="000000" w:themeColor="text1"/>
                      <w:szCs w:val="21"/>
                      <w:highlight w:val="none"/>
                    </w:rPr>
                  </w:pPr>
                  <w:r>
                    <w:rPr>
                      <w:color w:val="000000" w:themeColor="text1"/>
                      <w:szCs w:val="21"/>
                      <w:highlight w:val="none"/>
                    </w:rPr>
                    <w:t>10</w:t>
                  </w:r>
                </w:p>
              </w:tc>
              <w:tc>
                <w:tcPr>
                  <w:tcW w:w="1029" w:type="dxa"/>
                  <w:tcBorders>
                    <w:tl2br w:val="nil"/>
                    <w:tr2bl w:val="nil"/>
                  </w:tcBorders>
                  <w:vAlign w:val="center"/>
                </w:tcPr>
                <w:p w14:paraId="036411B2">
                  <w:pPr>
                    <w:jc w:val="center"/>
                    <w:rPr>
                      <w:color w:val="000000" w:themeColor="text1"/>
                      <w:szCs w:val="21"/>
                      <w:highlight w:val="none"/>
                    </w:rPr>
                  </w:pPr>
                  <w:r>
                    <w:rPr>
                      <w:color w:val="000000" w:themeColor="text1"/>
                      <w:szCs w:val="21"/>
                      <w:highlight w:val="none"/>
                    </w:rPr>
                    <w:t>0.1021</w:t>
                  </w:r>
                </w:p>
              </w:tc>
              <w:tc>
                <w:tcPr>
                  <w:tcW w:w="1040" w:type="dxa"/>
                  <w:tcBorders>
                    <w:tl2br w:val="nil"/>
                    <w:tr2bl w:val="nil"/>
                  </w:tcBorders>
                  <w:vAlign w:val="center"/>
                </w:tcPr>
                <w:p w14:paraId="27F7F62F">
                  <w:pPr>
                    <w:jc w:val="center"/>
                    <w:rPr>
                      <w:color w:val="000000" w:themeColor="text1"/>
                      <w:szCs w:val="21"/>
                      <w:highlight w:val="none"/>
                    </w:rPr>
                  </w:pPr>
                  <w:r>
                    <w:rPr>
                      <w:color w:val="000000" w:themeColor="text1"/>
                      <w:szCs w:val="21"/>
                      <w:highlight w:val="none"/>
                    </w:rPr>
                    <w:t>0.1717</w:t>
                  </w:r>
                </w:p>
              </w:tc>
              <w:tc>
                <w:tcPr>
                  <w:tcW w:w="987" w:type="dxa"/>
                  <w:tcBorders>
                    <w:tl2br w:val="nil"/>
                    <w:tr2bl w:val="nil"/>
                  </w:tcBorders>
                  <w:vAlign w:val="center"/>
                </w:tcPr>
                <w:p w14:paraId="56F3870E">
                  <w:pPr>
                    <w:jc w:val="center"/>
                    <w:rPr>
                      <w:color w:val="000000" w:themeColor="text1"/>
                      <w:szCs w:val="21"/>
                      <w:highlight w:val="none"/>
                    </w:rPr>
                  </w:pPr>
                  <w:r>
                    <w:rPr>
                      <w:color w:val="000000" w:themeColor="text1"/>
                      <w:szCs w:val="21"/>
                      <w:highlight w:val="none"/>
                    </w:rPr>
                    <w:t>0.2328</w:t>
                  </w:r>
                </w:p>
              </w:tc>
              <w:tc>
                <w:tcPr>
                  <w:tcW w:w="906" w:type="dxa"/>
                  <w:tcBorders>
                    <w:tl2br w:val="nil"/>
                    <w:tr2bl w:val="nil"/>
                  </w:tcBorders>
                  <w:vAlign w:val="center"/>
                </w:tcPr>
                <w:p w14:paraId="29EEFB57">
                  <w:pPr>
                    <w:jc w:val="center"/>
                    <w:rPr>
                      <w:color w:val="000000" w:themeColor="text1"/>
                      <w:szCs w:val="21"/>
                      <w:highlight w:val="none"/>
                    </w:rPr>
                  </w:pPr>
                  <w:r>
                    <w:rPr>
                      <w:color w:val="000000" w:themeColor="text1"/>
                      <w:szCs w:val="21"/>
                      <w:highlight w:val="none"/>
                    </w:rPr>
                    <w:t>0.2888</w:t>
                  </w:r>
                </w:p>
              </w:tc>
              <w:tc>
                <w:tcPr>
                  <w:tcW w:w="880" w:type="dxa"/>
                  <w:tcBorders>
                    <w:tl2br w:val="nil"/>
                    <w:tr2bl w:val="nil"/>
                  </w:tcBorders>
                  <w:vAlign w:val="center"/>
                </w:tcPr>
                <w:p w14:paraId="5F99AD7D">
                  <w:pPr>
                    <w:jc w:val="center"/>
                    <w:rPr>
                      <w:color w:val="000000" w:themeColor="text1"/>
                      <w:szCs w:val="21"/>
                      <w:highlight w:val="none"/>
                    </w:rPr>
                  </w:pPr>
                  <w:r>
                    <w:rPr>
                      <w:color w:val="000000" w:themeColor="text1"/>
                      <w:szCs w:val="21"/>
                      <w:highlight w:val="none"/>
                    </w:rPr>
                    <w:t>0.3414</w:t>
                  </w:r>
                </w:p>
              </w:tc>
              <w:tc>
                <w:tcPr>
                  <w:tcW w:w="805" w:type="dxa"/>
                  <w:tcBorders>
                    <w:tl2br w:val="nil"/>
                    <w:tr2bl w:val="nil"/>
                  </w:tcBorders>
                  <w:vAlign w:val="center"/>
                </w:tcPr>
                <w:p w14:paraId="43BB1C17">
                  <w:pPr>
                    <w:jc w:val="center"/>
                    <w:rPr>
                      <w:color w:val="000000" w:themeColor="text1"/>
                      <w:szCs w:val="21"/>
                      <w:highlight w:val="none"/>
                    </w:rPr>
                  </w:pPr>
                  <w:r>
                    <w:rPr>
                      <w:color w:val="000000" w:themeColor="text1"/>
                      <w:szCs w:val="21"/>
                      <w:highlight w:val="none"/>
                    </w:rPr>
                    <w:t>0.5742</w:t>
                  </w:r>
                </w:p>
              </w:tc>
            </w:tr>
            <w:tr w14:paraId="476611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35" w:type="dxa"/>
                  <w:vMerge w:val="continue"/>
                  <w:tcBorders>
                    <w:tl2br w:val="nil"/>
                    <w:tr2bl w:val="nil"/>
                  </w:tcBorders>
                  <w:vAlign w:val="center"/>
                </w:tcPr>
                <w:p w14:paraId="0E5962EE">
                  <w:pPr>
                    <w:jc w:val="center"/>
                    <w:rPr>
                      <w:color w:val="000000" w:themeColor="text1"/>
                      <w:szCs w:val="21"/>
                      <w:highlight w:val="none"/>
                    </w:rPr>
                  </w:pPr>
                </w:p>
              </w:tc>
              <w:tc>
                <w:tcPr>
                  <w:tcW w:w="1405" w:type="dxa"/>
                  <w:tcBorders>
                    <w:tl2br w:val="nil"/>
                    <w:tr2bl w:val="nil"/>
                  </w:tcBorders>
                  <w:vAlign w:val="center"/>
                </w:tcPr>
                <w:p w14:paraId="307DD7CD">
                  <w:pPr>
                    <w:jc w:val="center"/>
                    <w:rPr>
                      <w:color w:val="000000" w:themeColor="text1"/>
                      <w:szCs w:val="21"/>
                      <w:highlight w:val="none"/>
                    </w:rPr>
                  </w:pPr>
                  <w:r>
                    <w:rPr>
                      <w:color w:val="000000" w:themeColor="text1"/>
                      <w:szCs w:val="21"/>
                      <w:highlight w:val="none"/>
                    </w:rPr>
                    <w:t>15</w:t>
                  </w:r>
                </w:p>
              </w:tc>
              <w:tc>
                <w:tcPr>
                  <w:tcW w:w="1029" w:type="dxa"/>
                  <w:tcBorders>
                    <w:tl2br w:val="nil"/>
                    <w:tr2bl w:val="nil"/>
                  </w:tcBorders>
                  <w:vAlign w:val="center"/>
                </w:tcPr>
                <w:p w14:paraId="6DF70E17">
                  <w:pPr>
                    <w:jc w:val="center"/>
                    <w:rPr>
                      <w:color w:val="000000" w:themeColor="text1"/>
                      <w:szCs w:val="21"/>
                      <w:highlight w:val="none"/>
                    </w:rPr>
                  </w:pPr>
                  <w:r>
                    <w:rPr>
                      <w:color w:val="000000" w:themeColor="text1"/>
                      <w:szCs w:val="21"/>
                      <w:highlight w:val="none"/>
                    </w:rPr>
                    <w:t>0.1532</w:t>
                  </w:r>
                </w:p>
              </w:tc>
              <w:tc>
                <w:tcPr>
                  <w:tcW w:w="1040" w:type="dxa"/>
                  <w:tcBorders>
                    <w:tl2br w:val="nil"/>
                    <w:tr2bl w:val="nil"/>
                  </w:tcBorders>
                  <w:vAlign w:val="center"/>
                </w:tcPr>
                <w:p w14:paraId="4DF43523">
                  <w:pPr>
                    <w:jc w:val="center"/>
                    <w:rPr>
                      <w:color w:val="000000" w:themeColor="text1"/>
                      <w:szCs w:val="21"/>
                      <w:highlight w:val="none"/>
                    </w:rPr>
                  </w:pPr>
                  <w:r>
                    <w:rPr>
                      <w:color w:val="000000" w:themeColor="text1"/>
                      <w:szCs w:val="21"/>
                      <w:highlight w:val="none"/>
                    </w:rPr>
                    <w:t>0.2576</w:t>
                  </w:r>
                </w:p>
              </w:tc>
              <w:tc>
                <w:tcPr>
                  <w:tcW w:w="987" w:type="dxa"/>
                  <w:tcBorders>
                    <w:tl2br w:val="nil"/>
                    <w:tr2bl w:val="nil"/>
                  </w:tcBorders>
                  <w:vAlign w:val="center"/>
                </w:tcPr>
                <w:p w14:paraId="0BCD4343">
                  <w:pPr>
                    <w:jc w:val="center"/>
                    <w:rPr>
                      <w:color w:val="000000" w:themeColor="text1"/>
                      <w:szCs w:val="21"/>
                      <w:highlight w:val="none"/>
                    </w:rPr>
                  </w:pPr>
                  <w:r>
                    <w:rPr>
                      <w:color w:val="000000" w:themeColor="text1"/>
                      <w:szCs w:val="21"/>
                      <w:highlight w:val="none"/>
                    </w:rPr>
                    <w:t>0.3491</w:t>
                  </w:r>
                </w:p>
              </w:tc>
              <w:tc>
                <w:tcPr>
                  <w:tcW w:w="906" w:type="dxa"/>
                  <w:tcBorders>
                    <w:tl2br w:val="nil"/>
                    <w:tr2bl w:val="nil"/>
                  </w:tcBorders>
                  <w:vAlign w:val="center"/>
                </w:tcPr>
                <w:p w14:paraId="30D590DE">
                  <w:pPr>
                    <w:jc w:val="center"/>
                    <w:rPr>
                      <w:color w:val="000000" w:themeColor="text1"/>
                      <w:szCs w:val="21"/>
                      <w:highlight w:val="none"/>
                    </w:rPr>
                  </w:pPr>
                  <w:r>
                    <w:rPr>
                      <w:color w:val="000000" w:themeColor="text1"/>
                      <w:szCs w:val="21"/>
                      <w:highlight w:val="none"/>
                    </w:rPr>
                    <w:t>0.4332</w:t>
                  </w:r>
                </w:p>
              </w:tc>
              <w:tc>
                <w:tcPr>
                  <w:tcW w:w="880" w:type="dxa"/>
                  <w:tcBorders>
                    <w:tl2br w:val="nil"/>
                    <w:tr2bl w:val="nil"/>
                  </w:tcBorders>
                  <w:vAlign w:val="center"/>
                </w:tcPr>
                <w:p w14:paraId="1DF7D686">
                  <w:pPr>
                    <w:jc w:val="center"/>
                    <w:rPr>
                      <w:color w:val="000000" w:themeColor="text1"/>
                      <w:szCs w:val="21"/>
                      <w:highlight w:val="none"/>
                    </w:rPr>
                  </w:pPr>
                  <w:r>
                    <w:rPr>
                      <w:color w:val="000000" w:themeColor="text1"/>
                      <w:szCs w:val="21"/>
                      <w:highlight w:val="none"/>
                    </w:rPr>
                    <w:t>0.5121</w:t>
                  </w:r>
                </w:p>
              </w:tc>
              <w:tc>
                <w:tcPr>
                  <w:tcW w:w="805" w:type="dxa"/>
                  <w:tcBorders>
                    <w:tl2br w:val="nil"/>
                    <w:tr2bl w:val="nil"/>
                  </w:tcBorders>
                  <w:vAlign w:val="center"/>
                </w:tcPr>
                <w:p w14:paraId="3302C3FA">
                  <w:pPr>
                    <w:jc w:val="center"/>
                    <w:rPr>
                      <w:color w:val="000000" w:themeColor="text1"/>
                      <w:szCs w:val="21"/>
                      <w:highlight w:val="none"/>
                    </w:rPr>
                  </w:pPr>
                  <w:r>
                    <w:rPr>
                      <w:color w:val="000000" w:themeColor="text1"/>
                      <w:szCs w:val="21"/>
                      <w:highlight w:val="none"/>
                    </w:rPr>
                    <w:t>0.8613</w:t>
                  </w:r>
                </w:p>
              </w:tc>
            </w:tr>
            <w:tr w14:paraId="23EAD5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35" w:type="dxa"/>
                  <w:vMerge w:val="continue"/>
                  <w:tcBorders>
                    <w:tl2br w:val="nil"/>
                    <w:tr2bl w:val="nil"/>
                  </w:tcBorders>
                  <w:vAlign w:val="center"/>
                </w:tcPr>
                <w:p w14:paraId="37EC5809">
                  <w:pPr>
                    <w:jc w:val="center"/>
                    <w:rPr>
                      <w:color w:val="000000" w:themeColor="text1"/>
                      <w:szCs w:val="21"/>
                      <w:highlight w:val="none"/>
                    </w:rPr>
                  </w:pPr>
                </w:p>
              </w:tc>
              <w:tc>
                <w:tcPr>
                  <w:tcW w:w="1405" w:type="dxa"/>
                  <w:tcBorders>
                    <w:tl2br w:val="nil"/>
                    <w:tr2bl w:val="nil"/>
                  </w:tcBorders>
                  <w:vAlign w:val="center"/>
                </w:tcPr>
                <w:p w14:paraId="45DA3CB5">
                  <w:pPr>
                    <w:jc w:val="center"/>
                    <w:rPr>
                      <w:color w:val="000000" w:themeColor="text1"/>
                      <w:szCs w:val="21"/>
                      <w:highlight w:val="none"/>
                    </w:rPr>
                  </w:pPr>
                  <w:r>
                    <w:rPr>
                      <w:color w:val="000000" w:themeColor="text1"/>
                      <w:szCs w:val="21"/>
                      <w:highlight w:val="none"/>
                    </w:rPr>
                    <w:t>25</w:t>
                  </w:r>
                </w:p>
              </w:tc>
              <w:tc>
                <w:tcPr>
                  <w:tcW w:w="1029" w:type="dxa"/>
                  <w:tcBorders>
                    <w:tl2br w:val="nil"/>
                    <w:tr2bl w:val="nil"/>
                  </w:tcBorders>
                  <w:vAlign w:val="center"/>
                </w:tcPr>
                <w:p w14:paraId="3BEFBF9B">
                  <w:pPr>
                    <w:jc w:val="center"/>
                    <w:rPr>
                      <w:color w:val="000000" w:themeColor="text1"/>
                      <w:szCs w:val="21"/>
                      <w:highlight w:val="none"/>
                    </w:rPr>
                  </w:pPr>
                  <w:r>
                    <w:rPr>
                      <w:color w:val="000000" w:themeColor="text1"/>
                      <w:szCs w:val="21"/>
                      <w:highlight w:val="none"/>
                    </w:rPr>
                    <w:t>0.2553</w:t>
                  </w:r>
                </w:p>
              </w:tc>
              <w:tc>
                <w:tcPr>
                  <w:tcW w:w="1040" w:type="dxa"/>
                  <w:tcBorders>
                    <w:tl2br w:val="nil"/>
                    <w:tr2bl w:val="nil"/>
                  </w:tcBorders>
                  <w:vAlign w:val="center"/>
                </w:tcPr>
                <w:p w14:paraId="76876261">
                  <w:pPr>
                    <w:jc w:val="center"/>
                    <w:rPr>
                      <w:color w:val="000000" w:themeColor="text1"/>
                      <w:szCs w:val="21"/>
                      <w:highlight w:val="none"/>
                    </w:rPr>
                  </w:pPr>
                  <w:r>
                    <w:rPr>
                      <w:color w:val="000000" w:themeColor="text1"/>
                      <w:szCs w:val="21"/>
                      <w:highlight w:val="none"/>
                    </w:rPr>
                    <w:t>0.4293</w:t>
                  </w:r>
                </w:p>
              </w:tc>
              <w:tc>
                <w:tcPr>
                  <w:tcW w:w="987" w:type="dxa"/>
                  <w:tcBorders>
                    <w:tl2br w:val="nil"/>
                    <w:tr2bl w:val="nil"/>
                  </w:tcBorders>
                  <w:vAlign w:val="center"/>
                </w:tcPr>
                <w:p w14:paraId="75B1A863">
                  <w:pPr>
                    <w:jc w:val="center"/>
                    <w:rPr>
                      <w:color w:val="000000" w:themeColor="text1"/>
                      <w:szCs w:val="21"/>
                      <w:highlight w:val="none"/>
                    </w:rPr>
                  </w:pPr>
                  <w:r>
                    <w:rPr>
                      <w:color w:val="000000" w:themeColor="text1"/>
                      <w:szCs w:val="21"/>
                      <w:highlight w:val="none"/>
                    </w:rPr>
                    <w:t>0.5819</w:t>
                  </w:r>
                </w:p>
              </w:tc>
              <w:tc>
                <w:tcPr>
                  <w:tcW w:w="906" w:type="dxa"/>
                  <w:tcBorders>
                    <w:tl2br w:val="nil"/>
                    <w:tr2bl w:val="nil"/>
                  </w:tcBorders>
                  <w:vAlign w:val="center"/>
                </w:tcPr>
                <w:p w14:paraId="413D2DF3">
                  <w:pPr>
                    <w:jc w:val="center"/>
                    <w:rPr>
                      <w:color w:val="000000" w:themeColor="text1"/>
                      <w:szCs w:val="21"/>
                      <w:highlight w:val="none"/>
                    </w:rPr>
                  </w:pPr>
                  <w:r>
                    <w:rPr>
                      <w:color w:val="000000" w:themeColor="text1"/>
                      <w:szCs w:val="21"/>
                      <w:highlight w:val="none"/>
                    </w:rPr>
                    <w:t>0.7220</w:t>
                  </w:r>
                </w:p>
              </w:tc>
              <w:tc>
                <w:tcPr>
                  <w:tcW w:w="880" w:type="dxa"/>
                  <w:tcBorders>
                    <w:tl2br w:val="nil"/>
                    <w:tr2bl w:val="nil"/>
                  </w:tcBorders>
                  <w:vAlign w:val="center"/>
                </w:tcPr>
                <w:p w14:paraId="4D174AF0">
                  <w:pPr>
                    <w:jc w:val="center"/>
                    <w:rPr>
                      <w:color w:val="000000" w:themeColor="text1"/>
                      <w:szCs w:val="21"/>
                      <w:highlight w:val="none"/>
                    </w:rPr>
                  </w:pPr>
                  <w:r>
                    <w:rPr>
                      <w:color w:val="000000" w:themeColor="text1"/>
                      <w:szCs w:val="21"/>
                      <w:highlight w:val="none"/>
                    </w:rPr>
                    <w:t>0.8536</w:t>
                  </w:r>
                </w:p>
              </w:tc>
              <w:tc>
                <w:tcPr>
                  <w:tcW w:w="805" w:type="dxa"/>
                  <w:tcBorders>
                    <w:tl2br w:val="nil"/>
                    <w:tr2bl w:val="nil"/>
                  </w:tcBorders>
                  <w:vAlign w:val="center"/>
                </w:tcPr>
                <w:p w14:paraId="64B9E389">
                  <w:pPr>
                    <w:jc w:val="center"/>
                    <w:rPr>
                      <w:color w:val="000000" w:themeColor="text1"/>
                      <w:szCs w:val="21"/>
                      <w:highlight w:val="none"/>
                    </w:rPr>
                  </w:pPr>
                  <w:r>
                    <w:rPr>
                      <w:color w:val="000000" w:themeColor="text1"/>
                      <w:szCs w:val="21"/>
                      <w:highlight w:val="none"/>
                    </w:rPr>
                    <w:t>1.4355</w:t>
                  </w:r>
                </w:p>
              </w:tc>
            </w:tr>
          </w:tbl>
          <w:p w14:paraId="764A3BC9">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由此可见，在同样路面清洁程度条件下，车速越快，扬尘量越大；而在同样车速的情况下，路面越脏，则扬尘量越大。因此对出入施工场地车辆限速行驶及保持路面清洁是减少和防止汽车扬尘的有效手段。本次评价要求必须采取抑尘措施，如施工场地洒水抑尘，做到施工现场及场外道路泥土及时清理，车辆限速行驶，减少二次扬尘。做到有效缓解施工期扬尘对周围环境的不利影响。</w:t>
            </w:r>
          </w:p>
          <w:p w14:paraId="5689FAB3">
            <w:pPr>
              <w:spacing w:line="360" w:lineRule="auto"/>
              <w:ind w:firstLine="480" w:firstLineChars="200"/>
              <w:outlineLvl w:val="1"/>
              <w:rPr>
                <w:color w:val="000000" w:themeColor="text1"/>
                <w:sz w:val="24"/>
                <w:highlight w:val="none"/>
              </w:rPr>
            </w:pPr>
            <w:r>
              <w:rPr>
                <w:rFonts w:hint="eastAsia"/>
                <w:color w:val="000000" w:themeColor="text1"/>
                <w:sz w:val="24"/>
                <w:highlight w:val="none"/>
              </w:rPr>
              <w:t>（</w:t>
            </w:r>
            <w:r>
              <w:rPr>
                <w:color w:val="000000" w:themeColor="text1"/>
                <w:sz w:val="24"/>
                <w:highlight w:val="none"/>
              </w:rPr>
              <w:t>2）施工机械与运输车辆的燃油废气</w:t>
            </w:r>
          </w:p>
          <w:p w14:paraId="3DA43C25">
            <w:pPr>
              <w:adjustRightInd w:val="0"/>
              <w:snapToGrid w:val="0"/>
              <w:spacing w:line="360" w:lineRule="auto"/>
              <w:ind w:firstLine="480" w:firstLineChars="200"/>
              <w:rPr>
                <w:color w:val="000000" w:themeColor="text1"/>
                <w:sz w:val="24"/>
                <w:highlight w:val="none"/>
              </w:rPr>
            </w:pPr>
            <w:r>
              <w:rPr>
                <w:color w:val="000000" w:themeColor="text1"/>
                <w:kern w:val="0"/>
                <w:sz w:val="24"/>
                <w:highlight w:val="none"/>
              </w:rPr>
              <w:t>本项目施工过程用到的施工机械主要有装载机、推土机以及各种运输车辆等，以柴油和汽油为主要燃料，间断运行，运行过程中都会产生一定量的废气，主要以NO</w:t>
            </w:r>
            <w:r>
              <w:rPr>
                <w:color w:val="000000" w:themeColor="text1"/>
                <w:kern w:val="0"/>
                <w:sz w:val="24"/>
                <w:highlight w:val="none"/>
                <w:vertAlign w:val="subscript"/>
              </w:rPr>
              <w:t>X</w:t>
            </w:r>
            <w:r>
              <w:rPr>
                <w:color w:val="000000" w:themeColor="text1"/>
                <w:kern w:val="0"/>
                <w:sz w:val="24"/>
                <w:highlight w:val="none"/>
              </w:rPr>
              <w:t>、CO和THC为主，为无组织排放，污染物排放量的大小与机械质量、油品质量、车辆运输量、设备类型以及运行的工况有关。本项目施工期</w:t>
            </w:r>
            <w:r>
              <w:rPr>
                <w:rFonts w:hint="eastAsia"/>
                <w:color w:val="000000" w:themeColor="text1"/>
                <w:kern w:val="0"/>
                <w:sz w:val="24"/>
                <w:highlight w:val="none"/>
              </w:rPr>
              <w:t>间</w:t>
            </w:r>
            <w:r>
              <w:rPr>
                <w:color w:val="000000" w:themeColor="text1"/>
                <w:kern w:val="0"/>
                <w:sz w:val="24"/>
                <w:highlight w:val="none"/>
              </w:rPr>
              <w:t>各机械设备</w:t>
            </w:r>
            <w:r>
              <w:rPr>
                <w:rFonts w:hint="eastAsia"/>
                <w:color w:val="000000" w:themeColor="text1"/>
                <w:kern w:val="0"/>
                <w:sz w:val="24"/>
                <w:highlight w:val="none"/>
              </w:rPr>
              <w:t>的</w:t>
            </w:r>
            <w:r>
              <w:rPr>
                <w:color w:val="000000" w:themeColor="text1"/>
                <w:kern w:val="0"/>
                <w:sz w:val="24"/>
                <w:highlight w:val="none"/>
              </w:rPr>
              <w:t>使用满足标准的油品，且本次工程施工场地空旷，在加强施工机械、车辆等运行管理与维护保养情况下，可减少尾气排放对环境的污染，经扩散后对环境影响小。</w:t>
            </w:r>
          </w:p>
          <w:p w14:paraId="691E6FC8">
            <w:pPr>
              <w:snapToGrid w:val="0"/>
              <w:spacing w:line="360" w:lineRule="auto"/>
              <w:ind w:firstLine="482" w:firstLineChars="200"/>
              <w:rPr>
                <w:b/>
                <w:bCs/>
                <w:color w:val="000000" w:themeColor="text1"/>
                <w:sz w:val="24"/>
                <w:highlight w:val="none"/>
              </w:rPr>
            </w:pPr>
            <w:r>
              <w:rPr>
                <w:b/>
                <w:bCs/>
                <w:color w:val="000000" w:themeColor="text1"/>
                <w:sz w:val="24"/>
                <w:highlight w:val="none"/>
              </w:rPr>
              <w:t>三、水环境影响分析</w:t>
            </w:r>
          </w:p>
          <w:p w14:paraId="7D485FFC">
            <w:pPr>
              <w:spacing w:line="360" w:lineRule="auto"/>
              <w:ind w:firstLine="480" w:firstLineChars="200"/>
              <w:rPr>
                <w:color w:val="000000" w:themeColor="text1"/>
                <w:kern w:val="0"/>
                <w:sz w:val="24"/>
                <w:highlight w:val="none"/>
              </w:rPr>
            </w:pPr>
            <w:r>
              <w:rPr>
                <w:color w:val="000000" w:themeColor="text1"/>
                <w:kern w:val="0"/>
                <w:sz w:val="24"/>
                <w:highlight w:val="none"/>
              </w:rPr>
              <w:t>本项目施工废水主要为施工废水</w:t>
            </w:r>
            <w:r>
              <w:rPr>
                <w:rFonts w:hint="eastAsia"/>
                <w:color w:val="000000" w:themeColor="text1"/>
                <w:kern w:val="0"/>
                <w:sz w:val="24"/>
                <w:highlight w:val="none"/>
              </w:rPr>
              <w:t>、</w:t>
            </w:r>
            <w:r>
              <w:rPr>
                <w:color w:val="000000" w:themeColor="text1"/>
                <w:kern w:val="0"/>
                <w:sz w:val="24"/>
                <w:highlight w:val="none"/>
              </w:rPr>
              <w:t>施工</w:t>
            </w:r>
            <w:r>
              <w:rPr>
                <w:color w:val="000000" w:themeColor="text1"/>
                <w:sz w:val="24"/>
                <w:highlight w:val="none"/>
              </w:rPr>
              <w:t>人员</w:t>
            </w:r>
            <w:r>
              <w:rPr>
                <w:color w:val="000000" w:themeColor="text1"/>
                <w:kern w:val="0"/>
                <w:sz w:val="24"/>
                <w:highlight w:val="none"/>
              </w:rPr>
              <w:t>生活污水和</w:t>
            </w:r>
            <w:r>
              <w:rPr>
                <w:rFonts w:hint="eastAsia"/>
                <w:color w:val="000000" w:themeColor="text1"/>
                <w:kern w:val="0"/>
                <w:sz w:val="24"/>
                <w:highlight w:val="none"/>
              </w:rPr>
              <w:t>井筒废水</w:t>
            </w:r>
            <w:r>
              <w:rPr>
                <w:color w:val="000000" w:themeColor="text1"/>
                <w:kern w:val="0"/>
                <w:sz w:val="24"/>
                <w:highlight w:val="none"/>
              </w:rPr>
              <w:t>。</w:t>
            </w:r>
          </w:p>
          <w:p w14:paraId="7D68C75A">
            <w:pPr>
              <w:spacing w:line="360" w:lineRule="auto"/>
              <w:ind w:firstLine="480" w:firstLineChars="200"/>
              <w:rPr>
                <w:color w:val="000000" w:themeColor="text1"/>
                <w:kern w:val="0"/>
                <w:sz w:val="24"/>
                <w:highlight w:val="none"/>
              </w:rPr>
            </w:pPr>
            <w:r>
              <w:rPr>
                <w:rFonts w:hint="eastAsia"/>
                <w:color w:val="000000" w:themeColor="text1"/>
                <w:kern w:val="0"/>
                <w:sz w:val="24"/>
                <w:highlight w:val="none"/>
              </w:rPr>
              <w:t>（</w:t>
            </w:r>
            <w:r>
              <w:rPr>
                <w:color w:val="000000" w:themeColor="text1"/>
                <w:kern w:val="0"/>
                <w:sz w:val="24"/>
                <w:highlight w:val="none"/>
              </w:rPr>
              <w:t>1）生活污水</w:t>
            </w:r>
          </w:p>
          <w:p w14:paraId="693A2D76">
            <w:pPr>
              <w:spacing w:line="360" w:lineRule="auto"/>
              <w:ind w:firstLine="480" w:firstLineChars="200"/>
              <w:rPr>
                <w:color w:val="000000" w:themeColor="text1"/>
                <w:sz w:val="24"/>
                <w:highlight w:val="none"/>
              </w:rPr>
            </w:pPr>
            <w:r>
              <w:rPr>
                <w:color w:val="000000" w:themeColor="text1"/>
                <w:sz w:val="24"/>
                <w:highlight w:val="none"/>
              </w:rPr>
              <w:t>在项目建设期间施工人员会产生一定量的生活污水，按项目施工情况，施工高峰期每天约</w:t>
            </w:r>
            <w:r>
              <w:rPr>
                <w:rFonts w:hint="eastAsia"/>
                <w:color w:val="000000" w:themeColor="text1"/>
                <w:sz w:val="24"/>
                <w:highlight w:val="none"/>
              </w:rPr>
              <w:t>2</w:t>
            </w:r>
            <w:r>
              <w:rPr>
                <w:color w:val="000000" w:themeColor="text1"/>
                <w:sz w:val="24"/>
                <w:highlight w:val="none"/>
              </w:rPr>
              <w:t>0人，根据《内蒙古自治区行业用水定额》</w:t>
            </w:r>
            <w:r>
              <w:rPr>
                <w:rFonts w:hint="eastAsia"/>
                <w:color w:val="000000" w:themeColor="text1"/>
                <w:sz w:val="24"/>
                <w:highlight w:val="none"/>
              </w:rPr>
              <w:t>（</w:t>
            </w:r>
            <w:r>
              <w:rPr>
                <w:color w:val="000000" w:themeColor="text1"/>
                <w:sz w:val="24"/>
                <w:highlight w:val="none"/>
              </w:rPr>
              <w:t>DB15/T 385</w:t>
            </w:r>
            <w:r>
              <w:rPr>
                <w:rFonts w:hint="eastAsia"/>
                <w:color w:val="000000" w:themeColor="text1"/>
                <w:sz w:val="24"/>
                <w:highlight w:val="none"/>
              </w:rPr>
              <w:t>-2020</w:t>
            </w:r>
            <w:r>
              <w:rPr>
                <w:color w:val="000000" w:themeColor="text1"/>
                <w:sz w:val="24"/>
                <w:highlight w:val="none"/>
              </w:rPr>
              <w:t>），参考农村居民用水定额60L/</w:t>
            </w:r>
            <w:r>
              <w:rPr>
                <w:rFonts w:hint="eastAsia"/>
                <w:color w:val="000000" w:themeColor="text1"/>
                <w:sz w:val="24"/>
                <w:highlight w:val="none"/>
              </w:rPr>
              <w:t>（</w:t>
            </w:r>
            <w:r>
              <w:rPr>
                <w:color w:val="000000" w:themeColor="text1"/>
                <w:sz w:val="24"/>
                <w:highlight w:val="none"/>
              </w:rPr>
              <w:t>人·d），产污系数按0.8计，施工人员生活污水产生量为</w:t>
            </w:r>
            <w:r>
              <w:rPr>
                <w:rFonts w:hint="eastAsia"/>
                <w:color w:val="000000" w:themeColor="text1"/>
                <w:sz w:val="24"/>
                <w:highlight w:val="none"/>
              </w:rPr>
              <w:t>0.96</w:t>
            </w:r>
            <w:r>
              <w:rPr>
                <w:color w:val="000000" w:themeColor="text1"/>
                <w:sz w:val="24"/>
                <w:highlight w:val="none"/>
              </w:rPr>
              <w:t>m</w:t>
            </w:r>
            <w:r>
              <w:rPr>
                <w:color w:val="000000" w:themeColor="text1"/>
                <w:sz w:val="24"/>
                <w:highlight w:val="none"/>
                <w:vertAlign w:val="superscript"/>
              </w:rPr>
              <w:t>3</w:t>
            </w:r>
            <w:r>
              <w:rPr>
                <w:color w:val="000000" w:themeColor="text1"/>
                <w:sz w:val="24"/>
                <w:highlight w:val="none"/>
              </w:rPr>
              <w:t>/d</w:t>
            </w:r>
            <w:r>
              <w:rPr>
                <w:rFonts w:hint="eastAsia"/>
                <w:color w:val="000000" w:themeColor="text1"/>
                <w:sz w:val="24"/>
                <w:highlight w:val="none"/>
              </w:rPr>
              <w:t>，</w:t>
            </w:r>
            <w:r>
              <w:rPr>
                <w:color w:val="000000" w:themeColor="text1"/>
                <w:sz w:val="24"/>
                <w:highlight w:val="none"/>
              </w:rPr>
              <w:t>施工期共产生生活污水</w:t>
            </w:r>
            <w:r>
              <w:rPr>
                <w:rFonts w:hint="eastAsia"/>
                <w:color w:val="000000" w:themeColor="text1"/>
                <w:sz w:val="24"/>
                <w:highlight w:val="none"/>
              </w:rPr>
              <w:t>86.4</w:t>
            </w:r>
            <w:r>
              <w:rPr>
                <w:color w:val="000000" w:themeColor="text1"/>
                <w:sz w:val="24"/>
                <w:highlight w:val="none"/>
              </w:rPr>
              <w:t>m</w:t>
            </w:r>
            <w:r>
              <w:rPr>
                <w:color w:val="000000" w:themeColor="text1"/>
                <w:sz w:val="24"/>
                <w:highlight w:val="none"/>
                <w:vertAlign w:val="superscript"/>
              </w:rPr>
              <w:t>3</w:t>
            </w:r>
            <w:r>
              <w:rPr>
                <w:color w:val="000000" w:themeColor="text1"/>
                <w:sz w:val="24"/>
                <w:highlight w:val="none"/>
              </w:rPr>
              <w:t>，主要污染物为COD、BOD</w:t>
            </w:r>
            <w:r>
              <w:rPr>
                <w:color w:val="000000" w:themeColor="text1"/>
                <w:sz w:val="24"/>
                <w:highlight w:val="none"/>
                <w:vertAlign w:val="subscript"/>
              </w:rPr>
              <w:t>5</w:t>
            </w:r>
            <w:r>
              <w:rPr>
                <w:color w:val="000000" w:themeColor="text1"/>
                <w:sz w:val="24"/>
                <w:highlight w:val="none"/>
              </w:rPr>
              <w:t>、NH</w:t>
            </w:r>
            <w:r>
              <w:rPr>
                <w:color w:val="000000" w:themeColor="text1"/>
                <w:sz w:val="24"/>
                <w:highlight w:val="none"/>
                <w:vertAlign w:val="subscript"/>
              </w:rPr>
              <w:t>3</w:t>
            </w:r>
            <w:r>
              <w:rPr>
                <w:rFonts w:hint="eastAsia"/>
                <w:color w:val="000000" w:themeColor="text1"/>
                <w:sz w:val="24"/>
                <w:highlight w:val="none"/>
              </w:rPr>
              <w:t>-</w:t>
            </w:r>
            <w:r>
              <w:rPr>
                <w:color w:val="000000" w:themeColor="text1"/>
                <w:sz w:val="24"/>
                <w:highlight w:val="none"/>
              </w:rPr>
              <w:t>N、SS。</w:t>
            </w:r>
            <w:r>
              <w:rPr>
                <w:rFonts w:hint="eastAsia"/>
                <w:color w:val="000000" w:themeColor="text1"/>
                <w:spacing w:val="-3"/>
                <w:sz w:val="24"/>
                <w:highlight w:val="none"/>
              </w:rPr>
              <w:t>依托煤矿现有污水处理设施</w:t>
            </w:r>
            <w:r>
              <w:rPr>
                <w:rFonts w:hint="eastAsia"/>
                <w:color w:val="000000" w:themeColor="text1"/>
                <w:spacing w:val="-3"/>
                <w:sz w:val="24"/>
                <w:highlight w:val="none"/>
                <w:lang w:eastAsia="zh-CN"/>
              </w:rPr>
              <w:t>，</w:t>
            </w:r>
            <w:r>
              <w:rPr>
                <w:rFonts w:hint="eastAsia"/>
                <w:color w:val="000000" w:themeColor="text1"/>
                <w:spacing w:val="-3"/>
                <w:sz w:val="24"/>
                <w:highlight w:val="none"/>
                <w:lang w:val="en-US" w:eastAsia="zh-CN"/>
              </w:rPr>
              <w:t>场地设置临时化粪池，收集的污水定期由吸污车拉运至工业场地污水处理设施处理</w:t>
            </w:r>
            <w:r>
              <w:rPr>
                <w:color w:val="000000" w:themeColor="text1"/>
                <w:sz w:val="24"/>
                <w:highlight w:val="none"/>
              </w:rPr>
              <w:t>，不向地表水环境排放对环境影响较小。</w:t>
            </w:r>
          </w:p>
          <w:p w14:paraId="56289320">
            <w:pPr>
              <w:bidi w:val="0"/>
              <w:rPr>
                <w:color w:val="000000" w:themeColor="text1"/>
                <w:sz w:val="24"/>
                <w:highlight w:val="none"/>
              </w:rPr>
            </w:pPr>
            <w:r>
              <w:rPr>
                <w:rFonts w:hint="eastAsia"/>
                <w:color w:val="000000" w:themeColor="text1"/>
                <w:sz w:val="24"/>
                <w:highlight w:val="none"/>
              </w:rPr>
              <w:t>根据</w:t>
            </w:r>
            <w:r>
              <w:rPr>
                <w:color w:val="000000" w:themeColor="text1"/>
                <w:sz w:val="24"/>
                <w:highlight w:val="none"/>
              </w:rPr>
              <w:t>《</w:t>
            </w:r>
            <w:bookmarkStart w:id="15" w:name="_Toc24627"/>
            <w:r>
              <w:rPr>
                <w:color w:val="000000" w:themeColor="text1"/>
                <w:sz w:val="24"/>
                <w:highlight w:val="none"/>
              </w:rPr>
              <w:t>内蒙古汇能煤电集团富民煤炭有限责任公司煤矿180万t/a改扩建项目竣工环境保护</w:t>
            </w:r>
            <w:bookmarkEnd w:id="15"/>
            <w:r>
              <w:rPr>
                <w:color w:val="000000" w:themeColor="text1"/>
                <w:sz w:val="24"/>
                <w:highlight w:val="none"/>
              </w:rPr>
              <w:t>验收调查报告》</w:t>
            </w:r>
            <w:r>
              <w:rPr>
                <w:rFonts w:hint="eastAsia"/>
                <w:color w:val="000000" w:themeColor="text1"/>
                <w:sz w:val="24"/>
                <w:highlight w:val="none"/>
              </w:rPr>
              <w:t>，</w:t>
            </w:r>
            <w:r>
              <w:rPr>
                <w:color w:val="000000" w:themeColor="text1"/>
                <w:sz w:val="24"/>
                <w:highlight w:val="none"/>
              </w:rPr>
              <w:t>富民煤炭</w:t>
            </w:r>
            <w:r>
              <w:rPr>
                <w:rFonts w:hint="eastAsia"/>
                <w:color w:val="000000" w:themeColor="text1"/>
                <w:sz w:val="24"/>
                <w:highlight w:val="none"/>
              </w:rPr>
              <w:t>现阶段生活污水量为99.84m</w:t>
            </w:r>
            <w:r>
              <w:rPr>
                <w:rFonts w:hint="eastAsia"/>
                <w:color w:val="000000" w:themeColor="text1"/>
                <w:sz w:val="24"/>
                <w:highlight w:val="none"/>
                <w:vertAlign w:val="superscript"/>
              </w:rPr>
              <w:t>3</w:t>
            </w:r>
            <w:r>
              <w:rPr>
                <w:rFonts w:hint="eastAsia"/>
                <w:color w:val="000000" w:themeColor="text1"/>
                <w:sz w:val="24"/>
                <w:highlight w:val="none"/>
              </w:rPr>
              <w:t>/d，设置处理规模为</w:t>
            </w:r>
            <w:r>
              <w:rPr>
                <w:color w:val="000000" w:themeColor="text1"/>
                <w:kern w:val="0"/>
                <w:position w:val="2"/>
                <w:sz w:val="24"/>
                <w:highlight w:val="none"/>
              </w:rPr>
              <w:t>8m</w:t>
            </w:r>
            <w:r>
              <w:rPr>
                <w:color w:val="000000" w:themeColor="text1"/>
                <w:kern w:val="0"/>
                <w:position w:val="2"/>
                <w:sz w:val="24"/>
                <w:highlight w:val="none"/>
                <w:vertAlign w:val="superscript"/>
              </w:rPr>
              <w:t>3</w:t>
            </w:r>
            <w:r>
              <w:rPr>
                <w:color w:val="000000" w:themeColor="text1"/>
                <w:kern w:val="0"/>
                <w:position w:val="2"/>
                <w:sz w:val="24"/>
                <w:highlight w:val="none"/>
              </w:rPr>
              <w:t>/h（192m</w:t>
            </w:r>
            <w:r>
              <w:rPr>
                <w:color w:val="000000" w:themeColor="text1"/>
                <w:kern w:val="0"/>
                <w:position w:val="2"/>
                <w:sz w:val="24"/>
                <w:highlight w:val="none"/>
                <w:vertAlign w:val="superscript"/>
              </w:rPr>
              <w:t>3</w:t>
            </w:r>
            <w:r>
              <w:rPr>
                <w:color w:val="000000" w:themeColor="text1"/>
                <w:kern w:val="0"/>
                <w:position w:val="2"/>
                <w:sz w:val="24"/>
                <w:highlight w:val="none"/>
              </w:rPr>
              <w:t>/d）</w:t>
            </w:r>
            <w:r>
              <w:rPr>
                <w:rFonts w:hint="eastAsia" w:ascii="宋体" w:hAnsi="宋体" w:cs="宋体"/>
                <w:color w:val="000000" w:themeColor="text1"/>
                <w:kern w:val="0"/>
                <w:position w:val="2"/>
                <w:sz w:val="24"/>
                <w:highlight w:val="none"/>
              </w:rPr>
              <w:t>的生活污水处理站，采用</w:t>
            </w:r>
            <w:r>
              <w:rPr>
                <w:rFonts w:hint="eastAsia"/>
                <w:color w:val="000000" w:themeColor="text1"/>
                <w:sz w:val="24"/>
                <w:highlight w:val="none"/>
              </w:rPr>
              <w:t>“气浮机→沉淀池→提升泵→厌氧池→好氧池→沉淀池→MBR膜池→清水池→二氧化氯发生器消毒→回用”处理工艺，本项目施工期人员生活污水水质与煤矿人员生活污水相同，且生活污水处理站有余量能够接受本项目施工期人员生活污水，故施工期人员生活污水能够依托该污水处理站。</w:t>
            </w:r>
          </w:p>
          <w:p w14:paraId="64650A45">
            <w:pPr>
              <w:spacing w:line="360" w:lineRule="auto"/>
              <w:ind w:firstLine="480" w:firstLineChars="200"/>
              <w:rPr>
                <w:color w:val="000000" w:themeColor="text1"/>
                <w:kern w:val="0"/>
                <w:sz w:val="24"/>
                <w:highlight w:val="none"/>
              </w:rPr>
            </w:pPr>
            <w:r>
              <w:rPr>
                <w:rFonts w:hint="eastAsia"/>
                <w:color w:val="000000" w:themeColor="text1"/>
                <w:kern w:val="0"/>
                <w:sz w:val="24"/>
                <w:highlight w:val="none"/>
              </w:rPr>
              <w:t>（</w:t>
            </w:r>
            <w:r>
              <w:rPr>
                <w:color w:val="000000" w:themeColor="text1"/>
                <w:kern w:val="0"/>
                <w:sz w:val="24"/>
                <w:highlight w:val="none"/>
              </w:rPr>
              <w:t xml:space="preserve">2）施工废水 </w:t>
            </w:r>
          </w:p>
          <w:p w14:paraId="6653B46B">
            <w:pPr>
              <w:spacing w:line="360" w:lineRule="auto"/>
              <w:ind w:firstLine="480" w:firstLineChars="200"/>
              <w:rPr>
                <w:color w:val="000000" w:themeColor="text1"/>
                <w:kern w:val="0"/>
                <w:sz w:val="24"/>
                <w:highlight w:val="none"/>
              </w:rPr>
            </w:pPr>
            <w:r>
              <w:rPr>
                <w:color w:val="000000" w:themeColor="text1"/>
                <w:kern w:val="0"/>
                <w:sz w:val="24"/>
                <w:highlight w:val="none"/>
              </w:rPr>
              <w:t>项目施工废水是润湿建筑材料、清洗施工设备以及清洗机械车辆产生的废水，主要污染物为SS，浓度为1500～2500mg/L。施工场地内设置沉淀池，施工废水经沉淀池处理后循环利用，对周围地表水环境质量影响小。</w:t>
            </w:r>
          </w:p>
          <w:p w14:paraId="1A1C9E49">
            <w:pPr>
              <w:numPr>
                <w:ilvl w:val="0"/>
                <w:numId w:val="5"/>
              </w:numPr>
              <w:spacing w:line="360" w:lineRule="auto"/>
              <w:ind w:firstLine="480" w:firstLineChars="200"/>
              <w:rPr>
                <w:color w:val="000000" w:themeColor="text1"/>
                <w:spacing w:val="-2"/>
                <w:sz w:val="24"/>
                <w:highlight w:val="none"/>
              </w:rPr>
            </w:pPr>
            <w:r>
              <w:rPr>
                <w:rFonts w:hint="eastAsia"/>
                <w:color w:val="000000" w:themeColor="text1"/>
                <w:kern w:val="0"/>
                <w:sz w:val="24"/>
                <w:highlight w:val="none"/>
              </w:rPr>
              <w:t>井筒废水：风井场地井筒掘进过程中产生的废水，</w:t>
            </w:r>
            <w:r>
              <w:rPr>
                <w:color w:val="000000" w:themeColor="text1"/>
                <w:spacing w:val="-3"/>
                <w:sz w:val="24"/>
                <w:highlight w:val="none"/>
              </w:rPr>
              <w:t>废水主要受井下施</w:t>
            </w:r>
            <w:r>
              <w:rPr>
                <w:color w:val="000000" w:themeColor="text1"/>
                <w:spacing w:val="-2"/>
                <w:sz w:val="24"/>
                <w:highlight w:val="none"/>
              </w:rPr>
              <w:t>工作业面活动污染，主要为岩粉、煤粉为主</w:t>
            </w:r>
            <w:r>
              <w:rPr>
                <w:rFonts w:hint="eastAsia"/>
                <w:color w:val="000000" w:themeColor="text1"/>
                <w:spacing w:val="-2"/>
                <w:sz w:val="24"/>
                <w:highlight w:val="none"/>
              </w:rPr>
              <w:t>，主要污染物为SS，</w:t>
            </w:r>
            <w:r>
              <w:rPr>
                <w:rFonts w:hint="eastAsia" w:ascii="宋体" w:hAnsi="宋体" w:cs="宋体"/>
                <w:color w:val="000000" w:themeColor="text1"/>
                <w:sz w:val="24"/>
                <w:highlight w:val="none"/>
              </w:rPr>
              <w:t>类比同类型项目，井筒所穿过的地层以岩层为主，井筒涌水处理方式可采用工作面预注浆、壁后注浆两种方式进行，水大时须预注浆后才能掘进。产生的少量涌水</w:t>
            </w:r>
            <w:r>
              <w:rPr>
                <w:rFonts w:hint="eastAsia"/>
                <w:color w:val="000000" w:themeColor="text1"/>
                <w:kern w:val="0"/>
                <w:sz w:val="24"/>
                <w:highlight w:val="none"/>
              </w:rPr>
              <w:t>由抽水车定期集中抽排，运送至富民煤矿工业场地既有矿井水处理站处理后回用</w:t>
            </w:r>
            <w:r>
              <w:rPr>
                <w:rFonts w:hint="eastAsia"/>
                <w:color w:val="000000" w:themeColor="text1"/>
                <w:spacing w:val="-2"/>
                <w:sz w:val="24"/>
                <w:highlight w:val="none"/>
              </w:rPr>
              <w:t>。</w:t>
            </w:r>
          </w:p>
          <w:p w14:paraId="37750020">
            <w:pPr>
              <w:pStyle w:val="32"/>
              <w:spacing w:line="360" w:lineRule="auto"/>
              <w:ind w:firstLine="480" w:firstLineChars="200"/>
              <w:rPr>
                <w:color w:val="000000" w:themeColor="text1"/>
                <w:highlight w:val="none"/>
              </w:rPr>
            </w:pPr>
            <w:r>
              <w:rPr>
                <w:rFonts w:hint="eastAsia"/>
                <w:color w:val="000000" w:themeColor="text1"/>
                <w:highlight w:val="none"/>
              </w:rPr>
              <w:t>根据《内蒙古汇能煤电集团富民煤炭有限责任公司煤</w:t>
            </w:r>
            <w:r>
              <w:rPr>
                <w:rFonts w:ascii="Times New Roman" w:cs="Times New Roman"/>
                <w:color w:val="000000" w:themeColor="text1"/>
                <w:highlight w:val="none"/>
              </w:rPr>
              <w:t>矿180万t/a改</w:t>
            </w:r>
            <w:r>
              <w:rPr>
                <w:rFonts w:hint="eastAsia"/>
                <w:color w:val="000000" w:themeColor="text1"/>
                <w:highlight w:val="none"/>
              </w:rPr>
              <w:t>扩建项目竣工环境保护验收调查报告》，</w:t>
            </w:r>
            <w:r>
              <w:rPr>
                <w:rFonts w:ascii="Times New Roman" w:cs="Times New Roman"/>
                <w:color w:val="000000" w:themeColor="text1"/>
                <w:highlight w:val="none"/>
              </w:rPr>
              <w:t>富民煤炭正常矿井涌水量为415.7m</w:t>
            </w:r>
            <w:r>
              <w:rPr>
                <w:rFonts w:ascii="Times New Roman" w:cs="Times New Roman"/>
                <w:color w:val="000000" w:themeColor="text1"/>
                <w:highlight w:val="none"/>
                <w:vertAlign w:val="superscript"/>
              </w:rPr>
              <w:t>3</w:t>
            </w:r>
            <w:r>
              <w:rPr>
                <w:rFonts w:ascii="Times New Roman" w:cs="Times New Roman"/>
                <w:color w:val="000000" w:themeColor="text1"/>
                <w:highlight w:val="none"/>
              </w:rPr>
              <w:t>/d、最大矿井涌水量为458.6m</w:t>
            </w:r>
            <w:r>
              <w:rPr>
                <w:rFonts w:ascii="Times New Roman" w:cs="Times New Roman"/>
                <w:color w:val="000000" w:themeColor="text1"/>
                <w:highlight w:val="none"/>
                <w:vertAlign w:val="superscript"/>
              </w:rPr>
              <w:t>3</w:t>
            </w:r>
            <w:r>
              <w:rPr>
                <w:rFonts w:ascii="Times New Roman" w:cs="Times New Roman"/>
                <w:color w:val="000000" w:themeColor="text1"/>
                <w:highlight w:val="none"/>
              </w:rPr>
              <w:t>/d</w:t>
            </w:r>
            <w:r>
              <w:rPr>
                <w:rFonts w:hint="eastAsia" w:ascii="Times New Roman" w:cs="Times New Roman"/>
                <w:color w:val="000000" w:themeColor="text1"/>
                <w:highlight w:val="none"/>
              </w:rPr>
              <w:t>，设置处理规模为</w:t>
            </w:r>
            <w:r>
              <w:rPr>
                <w:rFonts w:hint="eastAsia" w:ascii="Times New Roman" w:cs="Times New Roman"/>
                <w:color w:val="000000" w:themeColor="text1"/>
                <w:kern w:val="0"/>
                <w:position w:val="2"/>
                <w:highlight w:val="none"/>
              </w:rPr>
              <w:t>25</w:t>
            </w:r>
            <w:r>
              <w:rPr>
                <w:rFonts w:ascii="Times New Roman" w:cs="Times New Roman"/>
                <w:color w:val="000000" w:themeColor="text1"/>
                <w:kern w:val="0"/>
                <w:position w:val="2"/>
                <w:highlight w:val="none"/>
              </w:rPr>
              <w:t>m</w:t>
            </w:r>
            <w:r>
              <w:rPr>
                <w:rFonts w:ascii="Times New Roman" w:cs="Times New Roman"/>
                <w:color w:val="000000" w:themeColor="text1"/>
                <w:kern w:val="0"/>
                <w:position w:val="2"/>
                <w:highlight w:val="none"/>
                <w:vertAlign w:val="superscript"/>
              </w:rPr>
              <w:t>3</w:t>
            </w:r>
            <w:r>
              <w:rPr>
                <w:rFonts w:ascii="Times New Roman" w:cs="Times New Roman"/>
                <w:color w:val="000000" w:themeColor="text1"/>
                <w:kern w:val="0"/>
                <w:position w:val="2"/>
                <w:highlight w:val="none"/>
              </w:rPr>
              <w:t>/h（</w:t>
            </w:r>
            <w:r>
              <w:rPr>
                <w:rFonts w:hint="eastAsia" w:ascii="Times New Roman" w:cs="Times New Roman"/>
                <w:color w:val="000000" w:themeColor="text1"/>
                <w:kern w:val="0"/>
                <w:position w:val="2"/>
                <w:highlight w:val="none"/>
              </w:rPr>
              <w:t>600</w:t>
            </w:r>
            <w:r>
              <w:rPr>
                <w:rFonts w:ascii="Times New Roman" w:cs="Times New Roman"/>
                <w:color w:val="000000" w:themeColor="text1"/>
                <w:kern w:val="0"/>
                <w:position w:val="2"/>
                <w:highlight w:val="none"/>
              </w:rPr>
              <w:t>m</w:t>
            </w:r>
            <w:r>
              <w:rPr>
                <w:rFonts w:ascii="Times New Roman" w:cs="Times New Roman"/>
                <w:color w:val="000000" w:themeColor="text1"/>
                <w:kern w:val="0"/>
                <w:position w:val="2"/>
                <w:highlight w:val="none"/>
                <w:vertAlign w:val="superscript"/>
              </w:rPr>
              <w:t>3</w:t>
            </w:r>
            <w:r>
              <w:rPr>
                <w:rFonts w:ascii="Times New Roman" w:cs="Times New Roman"/>
                <w:color w:val="000000" w:themeColor="text1"/>
                <w:kern w:val="0"/>
                <w:position w:val="2"/>
                <w:highlight w:val="none"/>
              </w:rPr>
              <w:t>/d）</w:t>
            </w:r>
            <w:r>
              <w:rPr>
                <w:rFonts w:hint="eastAsia" w:hAnsi="宋体"/>
                <w:color w:val="000000" w:themeColor="text1"/>
                <w:kern w:val="0"/>
                <w:position w:val="2"/>
                <w:highlight w:val="none"/>
              </w:rPr>
              <w:t>的矿井水处理站，采用“混凝+沉淀+澄清+过滤”的处理工艺，处理后全部用于生产，不外排，本项目井筒掘进废水水质与矿井水相近，水量较少，矿井水处置站现有余量能够接受本项目废水，故井筒掘进废水依托该矿井水处理站可行。</w:t>
            </w:r>
          </w:p>
          <w:p w14:paraId="790BA140">
            <w:pPr>
              <w:snapToGrid w:val="0"/>
              <w:spacing w:line="360" w:lineRule="auto"/>
              <w:ind w:firstLine="482" w:firstLineChars="200"/>
              <w:rPr>
                <w:b/>
                <w:bCs/>
                <w:color w:val="000000" w:themeColor="text1"/>
                <w:sz w:val="24"/>
                <w:highlight w:val="none"/>
              </w:rPr>
            </w:pPr>
            <w:r>
              <w:rPr>
                <w:rFonts w:hint="eastAsia"/>
                <w:b/>
                <w:bCs/>
                <w:color w:val="000000" w:themeColor="text1"/>
                <w:sz w:val="24"/>
                <w:highlight w:val="none"/>
              </w:rPr>
              <w:t>四</w:t>
            </w:r>
            <w:r>
              <w:rPr>
                <w:b/>
                <w:bCs/>
                <w:color w:val="000000" w:themeColor="text1"/>
                <w:sz w:val="24"/>
                <w:highlight w:val="none"/>
              </w:rPr>
              <w:t>、声环境影响分析</w:t>
            </w:r>
          </w:p>
          <w:p w14:paraId="7C72B35F">
            <w:pPr>
              <w:tabs>
                <w:tab w:val="left" w:pos="624"/>
              </w:tabs>
              <w:spacing w:line="360" w:lineRule="auto"/>
              <w:ind w:firstLine="480" w:firstLineChars="200"/>
              <w:rPr>
                <w:color w:val="000000" w:themeColor="text1"/>
                <w:sz w:val="24"/>
                <w:highlight w:val="none"/>
              </w:rPr>
            </w:pPr>
            <w:r>
              <w:rPr>
                <w:color w:val="000000" w:themeColor="text1"/>
                <w:sz w:val="24"/>
                <w:highlight w:val="none"/>
              </w:rPr>
              <w:t>本项目施工期间主要噪声源为</w:t>
            </w:r>
            <w:r>
              <w:rPr>
                <w:rFonts w:hint="eastAsia"/>
                <w:color w:val="000000" w:themeColor="text1"/>
                <w:sz w:val="24"/>
                <w:highlight w:val="none"/>
              </w:rPr>
              <w:t>推土机、挖掘机、装载机</w:t>
            </w:r>
            <w:r>
              <w:rPr>
                <w:color w:val="000000" w:themeColor="text1"/>
                <w:sz w:val="24"/>
                <w:highlight w:val="none"/>
              </w:rPr>
              <w:t>等施工机械以及运输车辆，施工期间主要噪声源的特点属于移动声源且分散。施工机械噪声源强见下表</w:t>
            </w:r>
            <w:r>
              <w:rPr>
                <w:rFonts w:hint="eastAsia"/>
                <w:color w:val="000000" w:themeColor="text1"/>
                <w:sz w:val="24"/>
                <w:highlight w:val="none"/>
              </w:rPr>
              <w:t>。</w:t>
            </w:r>
          </w:p>
          <w:p w14:paraId="4E877B8F">
            <w:pPr>
              <w:widowControl/>
              <w:tabs>
                <w:tab w:val="left" w:pos="810"/>
              </w:tabs>
              <w:adjustRightInd w:val="0"/>
              <w:snapToGrid w:val="0"/>
              <w:jc w:val="center"/>
              <w:rPr>
                <w:bCs/>
                <w:color w:val="000000" w:themeColor="text1"/>
                <w:kern w:val="0"/>
                <w:sz w:val="24"/>
                <w:highlight w:val="none"/>
              </w:rPr>
            </w:pPr>
            <w:r>
              <w:rPr>
                <w:bCs/>
                <w:color w:val="000000" w:themeColor="text1"/>
                <w:kern w:val="0"/>
                <w:sz w:val="24"/>
                <w:highlight w:val="none"/>
              </w:rPr>
              <w:t>表</w:t>
            </w:r>
            <w:r>
              <w:rPr>
                <w:rFonts w:hint="eastAsia"/>
                <w:bCs/>
                <w:color w:val="000000" w:themeColor="text1"/>
                <w:kern w:val="0"/>
                <w:sz w:val="24"/>
                <w:highlight w:val="none"/>
              </w:rPr>
              <w:t>4-3</w:t>
            </w:r>
            <w:r>
              <w:rPr>
                <w:bCs/>
                <w:color w:val="000000" w:themeColor="text1"/>
                <w:kern w:val="0"/>
                <w:sz w:val="24"/>
                <w:highlight w:val="none"/>
              </w:rPr>
              <w:t xml:space="preserve"> 施工机械产噪值一览表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0"/>
              <w:gridCol w:w="2239"/>
              <w:gridCol w:w="2324"/>
              <w:gridCol w:w="2581"/>
            </w:tblGrid>
            <w:tr w14:paraId="6797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4" w:type="pct"/>
                  <w:vAlign w:val="center"/>
                </w:tcPr>
                <w:p w14:paraId="6313E8FD">
                  <w:pPr>
                    <w:widowControl/>
                    <w:tabs>
                      <w:tab w:val="left" w:pos="810"/>
                    </w:tabs>
                    <w:adjustRightInd w:val="0"/>
                    <w:snapToGrid w:val="0"/>
                    <w:spacing w:beforeLines="10"/>
                    <w:jc w:val="center"/>
                    <w:rPr>
                      <w:bCs/>
                      <w:color w:val="000000" w:themeColor="text1"/>
                      <w:szCs w:val="21"/>
                      <w:highlight w:val="none"/>
                    </w:rPr>
                  </w:pPr>
                  <w:r>
                    <w:rPr>
                      <w:bCs/>
                      <w:color w:val="000000" w:themeColor="text1"/>
                      <w:szCs w:val="21"/>
                      <w:highlight w:val="none"/>
                    </w:rPr>
                    <w:t>序号</w:t>
                  </w:r>
                </w:p>
              </w:tc>
              <w:tc>
                <w:tcPr>
                  <w:tcW w:w="1374" w:type="pct"/>
                  <w:vAlign w:val="center"/>
                </w:tcPr>
                <w:p w14:paraId="4F8F151B">
                  <w:pPr>
                    <w:widowControl/>
                    <w:tabs>
                      <w:tab w:val="left" w:pos="810"/>
                    </w:tabs>
                    <w:adjustRightInd w:val="0"/>
                    <w:snapToGrid w:val="0"/>
                    <w:spacing w:beforeLines="10"/>
                    <w:jc w:val="center"/>
                    <w:rPr>
                      <w:bCs/>
                      <w:color w:val="000000" w:themeColor="text1"/>
                      <w:szCs w:val="21"/>
                      <w:highlight w:val="none"/>
                    </w:rPr>
                  </w:pPr>
                  <w:r>
                    <w:rPr>
                      <w:bCs/>
                      <w:color w:val="000000" w:themeColor="text1"/>
                      <w:kern w:val="0"/>
                      <w:szCs w:val="21"/>
                      <w:highlight w:val="none"/>
                    </w:rPr>
                    <w:t>设备名称</w:t>
                  </w:r>
                </w:p>
              </w:tc>
              <w:tc>
                <w:tcPr>
                  <w:tcW w:w="1426" w:type="pct"/>
                  <w:vAlign w:val="center"/>
                </w:tcPr>
                <w:p w14:paraId="6B5B78F2">
                  <w:pPr>
                    <w:widowControl/>
                    <w:spacing w:beforeLines="10"/>
                    <w:jc w:val="center"/>
                    <w:rPr>
                      <w:bCs/>
                      <w:color w:val="000000" w:themeColor="text1"/>
                      <w:szCs w:val="21"/>
                      <w:highlight w:val="none"/>
                    </w:rPr>
                  </w:pPr>
                  <w:r>
                    <w:rPr>
                      <w:bCs/>
                      <w:color w:val="000000" w:themeColor="text1"/>
                      <w:kern w:val="0"/>
                      <w:szCs w:val="21"/>
                      <w:highlight w:val="none"/>
                    </w:rPr>
                    <w:t>噪声强度</w:t>
                  </w:r>
                  <w:r>
                    <w:rPr>
                      <w:rFonts w:hint="eastAsia"/>
                      <w:bCs/>
                      <w:color w:val="000000" w:themeColor="text1"/>
                      <w:kern w:val="0"/>
                      <w:szCs w:val="21"/>
                      <w:highlight w:val="none"/>
                    </w:rPr>
                    <w:t>（</w:t>
                  </w:r>
                  <w:r>
                    <w:rPr>
                      <w:bCs/>
                      <w:color w:val="000000" w:themeColor="text1"/>
                      <w:kern w:val="0"/>
                      <w:szCs w:val="21"/>
                      <w:highlight w:val="none"/>
                    </w:rPr>
                    <w:t>dB</w:t>
                  </w:r>
                  <w:r>
                    <w:rPr>
                      <w:rFonts w:hint="eastAsia"/>
                      <w:bCs/>
                      <w:color w:val="000000" w:themeColor="text1"/>
                      <w:kern w:val="0"/>
                      <w:szCs w:val="21"/>
                      <w:highlight w:val="none"/>
                    </w:rPr>
                    <w:t>（</w:t>
                  </w:r>
                  <w:r>
                    <w:rPr>
                      <w:bCs/>
                      <w:color w:val="000000" w:themeColor="text1"/>
                      <w:kern w:val="0"/>
                      <w:szCs w:val="21"/>
                      <w:highlight w:val="none"/>
                    </w:rPr>
                    <w:t>A</w:t>
                  </w:r>
                  <w:r>
                    <w:rPr>
                      <w:rFonts w:hint="eastAsia"/>
                      <w:bCs/>
                      <w:color w:val="000000" w:themeColor="text1"/>
                      <w:kern w:val="0"/>
                      <w:szCs w:val="21"/>
                      <w:highlight w:val="none"/>
                    </w:rPr>
                    <w:t>））</w:t>
                  </w:r>
                </w:p>
              </w:tc>
              <w:tc>
                <w:tcPr>
                  <w:tcW w:w="1584" w:type="pct"/>
                  <w:vAlign w:val="center"/>
                </w:tcPr>
                <w:p w14:paraId="52D31F13">
                  <w:pPr>
                    <w:widowControl/>
                    <w:spacing w:beforeLines="10"/>
                    <w:jc w:val="center"/>
                    <w:rPr>
                      <w:rFonts w:ascii="宋体" w:hAnsi="宋体" w:cs="宋体"/>
                      <w:bCs/>
                      <w:color w:val="000000" w:themeColor="text1"/>
                      <w:kern w:val="0"/>
                      <w:szCs w:val="21"/>
                      <w:highlight w:val="none"/>
                    </w:rPr>
                  </w:pPr>
                  <w:r>
                    <w:rPr>
                      <w:rFonts w:hint="eastAsia" w:ascii="宋体" w:hAnsi="宋体" w:cs="宋体"/>
                      <w:bCs/>
                      <w:color w:val="000000" w:themeColor="text1"/>
                      <w:kern w:val="0"/>
                      <w:szCs w:val="21"/>
                      <w:highlight w:val="none"/>
                    </w:rPr>
                    <w:t>备注</w:t>
                  </w:r>
                </w:p>
              </w:tc>
            </w:tr>
            <w:tr w14:paraId="24691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614" w:type="pct"/>
                  <w:vAlign w:val="center"/>
                </w:tcPr>
                <w:p w14:paraId="31CA48CE">
                  <w:pPr>
                    <w:widowControl/>
                    <w:numPr>
                      <w:ilvl w:val="0"/>
                      <w:numId w:val="6"/>
                    </w:numPr>
                    <w:tabs>
                      <w:tab w:val="left" w:pos="810"/>
                    </w:tabs>
                    <w:adjustRightInd w:val="0"/>
                    <w:snapToGrid w:val="0"/>
                    <w:spacing w:beforeLines="10"/>
                    <w:jc w:val="center"/>
                    <w:rPr>
                      <w:color w:val="000000" w:themeColor="text1"/>
                      <w:szCs w:val="21"/>
                      <w:highlight w:val="none"/>
                    </w:rPr>
                  </w:pPr>
                </w:p>
              </w:tc>
              <w:tc>
                <w:tcPr>
                  <w:tcW w:w="1374" w:type="pct"/>
                  <w:vAlign w:val="center"/>
                </w:tcPr>
                <w:p w14:paraId="6DD6BC6E">
                  <w:pPr>
                    <w:pStyle w:val="46"/>
                    <w:spacing w:beforeLines="10"/>
                    <w:jc w:val="center"/>
                    <w:rPr>
                      <w:color w:val="000000" w:themeColor="text1"/>
                      <w:sz w:val="21"/>
                      <w:szCs w:val="21"/>
                      <w:highlight w:val="none"/>
                      <w:lang w:eastAsia="zh-CN"/>
                    </w:rPr>
                  </w:pPr>
                  <w:r>
                    <w:rPr>
                      <w:color w:val="000000" w:themeColor="text1"/>
                      <w:spacing w:val="6"/>
                      <w:sz w:val="21"/>
                      <w:szCs w:val="21"/>
                      <w:highlight w:val="none"/>
                    </w:rPr>
                    <w:t>推土机</w:t>
                  </w:r>
                </w:p>
              </w:tc>
              <w:tc>
                <w:tcPr>
                  <w:tcW w:w="1426" w:type="pct"/>
                  <w:vAlign w:val="center"/>
                </w:tcPr>
                <w:p w14:paraId="4615EB76">
                  <w:pPr>
                    <w:pStyle w:val="46"/>
                    <w:spacing w:beforeLines="10"/>
                    <w:jc w:val="center"/>
                    <w:rPr>
                      <w:rFonts w:ascii="Times New Roman" w:hAnsi="Times New Roman" w:cs="Times New Roman"/>
                      <w:color w:val="000000" w:themeColor="text1"/>
                      <w:sz w:val="21"/>
                      <w:szCs w:val="21"/>
                      <w:highlight w:val="none"/>
                    </w:rPr>
                  </w:pPr>
                  <w:r>
                    <w:rPr>
                      <w:rFonts w:ascii="Times New Roman" w:hAnsi="Times New Roman" w:eastAsia="Times New Roman" w:cs="Times New Roman"/>
                      <w:color w:val="000000" w:themeColor="text1"/>
                      <w:spacing w:val="4"/>
                      <w:position w:val="1"/>
                      <w:sz w:val="21"/>
                      <w:szCs w:val="21"/>
                      <w:highlight w:val="none"/>
                    </w:rPr>
                    <w:t>73</w:t>
                  </w:r>
                  <w:r>
                    <w:rPr>
                      <w:rFonts w:ascii="Times New Roman" w:hAnsi="Times New Roman" w:cs="Times New Roman"/>
                      <w:color w:val="000000" w:themeColor="text1"/>
                      <w:spacing w:val="4"/>
                      <w:position w:val="1"/>
                      <w:sz w:val="21"/>
                      <w:szCs w:val="21"/>
                      <w:highlight w:val="none"/>
                    </w:rPr>
                    <w:t>～</w:t>
                  </w:r>
                  <w:r>
                    <w:rPr>
                      <w:rFonts w:ascii="Times New Roman" w:hAnsi="Times New Roman" w:eastAsia="Times New Roman" w:cs="Times New Roman"/>
                      <w:color w:val="000000" w:themeColor="text1"/>
                      <w:spacing w:val="4"/>
                      <w:position w:val="1"/>
                      <w:sz w:val="21"/>
                      <w:szCs w:val="21"/>
                      <w:highlight w:val="none"/>
                    </w:rPr>
                    <w:t>83</w:t>
                  </w:r>
                </w:p>
              </w:tc>
              <w:tc>
                <w:tcPr>
                  <w:tcW w:w="1584" w:type="pct"/>
                  <w:vAlign w:val="center"/>
                </w:tcPr>
                <w:p w14:paraId="7514150E">
                  <w:pPr>
                    <w:pStyle w:val="46"/>
                    <w:spacing w:beforeLines="10"/>
                    <w:jc w:val="center"/>
                    <w:rPr>
                      <w:rFonts w:ascii="Times New Roman" w:hAnsi="Times New Roman" w:cs="Times New Roman"/>
                      <w:color w:val="000000" w:themeColor="text1"/>
                      <w:spacing w:val="6"/>
                      <w:sz w:val="21"/>
                      <w:szCs w:val="21"/>
                      <w:highlight w:val="none"/>
                    </w:rPr>
                  </w:pPr>
                  <w:r>
                    <w:rPr>
                      <w:rFonts w:ascii="Times New Roman" w:hAnsi="Times New Roman" w:cs="Times New Roman"/>
                      <w:color w:val="000000" w:themeColor="text1"/>
                      <w:spacing w:val="6"/>
                      <w:sz w:val="21"/>
                      <w:szCs w:val="21"/>
                      <w:highlight w:val="none"/>
                    </w:rPr>
                    <w:t>距声源15m</w:t>
                  </w:r>
                </w:p>
              </w:tc>
            </w:tr>
            <w:tr w14:paraId="16CCE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614" w:type="pct"/>
                  <w:vAlign w:val="center"/>
                </w:tcPr>
                <w:p w14:paraId="3A3AD4C7">
                  <w:pPr>
                    <w:widowControl/>
                    <w:numPr>
                      <w:ilvl w:val="0"/>
                      <w:numId w:val="6"/>
                    </w:numPr>
                    <w:tabs>
                      <w:tab w:val="left" w:pos="810"/>
                    </w:tabs>
                    <w:adjustRightInd w:val="0"/>
                    <w:snapToGrid w:val="0"/>
                    <w:spacing w:beforeLines="10"/>
                    <w:jc w:val="center"/>
                    <w:rPr>
                      <w:color w:val="000000" w:themeColor="text1"/>
                      <w:szCs w:val="21"/>
                      <w:highlight w:val="none"/>
                    </w:rPr>
                  </w:pPr>
                </w:p>
              </w:tc>
              <w:tc>
                <w:tcPr>
                  <w:tcW w:w="1374" w:type="pct"/>
                  <w:vAlign w:val="center"/>
                </w:tcPr>
                <w:p w14:paraId="79569BDC">
                  <w:pPr>
                    <w:pStyle w:val="46"/>
                    <w:spacing w:beforeLines="10"/>
                    <w:jc w:val="center"/>
                    <w:rPr>
                      <w:color w:val="000000" w:themeColor="text1"/>
                      <w:sz w:val="21"/>
                      <w:szCs w:val="21"/>
                      <w:highlight w:val="none"/>
                      <w:lang w:eastAsia="zh-CN"/>
                    </w:rPr>
                  </w:pPr>
                  <w:r>
                    <w:rPr>
                      <w:color w:val="000000" w:themeColor="text1"/>
                      <w:spacing w:val="7"/>
                      <w:sz w:val="21"/>
                      <w:szCs w:val="21"/>
                      <w:highlight w:val="none"/>
                    </w:rPr>
                    <w:t>挖掘机</w:t>
                  </w:r>
                </w:p>
              </w:tc>
              <w:tc>
                <w:tcPr>
                  <w:tcW w:w="1426" w:type="pct"/>
                  <w:vAlign w:val="center"/>
                </w:tcPr>
                <w:p w14:paraId="78D21859">
                  <w:pPr>
                    <w:pStyle w:val="46"/>
                    <w:spacing w:beforeLines="10"/>
                    <w:jc w:val="center"/>
                    <w:rPr>
                      <w:rFonts w:ascii="Times New Roman" w:hAnsi="Times New Roman" w:cs="Times New Roman"/>
                      <w:color w:val="000000" w:themeColor="text1"/>
                      <w:sz w:val="21"/>
                      <w:szCs w:val="21"/>
                      <w:highlight w:val="none"/>
                    </w:rPr>
                  </w:pPr>
                  <w:r>
                    <w:rPr>
                      <w:rFonts w:ascii="Times New Roman" w:hAnsi="Times New Roman" w:eastAsia="Times New Roman" w:cs="Times New Roman"/>
                      <w:color w:val="000000" w:themeColor="text1"/>
                      <w:spacing w:val="4"/>
                      <w:position w:val="1"/>
                      <w:sz w:val="21"/>
                      <w:szCs w:val="21"/>
                      <w:highlight w:val="none"/>
                    </w:rPr>
                    <w:t>67</w:t>
                  </w:r>
                  <w:r>
                    <w:rPr>
                      <w:rFonts w:ascii="Times New Roman" w:hAnsi="Times New Roman" w:cs="Times New Roman"/>
                      <w:color w:val="000000" w:themeColor="text1"/>
                      <w:spacing w:val="4"/>
                      <w:position w:val="1"/>
                      <w:sz w:val="21"/>
                      <w:szCs w:val="21"/>
                      <w:highlight w:val="none"/>
                    </w:rPr>
                    <w:t>～</w:t>
                  </w:r>
                  <w:r>
                    <w:rPr>
                      <w:rFonts w:ascii="Times New Roman" w:hAnsi="Times New Roman" w:eastAsia="Times New Roman" w:cs="Times New Roman"/>
                      <w:color w:val="000000" w:themeColor="text1"/>
                      <w:spacing w:val="4"/>
                      <w:position w:val="1"/>
                      <w:sz w:val="21"/>
                      <w:szCs w:val="21"/>
                      <w:highlight w:val="none"/>
                    </w:rPr>
                    <w:t>77</w:t>
                  </w:r>
                </w:p>
              </w:tc>
              <w:tc>
                <w:tcPr>
                  <w:tcW w:w="1584" w:type="pct"/>
                  <w:vAlign w:val="center"/>
                </w:tcPr>
                <w:p w14:paraId="3442EADE">
                  <w:pPr>
                    <w:pStyle w:val="46"/>
                    <w:spacing w:beforeLines="10"/>
                    <w:jc w:val="center"/>
                    <w:rPr>
                      <w:rFonts w:ascii="Times New Roman" w:hAnsi="Times New Roman" w:cs="Times New Roman"/>
                      <w:color w:val="000000" w:themeColor="text1"/>
                      <w:spacing w:val="6"/>
                      <w:sz w:val="21"/>
                      <w:szCs w:val="21"/>
                      <w:highlight w:val="none"/>
                    </w:rPr>
                  </w:pPr>
                  <w:r>
                    <w:rPr>
                      <w:rFonts w:ascii="Times New Roman" w:hAnsi="Times New Roman" w:cs="Times New Roman"/>
                      <w:color w:val="000000" w:themeColor="text1"/>
                      <w:spacing w:val="6"/>
                      <w:sz w:val="21"/>
                      <w:szCs w:val="21"/>
                      <w:highlight w:val="none"/>
                    </w:rPr>
                    <w:t>距声源15m</w:t>
                  </w:r>
                </w:p>
              </w:tc>
            </w:tr>
            <w:tr w14:paraId="532AC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614" w:type="pct"/>
                  <w:vAlign w:val="center"/>
                </w:tcPr>
                <w:p w14:paraId="2AF9CD6D">
                  <w:pPr>
                    <w:widowControl/>
                    <w:numPr>
                      <w:ilvl w:val="0"/>
                      <w:numId w:val="6"/>
                    </w:numPr>
                    <w:tabs>
                      <w:tab w:val="left" w:pos="810"/>
                    </w:tabs>
                    <w:adjustRightInd w:val="0"/>
                    <w:snapToGrid w:val="0"/>
                    <w:spacing w:beforeLines="10"/>
                    <w:jc w:val="center"/>
                    <w:rPr>
                      <w:color w:val="000000" w:themeColor="text1"/>
                      <w:szCs w:val="21"/>
                      <w:highlight w:val="none"/>
                    </w:rPr>
                  </w:pPr>
                </w:p>
              </w:tc>
              <w:tc>
                <w:tcPr>
                  <w:tcW w:w="1374" w:type="pct"/>
                  <w:vAlign w:val="center"/>
                </w:tcPr>
                <w:p w14:paraId="1C32CEAA">
                  <w:pPr>
                    <w:pStyle w:val="46"/>
                    <w:spacing w:beforeLines="10"/>
                    <w:jc w:val="center"/>
                    <w:rPr>
                      <w:color w:val="000000" w:themeColor="text1"/>
                      <w:sz w:val="21"/>
                      <w:szCs w:val="21"/>
                      <w:highlight w:val="none"/>
                      <w:lang w:eastAsia="zh-CN"/>
                    </w:rPr>
                  </w:pPr>
                  <w:r>
                    <w:rPr>
                      <w:color w:val="000000" w:themeColor="text1"/>
                      <w:spacing w:val="6"/>
                      <w:sz w:val="21"/>
                      <w:szCs w:val="21"/>
                      <w:highlight w:val="none"/>
                    </w:rPr>
                    <w:t>装载机</w:t>
                  </w:r>
                </w:p>
              </w:tc>
              <w:tc>
                <w:tcPr>
                  <w:tcW w:w="1426" w:type="pct"/>
                  <w:vAlign w:val="center"/>
                </w:tcPr>
                <w:p w14:paraId="4876C03C">
                  <w:pPr>
                    <w:spacing w:beforeLines="10"/>
                    <w:jc w:val="center"/>
                    <w:rPr>
                      <w:color w:val="000000" w:themeColor="text1"/>
                      <w:kern w:val="0"/>
                      <w:szCs w:val="21"/>
                      <w:highlight w:val="none"/>
                    </w:rPr>
                  </w:pPr>
                  <w:r>
                    <w:rPr>
                      <w:rFonts w:eastAsia="Times New Roman"/>
                      <w:color w:val="000000" w:themeColor="text1"/>
                      <w:spacing w:val="-2"/>
                      <w:szCs w:val="21"/>
                      <w:highlight w:val="none"/>
                    </w:rPr>
                    <w:t>80</w:t>
                  </w:r>
                </w:p>
              </w:tc>
              <w:tc>
                <w:tcPr>
                  <w:tcW w:w="1584" w:type="pct"/>
                  <w:vAlign w:val="center"/>
                </w:tcPr>
                <w:p w14:paraId="6A8783B3">
                  <w:pPr>
                    <w:pStyle w:val="46"/>
                    <w:spacing w:beforeLines="10"/>
                    <w:jc w:val="center"/>
                    <w:rPr>
                      <w:rFonts w:ascii="Times New Roman" w:hAnsi="Times New Roman" w:cs="Times New Roman"/>
                      <w:color w:val="000000" w:themeColor="text1"/>
                      <w:spacing w:val="6"/>
                      <w:sz w:val="21"/>
                      <w:szCs w:val="21"/>
                      <w:highlight w:val="none"/>
                    </w:rPr>
                  </w:pPr>
                  <w:r>
                    <w:rPr>
                      <w:rFonts w:ascii="Times New Roman" w:hAnsi="Times New Roman" w:cs="Times New Roman"/>
                      <w:color w:val="000000" w:themeColor="text1"/>
                      <w:spacing w:val="6"/>
                      <w:sz w:val="21"/>
                      <w:szCs w:val="21"/>
                      <w:highlight w:val="none"/>
                    </w:rPr>
                    <w:t>距声源15m</w:t>
                  </w:r>
                </w:p>
              </w:tc>
            </w:tr>
            <w:tr w14:paraId="3B16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4" w:type="pct"/>
                  <w:vAlign w:val="center"/>
                </w:tcPr>
                <w:p w14:paraId="0394A10F">
                  <w:pPr>
                    <w:widowControl/>
                    <w:numPr>
                      <w:ilvl w:val="0"/>
                      <w:numId w:val="6"/>
                    </w:numPr>
                    <w:tabs>
                      <w:tab w:val="left" w:pos="810"/>
                    </w:tabs>
                    <w:adjustRightInd w:val="0"/>
                    <w:snapToGrid w:val="0"/>
                    <w:spacing w:beforeLines="10"/>
                    <w:jc w:val="center"/>
                    <w:rPr>
                      <w:color w:val="000000" w:themeColor="text1"/>
                      <w:szCs w:val="21"/>
                      <w:highlight w:val="none"/>
                    </w:rPr>
                  </w:pPr>
                </w:p>
              </w:tc>
              <w:tc>
                <w:tcPr>
                  <w:tcW w:w="1374" w:type="pct"/>
                  <w:vAlign w:val="center"/>
                </w:tcPr>
                <w:p w14:paraId="65D468C3">
                  <w:pPr>
                    <w:pStyle w:val="46"/>
                    <w:spacing w:beforeLines="10"/>
                    <w:jc w:val="center"/>
                    <w:rPr>
                      <w:color w:val="000000" w:themeColor="text1"/>
                      <w:sz w:val="21"/>
                      <w:szCs w:val="21"/>
                      <w:highlight w:val="none"/>
                      <w:lang w:eastAsia="zh-CN"/>
                    </w:rPr>
                  </w:pPr>
                  <w:r>
                    <w:rPr>
                      <w:color w:val="000000" w:themeColor="text1"/>
                      <w:spacing w:val="7"/>
                      <w:sz w:val="21"/>
                      <w:szCs w:val="21"/>
                      <w:highlight w:val="none"/>
                    </w:rPr>
                    <w:t>振捣机</w:t>
                  </w:r>
                </w:p>
              </w:tc>
              <w:tc>
                <w:tcPr>
                  <w:tcW w:w="1426" w:type="pct"/>
                  <w:vAlign w:val="center"/>
                </w:tcPr>
                <w:p w14:paraId="13FF9D11">
                  <w:pPr>
                    <w:pStyle w:val="56"/>
                    <w:snapToGrid/>
                    <w:spacing w:beforeLines="10"/>
                    <w:rPr>
                      <w:rFonts w:ascii="Times New Roman" w:hAnsi="Times New Roman" w:eastAsia="宋体"/>
                      <w:color w:val="000000" w:themeColor="text1"/>
                      <w:szCs w:val="21"/>
                      <w:highlight w:val="none"/>
                    </w:rPr>
                  </w:pPr>
                  <w:r>
                    <w:rPr>
                      <w:rFonts w:ascii="Times New Roman" w:hAnsi="Times New Roman"/>
                      <w:color w:val="000000" w:themeColor="text1"/>
                      <w:szCs w:val="21"/>
                      <w:highlight w:val="none"/>
                    </w:rPr>
                    <w:t>93</w:t>
                  </w:r>
                </w:p>
              </w:tc>
              <w:tc>
                <w:tcPr>
                  <w:tcW w:w="1584" w:type="pct"/>
                  <w:vAlign w:val="center"/>
                </w:tcPr>
                <w:p w14:paraId="77C1A038">
                  <w:pPr>
                    <w:pStyle w:val="46"/>
                    <w:spacing w:beforeLines="10"/>
                    <w:jc w:val="center"/>
                    <w:rPr>
                      <w:rFonts w:ascii="Times New Roman" w:hAnsi="Times New Roman" w:cs="Times New Roman"/>
                      <w:color w:val="000000" w:themeColor="text1"/>
                      <w:spacing w:val="6"/>
                      <w:sz w:val="21"/>
                      <w:szCs w:val="21"/>
                      <w:highlight w:val="none"/>
                    </w:rPr>
                  </w:pPr>
                  <w:r>
                    <w:rPr>
                      <w:rFonts w:ascii="Times New Roman" w:hAnsi="Times New Roman" w:cs="Times New Roman"/>
                      <w:color w:val="000000" w:themeColor="text1"/>
                      <w:spacing w:val="6"/>
                      <w:sz w:val="21"/>
                      <w:szCs w:val="21"/>
                      <w:highlight w:val="none"/>
                    </w:rPr>
                    <w:t>距声源1m</w:t>
                  </w:r>
                </w:p>
              </w:tc>
            </w:tr>
            <w:tr w14:paraId="6594D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4" w:type="pct"/>
                  <w:vAlign w:val="center"/>
                </w:tcPr>
                <w:p w14:paraId="73AF2A17">
                  <w:pPr>
                    <w:widowControl/>
                    <w:numPr>
                      <w:ilvl w:val="0"/>
                      <w:numId w:val="6"/>
                    </w:numPr>
                    <w:tabs>
                      <w:tab w:val="left" w:pos="810"/>
                    </w:tabs>
                    <w:adjustRightInd w:val="0"/>
                    <w:snapToGrid w:val="0"/>
                    <w:spacing w:beforeLines="10"/>
                    <w:jc w:val="center"/>
                    <w:rPr>
                      <w:color w:val="000000" w:themeColor="text1"/>
                      <w:szCs w:val="21"/>
                      <w:highlight w:val="none"/>
                    </w:rPr>
                  </w:pPr>
                </w:p>
              </w:tc>
              <w:tc>
                <w:tcPr>
                  <w:tcW w:w="1374" w:type="pct"/>
                  <w:vAlign w:val="center"/>
                </w:tcPr>
                <w:p w14:paraId="7E471600">
                  <w:pPr>
                    <w:pStyle w:val="46"/>
                    <w:spacing w:beforeLines="10"/>
                    <w:jc w:val="center"/>
                    <w:rPr>
                      <w:color w:val="000000" w:themeColor="text1"/>
                      <w:spacing w:val="7"/>
                      <w:sz w:val="21"/>
                      <w:szCs w:val="21"/>
                      <w:highlight w:val="none"/>
                    </w:rPr>
                  </w:pPr>
                  <w:r>
                    <w:rPr>
                      <w:color w:val="000000" w:themeColor="text1"/>
                      <w:spacing w:val="7"/>
                      <w:sz w:val="21"/>
                      <w:szCs w:val="21"/>
                      <w:highlight w:val="none"/>
                    </w:rPr>
                    <w:t>电锯</w:t>
                  </w:r>
                </w:p>
              </w:tc>
              <w:tc>
                <w:tcPr>
                  <w:tcW w:w="1426" w:type="pct"/>
                  <w:vAlign w:val="center"/>
                </w:tcPr>
                <w:p w14:paraId="03735FD1">
                  <w:pPr>
                    <w:pStyle w:val="46"/>
                    <w:spacing w:beforeLines="10"/>
                    <w:jc w:val="center"/>
                    <w:rPr>
                      <w:rFonts w:ascii="Times New Roman" w:hAnsi="Times New Roman" w:cs="Times New Roman"/>
                      <w:color w:val="000000" w:themeColor="text1"/>
                      <w:spacing w:val="7"/>
                      <w:sz w:val="21"/>
                      <w:szCs w:val="21"/>
                      <w:highlight w:val="none"/>
                    </w:rPr>
                  </w:pPr>
                  <w:r>
                    <w:rPr>
                      <w:rFonts w:ascii="Times New Roman" w:hAnsi="Times New Roman" w:cs="Times New Roman"/>
                      <w:color w:val="000000" w:themeColor="text1"/>
                      <w:spacing w:val="7"/>
                      <w:sz w:val="21"/>
                      <w:szCs w:val="21"/>
                      <w:highlight w:val="none"/>
                    </w:rPr>
                    <w:t>103</w:t>
                  </w:r>
                </w:p>
              </w:tc>
              <w:tc>
                <w:tcPr>
                  <w:tcW w:w="1584" w:type="pct"/>
                  <w:vAlign w:val="center"/>
                </w:tcPr>
                <w:p w14:paraId="7FDA8A6D">
                  <w:pPr>
                    <w:pStyle w:val="46"/>
                    <w:spacing w:beforeLines="10"/>
                    <w:jc w:val="center"/>
                    <w:rPr>
                      <w:rFonts w:ascii="Times New Roman" w:hAnsi="Times New Roman" w:cs="Times New Roman"/>
                      <w:color w:val="000000" w:themeColor="text1"/>
                      <w:spacing w:val="6"/>
                      <w:sz w:val="21"/>
                      <w:szCs w:val="21"/>
                      <w:highlight w:val="none"/>
                    </w:rPr>
                  </w:pPr>
                  <w:r>
                    <w:rPr>
                      <w:rFonts w:ascii="Times New Roman" w:hAnsi="Times New Roman" w:cs="Times New Roman"/>
                      <w:color w:val="000000" w:themeColor="text1"/>
                      <w:spacing w:val="6"/>
                      <w:sz w:val="21"/>
                      <w:szCs w:val="21"/>
                      <w:highlight w:val="none"/>
                    </w:rPr>
                    <w:t>距声源1m</w:t>
                  </w:r>
                </w:p>
              </w:tc>
            </w:tr>
            <w:tr w14:paraId="52682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4" w:type="pct"/>
                  <w:vAlign w:val="center"/>
                </w:tcPr>
                <w:p w14:paraId="486C67D0">
                  <w:pPr>
                    <w:widowControl/>
                    <w:numPr>
                      <w:ilvl w:val="0"/>
                      <w:numId w:val="6"/>
                    </w:numPr>
                    <w:tabs>
                      <w:tab w:val="left" w:pos="810"/>
                    </w:tabs>
                    <w:adjustRightInd w:val="0"/>
                    <w:snapToGrid w:val="0"/>
                    <w:spacing w:beforeLines="10"/>
                    <w:jc w:val="center"/>
                    <w:rPr>
                      <w:color w:val="000000" w:themeColor="text1"/>
                      <w:szCs w:val="21"/>
                      <w:highlight w:val="none"/>
                    </w:rPr>
                  </w:pPr>
                </w:p>
              </w:tc>
              <w:tc>
                <w:tcPr>
                  <w:tcW w:w="1374" w:type="pct"/>
                  <w:vAlign w:val="center"/>
                </w:tcPr>
                <w:p w14:paraId="3A3B6B71">
                  <w:pPr>
                    <w:pStyle w:val="46"/>
                    <w:spacing w:beforeLines="10"/>
                    <w:jc w:val="center"/>
                    <w:rPr>
                      <w:color w:val="000000" w:themeColor="text1"/>
                      <w:sz w:val="21"/>
                      <w:szCs w:val="21"/>
                      <w:highlight w:val="none"/>
                      <w:lang w:eastAsia="zh-CN"/>
                    </w:rPr>
                  </w:pPr>
                  <w:r>
                    <w:rPr>
                      <w:color w:val="000000" w:themeColor="text1"/>
                      <w:spacing w:val="-8"/>
                      <w:sz w:val="21"/>
                      <w:szCs w:val="21"/>
                      <w:highlight w:val="none"/>
                    </w:rPr>
                    <w:t>吊车</w:t>
                  </w:r>
                </w:p>
              </w:tc>
              <w:tc>
                <w:tcPr>
                  <w:tcW w:w="1426" w:type="pct"/>
                  <w:vAlign w:val="center"/>
                </w:tcPr>
                <w:p w14:paraId="05925D3D">
                  <w:pPr>
                    <w:pStyle w:val="56"/>
                    <w:snapToGrid/>
                    <w:spacing w:beforeLines="10"/>
                    <w:rPr>
                      <w:rFonts w:ascii="Times New Roman" w:hAnsi="Times New Roman" w:eastAsia="宋体"/>
                      <w:color w:val="000000" w:themeColor="text1"/>
                      <w:szCs w:val="21"/>
                      <w:highlight w:val="none"/>
                    </w:rPr>
                  </w:pPr>
                  <w:r>
                    <w:rPr>
                      <w:rFonts w:ascii="Times New Roman" w:hAnsi="Times New Roman"/>
                      <w:color w:val="000000" w:themeColor="text1"/>
                      <w:szCs w:val="21"/>
                      <w:highlight w:val="none"/>
                    </w:rPr>
                    <w:t>72～73</w:t>
                  </w:r>
                </w:p>
              </w:tc>
              <w:tc>
                <w:tcPr>
                  <w:tcW w:w="1584" w:type="pct"/>
                  <w:vAlign w:val="center"/>
                </w:tcPr>
                <w:p w14:paraId="77014D73">
                  <w:pPr>
                    <w:pStyle w:val="46"/>
                    <w:spacing w:beforeLines="10"/>
                    <w:jc w:val="center"/>
                    <w:rPr>
                      <w:rFonts w:ascii="Times New Roman" w:hAnsi="Times New Roman" w:cs="Times New Roman"/>
                      <w:color w:val="000000" w:themeColor="text1"/>
                      <w:spacing w:val="6"/>
                      <w:sz w:val="21"/>
                      <w:szCs w:val="21"/>
                      <w:highlight w:val="none"/>
                    </w:rPr>
                  </w:pPr>
                  <w:r>
                    <w:rPr>
                      <w:rFonts w:ascii="Times New Roman" w:hAnsi="Times New Roman" w:cs="Times New Roman"/>
                      <w:color w:val="000000" w:themeColor="text1"/>
                      <w:spacing w:val="6"/>
                      <w:sz w:val="21"/>
                      <w:szCs w:val="21"/>
                      <w:highlight w:val="none"/>
                    </w:rPr>
                    <w:t>距声源15m</w:t>
                  </w:r>
                </w:p>
              </w:tc>
            </w:tr>
            <w:tr w14:paraId="371F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14" w:type="pct"/>
                  <w:vAlign w:val="center"/>
                </w:tcPr>
                <w:p w14:paraId="2F4F3811">
                  <w:pPr>
                    <w:widowControl/>
                    <w:numPr>
                      <w:ilvl w:val="0"/>
                      <w:numId w:val="6"/>
                    </w:numPr>
                    <w:tabs>
                      <w:tab w:val="left" w:pos="810"/>
                    </w:tabs>
                    <w:adjustRightInd w:val="0"/>
                    <w:snapToGrid w:val="0"/>
                    <w:spacing w:beforeLines="10"/>
                    <w:jc w:val="center"/>
                    <w:rPr>
                      <w:color w:val="000000" w:themeColor="text1"/>
                      <w:szCs w:val="21"/>
                      <w:highlight w:val="none"/>
                    </w:rPr>
                  </w:pPr>
                </w:p>
              </w:tc>
              <w:tc>
                <w:tcPr>
                  <w:tcW w:w="1374" w:type="pct"/>
                  <w:vAlign w:val="center"/>
                </w:tcPr>
                <w:p w14:paraId="26BFDEA9">
                  <w:pPr>
                    <w:pStyle w:val="46"/>
                    <w:spacing w:beforeLines="10"/>
                    <w:jc w:val="center"/>
                    <w:rPr>
                      <w:color w:val="000000" w:themeColor="text1"/>
                      <w:sz w:val="21"/>
                      <w:szCs w:val="21"/>
                      <w:highlight w:val="none"/>
                      <w:lang w:eastAsia="zh-CN"/>
                    </w:rPr>
                  </w:pPr>
                  <w:r>
                    <w:rPr>
                      <w:color w:val="000000" w:themeColor="text1"/>
                      <w:spacing w:val="6"/>
                      <w:sz w:val="21"/>
                      <w:szCs w:val="21"/>
                      <w:highlight w:val="none"/>
                    </w:rPr>
                    <w:t>升降机</w:t>
                  </w:r>
                </w:p>
              </w:tc>
              <w:tc>
                <w:tcPr>
                  <w:tcW w:w="1426" w:type="pct"/>
                  <w:vAlign w:val="center"/>
                </w:tcPr>
                <w:p w14:paraId="13518CC0">
                  <w:pPr>
                    <w:pStyle w:val="56"/>
                    <w:snapToGrid/>
                    <w:spacing w:beforeLines="10"/>
                    <w:rPr>
                      <w:rFonts w:ascii="Times New Roman" w:hAnsi="Times New Roman" w:eastAsia="宋体"/>
                      <w:color w:val="000000" w:themeColor="text1"/>
                      <w:szCs w:val="21"/>
                      <w:highlight w:val="none"/>
                    </w:rPr>
                  </w:pPr>
                  <w:r>
                    <w:rPr>
                      <w:rFonts w:ascii="Times New Roman" w:hAnsi="Times New Roman"/>
                      <w:color w:val="000000" w:themeColor="text1"/>
                      <w:szCs w:val="21"/>
                      <w:highlight w:val="none"/>
                    </w:rPr>
                    <w:t>78</w:t>
                  </w:r>
                </w:p>
              </w:tc>
              <w:tc>
                <w:tcPr>
                  <w:tcW w:w="1584" w:type="pct"/>
                  <w:vAlign w:val="center"/>
                </w:tcPr>
                <w:p w14:paraId="6C2D1D06">
                  <w:pPr>
                    <w:pStyle w:val="46"/>
                    <w:spacing w:beforeLines="10"/>
                    <w:jc w:val="center"/>
                    <w:rPr>
                      <w:rFonts w:ascii="Times New Roman" w:hAnsi="Times New Roman" w:cs="Times New Roman"/>
                      <w:color w:val="000000" w:themeColor="text1"/>
                      <w:spacing w:val="6"/>
                      <w:sz w:val="21"/>
                      <w:szCs w:val="21"/>
                      <w:highlight w:val="none"/>
                    </w:rPr>
                  </w:pPr>
                  <w:r>
                    <w:rPr>
                      <w:rFonts w:ascii="Times New Roman" w:hAnsi="Times New Roman" w:cs="Times New Roman"/>
                      <w:color w:val="000000" w:themeColor="text1"/>
                      <w:spacing w:val="6"/>
                      <w:sz w:val="21"/>
                      <w:szCs w:val="21"/>
                      <w:highlight w:val="none"/>
                    </w:rPr>
                    <w:t>距声源1m</w:t>
                  </w:r>
                </w:p>
              </w:tc>
            </w:tr>
            <w:tr w14:paraId="2D1A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614" w:type="pct"/>
                  <w:vAlign w:val="center"/>
                </w:tcPr>
                <w:p w14:paraId="44917BF6">
                  <w:pPr>
                    <w:widowControl/>
                    <w:numPr>
                      <w:ilvl w:val="0"/>
                      <w:numId w:val="6"/>
                    </w:numPr>
                    <w:tabs>
                      <w:tab w:val="left" w:pos="810"/>
                    </w:tabs>
                    <w:adjustRightInd w:val="0"/>
                    <w:snapToGrid w:val="0"/>
                    <w:spacing w:beforeLines="10"/>
                    <w:jc w:val="center"/>
                    <w:rPr>
                      <w:color w:val="000000" w:themeColor="text1"/>
                      <w:szCs w:val="21"/>
                      <w:highlight w:val="none"/>
                    </w:rPr>
                  </w:pPr>
                </w:p>
              </w:tc>
              <w:tc>
                <w:tcPr>
                  <w:tcW w:w="1374" w:type="pct"/>
                  <w:vAlign w:val="center"/>
                </w:tcPr>
                <w:p w14:paraId="48403F19">
                  <w:pPr>
                    <w:pStyle w:val="46"/>
                    <w:spacing w:beforeLines="10"/>
                    <w:jc w:val="center"/>
                    <w:rPr>
                      <w:color w:val="000000" w:themeColor="text1"/>
                      <w:spacing w:val="-3"/>
                      <w:sz w:val="21"/>
                      <w:szCs w:val="21"/>
                      <w:highlight w:val="none"/>
                    </w:rPr>
                  </w:pPr>
                  <w:r>
                    <w:rPr>
                      <w:color w:val="000000" w:themeColor="text1"/>
                      <w:sz w:val="21"/>
                      <w:szCs w:val="21"/>
                      <w:highlight w:val="none"/>
                    </w:rPr>
                    <w:t>重型卡车</w:t>
                  </w:r>
                </w:p>
              </w:tc>
              <w:tc>
                <w:tcPr>
                  <w:tcW w:w="1426" w:type="pct"/>
                  <w:vAlign w:val="center"/>
                </w:tcPr>
                <w:p w14:paraId="725D2073">
                  <w:pPr>
                    <w:widowControl/>
                    <w:tabs>
                      <w:tab w:val="left" w:pos="810"/>
                    </w:tabs>
                    <w:adjustRightInd w:val="0"/>
                    <w:snapToGrid w:val="0"/>
                    <w:spacing w:beforeLines="10"/>
                    <w:jc w:val="center"/>
                    <w:rPr>
                      <w:color w:val="000000" w:themeColor="text1"/>
                      <w:kern w:val="0"/>
                      <w:szCs w:val="21"/>
                      <w:highlight w:val="none"/>
                    </w:rPr>
                  </w:pPr>
                  <w:r>
                    <w:rPr>
                      <w:rFonts w:eastAsia="Times New Roman"/>
                      <w:color w:val="000000" w:themeColor="text1"/>
                      <w:spacing w:val="3"/>
                      <w:position w:val="1"/>
                      <w:szCs w:val="21"/>
                      <w:highlight w:val="none"/>
                    </w:rPr>
                    <w:t>80</w:t>
                  </w:r>
                  <w:r>
                    <w:rPr>
                      <w:color w:val="000000" w:themeColor="text1"/>
                      <w:spacing w:val="3"/>
                      <w:position w:val="1"/>
                      <w:szCs w:val="21"/>
                      <w:highlight w:val="none"/>
                    </w:rPr>
                    <w:t>～</w:t>
                  </w:r>
                  <w:r>
                    <w:rPr>
                      <w:rFonts w:eastAsia="Times New Roman"/>
                      <w:color w:val="000000" w:themeColor="text1"/>
                      <w:spacing w:val="3"/>
                      <w:position w:val="1"/>
                      <w:szCs w:val="21"/>
                      <w:highlight w:val="none"/>
                    </w:rPr>
                    <w:t>85</w:t>
                  </w:r>
                </w:p>
              </w:tc>
              <w:tc>
                <w:tcPr>
                  <w:tcW w:w="1584" w:type="pct"/>
                  <w:vAlign w:val="center"/>
                </w:tcPr>
                <w:p w14:paraId="0DE491E9">
                  <w:pPr>
                    <w:pStyle w:val="46"/>
                    <w:spacing w:beforeLines="10"/>
                    <w:jc w:val="center"/>
                    <w:rPr>
                      <w:rFonts w:ascii="Times New Roman" w:hAnsi="Times New Roman" w:cs="Times New Roman"/>
                      <w:color w:val="000000" w:themeColor="text1"/>
                      <w:spacing w:val="6"/>
                      <w:sz w:val="21"/>
                      <w:szCs w:val="21"/>
                      <w:highlight w:val="none"/>
                    </w:rPr>
                  </w:pPr>
                  <w:r>
                    <w:rPr>
                      <w:rFonts w:ascii="Times New Roman" w:hAnsi="Times New Roman" w:cs="Times New Roman"/>
                      <w:color w:val="000000" w:themeColor="text1"/>
                      <w:spacing w:val="6"/>
                      <w:sz w:val="21"/>
                      <w:szCs w:val="21"/>
                      <w:highlight w:val="none"/>
                    </w:rPr>
                    <w:t>距声源7.5m</w:t>
                  </w:r>
                </w:p>
              </w:tc>
            </w:tr>
          </w:tbl>
          <w:p w14:paraId="5F2686BE">
            <w:pPr>
              <w:spacing w:line="360" w:lineRule="auto"/>
              <w:ind w:firstLine="482"/>
              <w:textAlignment w:val="baseline"/>
              <w:rPr>
                <w:color w:val="000000" w:themeColor="text1"/>
                <w:sz w:val="24"/>
                <w:highlight w:val="none"/>
              </w:rPr>
            </w:pPr>
            <w:r>
              <w:rPr>
                <w:color w:val="000000" w:themeColor="text1"/>
                <w:sz w:val="24"/>
                <w:highlight w:val="none"/>
              </w:rPr>
              <w:t>本次评价采用点源衰减模式，预测计算声源至受声点的几何发散衰减，计算中不考虑声屏障、空气吸收等衰减。预测公式如下：</w:t>
            </w:r>
          </w:p>
          <w:p w14:paraId="0EE2A3FF">
            <w:pPr>
              <w:spacing w:line="360" w:lineRule="auto"/>
              <w:ind w:firstLine="1267" w:firstLineChars="528"/>
              <w:textAlignment w:val="baseline"/>
              <w:rPr>
                <w:color w:val="000000" w:themeColor="text1"/>
                <w:sz w:val="24"/>
                <w:highlight w:val="none"/>
              </w:rPr>
            </w:pPr>
            <w:r>
              <w:rPr>
                <w:color w:val="000000" w:themeColor="text1"/>
                <w:sz w:val="24"/>
                <w:highlight w:val="none"/>
              </w:rPr>
              <w:t>L</w:t>
            </w:r>
            <w:r>
              <w:rPr>
                <w:rFonts w:hint="eastAsia"/>
                <w:color w:val="000000" w:themeColor="text1"/>
                <w:sz w:val="24"/>
                <w:highlight w:val="none"/>
                <w:vertAlign w:val="subscript"/>
              </w:rPr>
              <w:t>p</w:t>
            </w:r>
            <w:r>
              <w:rPr>
                <w:rFonts w:hint="eastAsia"/>
                <w:color w:val="000000" w:themeColor="text1"/>
                <w:sz w:val="24"/>
                <w:highlight w:val="none"/>
              </w:rPr>
              <w:t>（</w:t>
            </w:r>
            <w:r>
              <w:rPr>
                <w:color w:val="000000" w:themeColor="text1"/>
                <w:sz w:val="24"/>
                <w:highlight w:val="none"/>
              </w:rPr>
              <w:t>r</w:t>
            </w:r>
            <w:r>
              <w:rPr>
                <w:rFonts w:hint="eastAsia"/>
                <w:color w:val="000000" w:themeColor="text1"/>
                <w:sz w:val="24"/>
                <w:highlight w:val="none"/>
              </w:rPr>
              <w:t>）</w:t>
            </w:r>
            <w:r>
              <w:rPr>
                <w:color w:val="000000" w:themeColor="text1"/>
                <w:sz w:val="24"/>
                <w:highlight w:val="none"/>
              </w:rPr>
              <w:t>=L</w:t>
            </w:r>
            <w:r>
              <w:rPr>
                <w:rFonts w:hint="eastAsia"/>
                <w:color w:val="000000" w:themeColor="text1"/>
                <w:sz w:val="24"/>
                <w:highlight w:val="none"/>
                <w:vertAlign w:val="subscript"/>
              </w:rPr>
              <w:t>p</w:t>
            </w:r>
            <w:r>
              <w:rPr>
                <w:rFonts w:hint="eastAsia"/>
                <w:color w:val="000000" w:themeColor="text1"/>
                <w:sz w:val="24"/>
                <w:highlight w:val="none"/>
              </w:rPr>
              <w:t>（</w:t>
            </w:r>
            <w:r>
              <w:rPr>
                <w:color w:val="000000" w:themeColor="text1"/>
                <w:sz w:val="24"/>
                <w:highlight w:val="none"/>
              </w:rPr>
              <w:t>r0</w:t>
            </w:r>
            <w:r>
              <w:rPr>
                <w:rFonts w:hint="eastAsia"/>
                <w:color w:val="000000" w:themeColor="text1"/>
                <w:sz w:val="24"/>
                <w:highlight w:val="none"/>
              </w:rPr>
              <w:t>）-</w:t>
            </w:r>
            <w:r>
              <w:rPr>
                <w:color w:val="000000" w:themeColor="text1"/>
                <w:sz w:val="24"/>
                <w:highlight w:val="none"/>
              </w:rPr>
              <w:t>20lg</w:t>
            </w:r>
            <w:r>
              <w:rPr>
                <w:rFonts w:hint="eastAsia"/>
                <w:color w:val="000000" w:themeColor="text1"/>
                <w:sz w:val="24"/>
                <w:highlight w:val="none"/>
              </w:rPr>
              <w:t>（</w:t>
            </w:r>
            <w:r>
              <w:rPr>
                <w:color w:val="000000" w:themeColor="text1"/>
                <w:sz w:val="24"/>
                <w:highlight w:val="none"/>
              </w:rPr>
              <w:t>r/r0</w:t>
            </w:r>
            <w:r>
              <w:rPr>
                <w:rFonts w:hint="eastAsia"/>
                <w:color w:val="000000" w:themeColor="text1"/>
                <w:sz w:val="24"/>
                <w:highlight w:val="none"/>
              </w:rPr>
              <w:t>）</w:t>
            </w:r>
          </w:p>
          <w:p w14:paraId="2CBC6A66">
            <w:pPr>
              <w:spacing w:line="360" w:lineRule="auto"/>
              <w:ind w:firstLine="482"/>
              <w:textAlignment w:val="baseline"/>
              <w:rPr>
                <w:color w:val="000000" w:themeColor="text1"/>
                <w:sz w:val="24"/>
                <w:highlight w:val="none"/>
              </w:rPr>
            </w:pPr>
            <w:r>
              <w:rPr>
                <w:color w:val="000000" w:themeColor="text1"/>
                <w:sz w:val="24"/>
                <w:highlight w:val="none"/>
              </w:rPr>
              <w:t>式中：L</w:t>
            </w:r>
            <w:r>
              <w:rPr>
                <w:rFonts w:hint="eastAsia"/>
                <w:color w:val="000000" w:themeColor="text1"/>
                <w:sz w:val="24"/>
                <w:highlight w:val="none"/>
                <w:vertAlign w:val="subscript"/>
              </w:rPr>
              <w:t>p</w:t>
            </w:r>
            <w:r>
              <w:rPr>
                <w:rFonts w:hint="eastAsia"/>
                <w:color w:val="000000" w:themeColor="text1"/>
                <w:sz w:val="24"/>
                <w:highlight w:val="none"/>
              </w:rPr>
              <w:t>（</w:t>
            </w:r>
            <w:r>
              <w:rPr>
                <w:color w:val="000000" w:themeColor="text1"/>
                <w:sz w:val="24"/>
                <w:highlight w:val="none"/>
              </w:rPr>
              <w:t>r</w:t>
            </w:r>
            <w:r>
              <w:rPr>
                <w:rFonts w:hint="eastAsia"/>
                <w:color w:val="000000" w:themeColor="text1"/>
                <w:sz w:val="24"/>
                <w:highlight w:val="none"/>
              </w:rPr>
              <w:t>）--</w:t>
            </w:r>
            <w:r>
              <w:rPr>
                <w:color w:val="000000" w:themeColor="text1"/>
                <w:sz w:val="24"/>
                <w:highlight w:val="none"/>
              </w:rPr>
              <w:t>预测点</w:t>
            </w:r>
            <w:r>
              <w:rPr>
                <w:rFonts w:hint="eastAsia"/>
                <w:color w:val="000000" w:themeColor="text1"/>
                <w:sz w:val="24"/>
                <w:highlight w:val="none"/>
              </w:rPr>
              <w:t>处声压级</w:t>
            </w:r>
            <w:r>
              <w:rPr>
                <w:color w:val="000000" w:themeColor="text1"/>
                <w:sz w:val="24"/>
                <w:highlight w:val="none"/>
              </w:rPr>
              <w:t>，dB</w:t>
            </w:r>
            <w:r>
              <w:rPr>
                <w:rFonts w:hint="eastAsia"/>
                <w:color w:val="000000" w:themeColor="text1"/>
                <w:sz w:val="24"/>
                <w:highlight w:val="none"/>
              </w:rPr>
              <w:t>（</w:t>
            </w:r>
            <w:r>
              <w:rPr>
                <w:color w:val="000000" w:themeColor="text1"/>
                <w:sz w:val="24"/>
                <w:highlight w:val="none"/>
              </w:rPr>
              <w:t>A</w:t>
            </w:r>
            <w:r>
              <w:rPr>
                <w:rFonts w:hint="eastAsia"/>
                <w:color w:val="000000" w:themeColor="text1"/>
                <w:sz w:val="24"/>
                <w:highlight w:val="none"/>
              </w:rPr>
              <w:t>）</w:t>
            </w:r>
            <w:r>
              <w:rPr>
                <w:color w:val="000000" w:themeColor="text1"/>
                <w:sz w:val="24"/>
                <w:highlight w:val="none"/>
              </w:rPr>
              <w:t>；</w:t>
            </w:r>
          </w:p>
          <w:p w14:paraId="0946C38D">
            <w:pPr>
              <w:spacing w:line="360" w:lineRule="auto"/>
              <w:ind w:firstLine="482"/>
              <w:textAlignment w:val="baseline"/>
              <w:rPr>
                <w:color w:val="000000" w:themeColor="text1"/>
                <w:sz w:val="24"/>
                <w:highlight w:val="none"/>
              </w:rPr>
            </w:pPr>
            <w:r>
              <w:rPr>
                <w:color w:val="000000" w:themeColor="text1"/>
                <w:sz w:val="24"/>
                <w:highlight w:val="none"/>
              </w:rPr>
              <w:t>L</w:t>
            </w:r>
            <w:r>
              <w:rPr>
                <w:rFonts w:hint="eastAsia"/>
                <w:color w:val="000000" w:themeColor="text1"/>
                <w:sz w:val="24"/>
                <w:highlight w:val="none"/>
                <w:vertAlign w:val="subscript"/>
              </w:rPr>
              <w:t>p</w:t>
            </w:r>
            <w:r>
              <w:rPr>
                <w:rFonts w:hint="eastAsia"/>
                <w:color w:val="000000" w:themeColor="text1"/>
                <w:sz w:val="24"/>
                <w:highlight w:val="none"/>
              </w:rPr>
              <w:t>（</w:t>
            </w:r>
            <w:r>
              <w:rPr>
                <w:color w:val="000000" w:themeColor="text1"/>
                <w:sz w:val="24"/>
                <w:highlight w:val="none"/>
              </w:rPr>
              <w:t>r0</w:t>
            </w:r>
            <w:r>
              <w:rPr>
                <w:rFonts w:hint="eastAsia"/>
                <w:color w:val="000000" w:themeColor="text1"/>
                <w:sz w:val="24"/>
                <w:highlight w:val="none"/>
              </w:rPr>
              <w:t>）--参考位置</w:t>
            </w:r>
            <w:r>
              <w:rPr>
                <w:color w:val="000000" w:themeColor="text1"/>
                <w:sz w:val="24"/>
                <w:highlight w:val="none"/>
              </w:rPr>
              <w:t>r0处的声压级，dB</w:t>
            </w:r>
            <w:r>
              <w:rPr>
                <w:rFonts w:hint="eastAsia"/>
                <w:color w:val="000000" w:themeColor="text1"/>
                <w:sz w:val="24"/>
                <w:highlight w:val="none"/>
              </w:rPr>
              <w:t>（</w:t>
            </w:r>
            <w:r>
              <w:rPr>
                <w:color w:val="000000" w:themeColor="text1"/>
                <w:sz w:val="24"/>
                <w:highlight w:val="none"/>
              </w:rPr>
              <w:t>A</w:t>
            </w:r>
            <w:r>
              <w:rPr>
                <w:rFonts w:hint="eastAsia"/>
                <w:color w:val="000000" w:themeColor="text1"/>
                <w:sz w:val="24"/>
                <w:highlight w:val="none"/>
              </w:rPr>
              <w:t>）</w:t>
            </w:r>
            <w:r>
              <w:rPr>
                <w:color w:val="000000" w:themeColor="text1"/>
                <w:sz w:val="24"/>
                <w:highlight w:val="none"/>
              </w:rPr>
              <w:t>；</w:t>
            </w:r>
          </w:p>
          <w:p w14:paraId="13F78132">
            <w:pPr>
              <w:spacing w:line="360" w:lineRule="auto"/>
              <w:ind w:firstLine="482"/>
              <w:textAlignment w:val="baseline"/>
              <w:rPr>
                <w:color w:val="000000" w:themeColor="text1"/>
                <w:sz w:val="24"/>
                <w:highlight w:val="none"/>
              </w:rPr>
            </w:pPr>
            <w:r>
              <w:rPr>
                <w:color w:val="000000" w:themeColor="text1"/>
                <w:sz w:val="24"/>
                <w:highlight w:val="none"/>
              </w:rPr>
              <w:t>r</w:t>
            </w:r>
            <w:r>
              <w:rPr>
                <w:rFonts w:hint="eastAsia"/>
                <w:color w:val="000000" w:themeColor="text1"/>
                <w:sz w:val="24"/>
                <w:highlight w:val="none"/>
              </w:rPr>
              <w:t>--</w:t>
            </w:r>
            <w:r>
              <w:rPr>
                <w:color w:val="000000" w:themeColor="text1"/>
                <w:sz w:val="24"/>
                <w:highlight w:val="none"/>
              </w:rPr>
              <w:t>预测点距声源的距离，m；</w:t>
            </w:r>
          </w:p>
          <w:p w14:paraId="373FC7A5">
            <w:pPr>
              <w:spacing w:line="360" w:lineRule="auto"/>
              <w:ind w:firstLine="482"/>
              <w:textAlignment w:val="baseline"/>
              <w:rPr>
                <w:color w:val="000000" w:themeColor="text1"/>
                <w:sz w:val="24"/>
                <w:highlight w:val="none"/>
              </w:rPr>
            </w:pPr>
            <w:r>
              <w:rPr>
                <w:color w:val="000000" w:themeColor="text1"/>
                <w:sz w:val="24"/>
                <w:highlight w:val="none"/>
              </w:rPr>
              <w:t>r0</w:t>
            </w:r>
            <w:r>
              <w:rPr>
                <w:rFonts w:hint="eastAsia"/>
                <w:color w:val="000000" w:themeColor="text1"/>
                <w:sz w:val="24"/>
                <w:highlight w:val="none"/>
              </w:rPr>
              <w:t>--参考位置距声源的距离</w:t>
            </w:r>
            <w:r>
              <w:rPr>
                <w:color w:val="000000" w:themeColor="text1"/>
                <w:sz w:val="24"/>
                <w:highlight w:val="none"/>
              </w:rPr>
              <w:t>，m。</w:t>
            </w:r>
          </w:p>
          <w:p w14:paraId="4FB77FD4">
            <w:pPr>
              <w:spacing w:line="360" w:lineRule="auto"/>
              <w:ind w:firstLine="482"/>
              <w:textAlignment w:val="baseline"/>
              <w:rPr>
                <w:color w:val="000000" w:themeColor="text1"/>
                <w:sz w:val="24"/>
                <w:highlight w:val="none"/>
              </w:rPr>
            </w:pPr>
            <w:r>
              <w:rPr>
                <w:color w:val="000000" w:themeColor="text1"/>
                <w:sz w:val="24"/>
                <w:highlight w:val="none"/>
              </w:rPr>
              <w:t>各种施工机械噪声经距离衰减后的预测结果见</w:t>
            </w:r>
            <w:r>
              <w:rPr>
                <w:rFonts w:hint="eastAsia"/>
                <w:color w:val="000000" w:themeColor="text1"/>
                <w:sz w:val="24"/>
                <w:highlight w:val="none"/>
              </w:rPr>
              <w:t>下</w:t>
            </w:r>
            <w:r>
              <w:rPr>
                <w:color w:val="000000" w:themeColor="text1"/>
                <w:sz w:val="24"/>
                <w:highlight w:val="none"/>
              </w:rPr>
              <w:t>表。</w:t>
            </w:r>
          </w:p>
          <w:p w14:paraId="3EF0113C">
            <w:pPr>
              <w:widowControl/>
              <w:tabs>
                <w:tab w:val="left" w:pos="810"/>
              </w:tabs>
              <w:adjustRightInd w:val="0"/>
              <w:snapToGrid w:val="0"/>
              <w:jc w:val="center"/>
              <w:rPr>
                <w:bCs/>
                <w:color w:val="000000" w:themeColor="text1"/>
                <w:kern w:val="0"/>
                <w:sz w:val="24"/>
                <w:highlight w:val="none"/>
              </w:rPr>
            </w:pPr>
            <w:r>
              <w:rPr>
                <w:bCs/>
                <w:color w:val="000000" w:themeColor="text1"/>
                <w:kern w:val="0"/>
                <w:sz w:val="24"/>
                <w:highlight w:val="none"/>
              </w:rPr>
              <w:t>表</w:t>
            </w:r>
            <w:r>
              <w:rPr>
                <w:rFonts w:hint="eastAsia"/>
                <w:bCs/>
                <w:color w:val="000000" w:themeColor="text1"/>
                <w:kern w:val="0"/>
                <w:sz w:val="24"/>
                <w:highlight w:val="none"/>
              </w:rPr>
              <w:t>4-4</w:t>
            </w:r>
            <w:r>
              <w:rPr>
                <w:bCs/>
                <w:color w:val="000000" w:themeColor="text1"/>
                <w:kern w:val="0"/>
                <w:sz w:val="24"/>
                <w:highlight w:val="none"/>
              </w:rPr>
              <w:t xml:space="preserve"> 施工噪声随距离的衰减情况</w:t>
            </w:r>
          </w:p>
          <w:tbl>
            <w:tblPr>
              <w:tblStyle w:val="26"/>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884"/>
              <w:gridCol w:w="885"/>
              <w:gridCol w:w="899"/>
              <w:gridCol w:w="885"/>
              <w:gridCol w:w="851"/>
              <w:gridCol w:w="859"/>
              <w:gridCol w:w="849"/>
              <w:gridCol w:w="885"/>
            </w:tblGrid>
            <w:tr w14:paraId="3895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5" w:type="pct"/>
                  <w:vMerge w:val="restart"/>
                  <w:vAlign w:val="center"/>
                </w:tcPr>
                <w:p w14:paraId="18EF8013">
                  <w:pPr>
                    <w:jc w:val="center"/>
                    <w:textAlignment w:val="baseline"/>
                    <w:rPr>
                      <w:color w:val="000000" w:themeColor="text1"/>
                      <w:szCs w:val="21"/>
                      <w:highlight w:val="none"/>
                    </w:rPr>
                  </w:pPr>
                  <w:r>
                    <w:rPr>
                      <w:color w:val="000000" w:themeColor="text1"/>
                      <w:szCs w:val="21"/>
                      <w:highlight w:val="none"/>
                    </w:rPr>
                    <w:t>声级设备</w:t>
                  </w:r>
                </w:p>
              </w:tc>
              <w:tc>
                <w:tcPr>
                  <w:tcW w:w="4294" w:type="pct"/>
                  <w:gridSpan w:val="8"/>
                  <w:vAlign w:val="center"/>
                </w:tcPr>
                <w:p w14:paraId="561FF2DD">
                  <w:pPr>
                    <w:jc w:val="center"/>
                    <w:textAlignment w:val="baseline"/>
                    <w:rPr>
                      <w:color w:val="000000" w:themeColor="text1"/>
                      <w:szCs w:val="21"/>
                      <w:highlight w:val="none"/>
                    </w:rPr>
                  </w:pPr>
                  <w:r>
                    <w:rPr>
                      <w:color w:val="000000" w:themeColor="text1"/>
                      <w:szCs w:val="21"/>
                      <w:highlight w:val="none"/>
                    </w:rPr>
                    <w:t>距离声源不同距离处的噪声值</w:t>
                  </w:r>
                  <w:r>
                    <w:rPr>
                      <w:rFonts w:hint="eastAsia"/>
                      <w:color w:val="000000" w:themeColor="text1"/>
                      <w:szCs w:val="21"/>
                      <w:highlight w:val="none"/>
                    </w:rPr>
                    <w:t>（</w:t>
                  </w:r>
                  <w:r>
                    <w:rPr>
                      <w:color w:val="000000" w:themeColor="text1"/>
                      <w:szCs w:val="21"/>
                      <w:highlight w:val="none"/>
                    </w:rPr>
                    <w:t>dB</w:t>
                  </w:r>
                  <w:r>
                    <w:rPr>
                      <w:rFonts w:hint="eastAsia"/>
                      <w:color w:val="000000" w:themeColor="text1"/>
                      <w:szCs w:val="21"/>
                      <w:highlight w:val="none"/>
                    </w:rPr>
                    <w:t>（</w:t>
                  </w:r>
                  <w:r>
                    <w:rPr>
                      <w:color w:val="000000" w:themeColor="text1"/>
                      <w:szCs w:val="21"/>
                      <w:highlight w:val="none"/>
                    </w:rPr>
                    <w:t>A））</w:t>
                  </w:r>
                </w:p>
              </w:tc>
            </w:tr>
            <w:tr w14:paraId="5302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705" w:type="pct"/>
                  <w:vMerge w:val="continue"/>
                  <w:vAlign w:val="center"/>
                </w:tcPr>
                <w:p w14:paraId="5B071865">
                  <w:pPr>
                    <w:textAlignment w:val="baseline"/>
                    <w:rPr>
                      <w:color w:val="000000" w:themeColor="text1"/>
                      <w:szCs w:val="21"/>
                      <w:highlight w:val="none"/>
                    </w:rPr>
                  </w:pPr>
                </w:p>
              </w:tc>
              <w:tc>
                <w:tcPr>
                  <w:tcW w:w="543" w:type="pct"/>
                  <w:vAlign w:val="center"/>
                </w:tcPr>
                <w:p w14:paraId="40AE5B16">
                  <w:pPr>
                    <w:jc w:val="center"/>
                    <w:textAlignment w:val="baseline"/>
                    <w:rPr>
                      <w:color w:val="000000" w:themeColor="text1"/>
                      <w:szCs w:val="21"/>
                      <w:highlight w:val="none"/>
                    </w:rPr>
                  </w:pPr>
                  <w:r>
                    <w:rPr>
                      <w:rFonts w:hint="eastAsia"/>
                      <w:color w:val="000000" w:themeColor="text1"/>
                      <w:szCs w:val="21"/>
                      <w:highlight w:val="none"/>
                    </w:rPr>
                    <w:t>1</w:t>
                  </w:r>
                  <w:r>
                    <w:rPr>
                      <w:color w:val="000000" w:themeColor="text1"/>
                      <w:szCs w:val="21"/>
                      <w:highlight w:val="none"/>
                    </w:rPr>
                    <w:t>0</w:t>
                  </w:r>
                  <w:r>
                    <w:rPr>
                      <w:rFonts w:hint="eastAsia"/>
                      <w:color w:val="000000" w:themeColor="text1"/>
                      <w:szCs w:val="21"/>
                      <w:highlight w:val="none"/>
                    </w:rPr>
                    <w:t>m</w:t>
                  </w:r>
                </w:p>
              </w:tc>
              <w:tc>
                <w:tcPr>
                  <w:tcW w:w="543" w:type="pct"/>
                  <w:vAlign w:val="center"/>
                </w:tcPr>
                <w:p w14:paraId="1DD1DB8D">
                  <w:pPr>
                    <w:jc w:val="center"/>
                    <w:textAlignment w:val="baseline"/>
                    <w:rPr>
                      <w:color w:val="000000" w:themeColor="text1"/>
                      <w:szCs w:val="21"/>
                      <w:highlight w:val="none"/>
                    </w:rPr>
                  </w:pPr>
                  <w:r>
                    <w:rPr>
                      <w:rFonts w:hint="eastAsia"/>
                      <w:color w:val="000000" w:themeColor="text1"/>
                      <w:szCs w:val="21"/>
                      <w:highlight w:val="none"/>
                    </w:rPr>
                    <w:t>30m</w:t>
                  </w:r>
                </w:p>
              </w:tc>
              <w:tc>
                <w:tcPr>
                  <w:tcW w:w="552" w:type="pct"/>
                  <w:vAlign w:val="center"/>
                </w:tcPr>
                <w:p w14:paraId="181ECFC8">
                  <w:pPr>
                    <w:jc w:val="center"/>
                    <w:textAlignment w:val="baseline"/>
                    <w:rPr>
                      <w:color w:val="000000" w:themeColor="text1"/>
                      <w:szCs w:val="21"/>
                      <w:highlight w:val="none"/>
                    </w:rPr>
                  </w:pPr>
                  <w:r>
                    <w:rPr>
                      <w:rFonts w:hint="eastAsia"/>
                      <w:color w:val="000000" w:themeColor="text1"/>
                      <w:szCs w:val="21"/>
                      <w:highlight w:val="none"/>
                    </w:rPr>
                    <w:t>50m</w:t>
                  </w:r>
                </w:p>
              </w:tc>
              <w:tc>
                <w:tcPr>
                  <w:tcW w:w="543" w:type="pct"/>
                  <w:vAlign w:val="center"/>
                </w:tcPr>
                <w:p w14:paraId="1B8C4CFB">
                  <w:pPr>
                    <w:jc w:val="center"/>
                    <w:textAlignment w:val="baseline"/>
                    <w:rPr>
                      <w:color w:val="000000" w:themeColor="text1"/>
                      <w:szCs w:val="21"/>
                      <w:highlight w:val="none"/>
                    </w:rPr>
                  </w:pPr>
                  <w:r>
                    <w:rPr>
                      <w:rFonts w:hint="eastAsia"/>
                      <w:color w:val="000000" w:themeColor="text1"/>
                      <w:szCs w:val="21"/>
                      <w:highlight w:val="none"/>
                    </w:rPr>
                    <w:t>70m</w:t>
                  </w:r>
                </w:p>
              </w:tc>
              <w:tc>
                <w:tcPr>
                  <w:tcW w:w="522" w:type="pct"/>
                  <w:vAlign w:val="center"/>
                </w:tcPr>
                <w:p w14:paraId="607F3F5A">
                  <w:pPr>
                    <w:jc w:val="center"/>
                    <w:textAlignment w:val="baseline"/>
                    <w:rPr>
                      <w:color w:val="000000" w:themeColor="text1"/>
                      <w:szCs w:val="21"/>
                      <w:highlight w:val="none"/>
                    </w:rPr>
                  </w:pPr>
                  <w:r>
                    <w:rPr>
                      <w:color w:val="000000" w:themeColor="text1"/>
                      <w:szCs w:val="21"/>
                      <w:highlight w:val="none"/>
                    </w:rPr>
                    <w:t>100</w:t>
                  </w:r>
                  <w:r>
                    <w:rPr>
                      <w:rFonts w:hint="eastAsia"/>
                      <w:color w:val="000000" w:themeColor="text1"/>
                      <w:szCs w:val="21"/>
                      <w:highlight w:val="none"/>
                    </w:rPr>
                    <w:t>m</w:t>
                  </w:r>
                </w:p>
              </w:tc>
              <w:tc>
                <w:tcPr>
                  <w:tcW w:w="527" w:type="pct"/>
                  <w:vAlign w:val="center"/>
                </w:tcPr>
                <w:p w14:paraId="4F4AA593">
                  <w:pPr>
                    <w:jc w:val="center"/>
                    <w:textAlignment w:val="baseline"/>
                    <w:rPr>
                      <w:color w:val="000000" w:themeColor="text1"/>
                      <w:szCs w:val="21"/>
                      <w:highlight w:val="none"/>
                    </w:rPr>
                  </w:pPr>
                  <w:r>
                    <w:rPr>
                      <w:color w:val="000000" w:themeColor="text1"/>
                      <w:szCs w:val="21"/>
                      <w:highlight w:val="none"/>
                    </w:rPr>
                    <w:t>150</w:t>
                  </w:r>
                  <w:r>
                    <w:rPr>
                      <w:rFonts w:hint="eastAsia"/>
                      <w:color w:val="000000" w:themeColor="text1"/>
                      <w:szCs w:val="21"/>
                      <w:highlight w:val="none"/>
                    </w:rPr>
                    <w:t>m</w:t>
                  </w:r>
                </w:p>
              </w:tc>
              <w:tc>
                <w:tcPr>
                  <w:tcW w:w="521" w:type="pct"/>
                  <w:vAlign w:val="center"/>
                </w:tcPr>
                <w:p w14:paraId="6F22665B">
                  <w:pPr>
                    <w:jc w:val="center"/>
                    <w:textAlignment w:val="baseline"/>
                    <w:rPr>
                      <w:color w:val="000000" w:themeColor="text1"/>
                      <w:szCs w:val="21"/>
                      <w:highlight w:val="none"/>
                    </w:rPr>
                  </w:pPr>
                  <w:r>
                    <w:rPr>
                      <w:color w:val="000000" w:themeColor="text1"/>
                      <w:szCs w:val="21"/>
                      <w:highlight w:val="none"/>
                    </w:rPr>
                    <w:t>200</w:t>
                  </w:r>
                  <w:r>
                    <w:rPr>
                      <w:rFonts w:hint="eastAsia"/>
                      <w:color w:val="000000" w:themeColor="text1"/>
                      <w:szCs w:val="21"/>
                      <w:highlight w:val="none"/>
                    </w:rPr>
                    <w:t>m</w:t>
                  </w:r>
                </w:p>
              </w:tc>
              <w:tc>
                <w:tcPr>
                  <w:tcW w:w="538" w:type="pct"/>
                  <w:vAlign w:val="center"/>
                </w:tcPr>
                <w:p w14:paraId="2891413E">
                  <w:pPr>
                    <w:jc w:val="center"/>
                    <w:textAlignment w:val="baseline"/>
                    <w:rPr>
                      <w:color w:val="000000" w:themeColor="text1"/>
                      <w:szCs w:val="21"/>
                      <w:highlight w:val="none"/>
                    </w:rPr>
                  </w:pPr>
                  <w:r>
                    <w:rPr>
                      <w:rFonts w:hint="eastAsia"/>
                      <w:color w:val="000000" w:themeColor="text1"/>
                      <w:szCs w:val="21"/>
                      <w:highlight w:val="none"/>
                    </w:rPr>
                    <w:t>380m</w:t>
                  </w:r>
                </w:p>
              </w:tc>
            </w:tr>
            <w:tr w14:paraId="0EA65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5" w:type="pct"/>
                  <w:vAlign w:val="center"/>
                </w:tcPr>
                <w:p w14:paraId="4EC1CAAF">
                  <w:pPr>
                    <w:pStyle w:val="46"/>
                    <w:jc w:val="center"/>
                    <w:rPr>
                      <w:color w:val="000000" w:themeColor="text1"/>
                      <w:sz w:val="21"/>
                      <w:szCs w:val="21"/>
                      <w:highlight w:val="none"/>
                      <w:lang w:eastAsia="zh-CN"/>
                    </w:rPr>
                  </w:pPr>
                  <w:r>
                    <w:rPr>
                      <w:color w:val="000000" w:themeColor="text1"/>
                      <w:spacing w:val="6"/>
                      <w:sz w:val="21"/>
                      <w:szCs w:val="21"/>
                      <w:highlight w:val="none"/>
                      <w:lang w:eastAsia="zh-CN"/>
                    </w:rPr>
                    <w:t>推土机</w:t>
                  </w:r>
                </w:p>
              </w:tc>
              <w:tc>
                <w:tcPr>
                  <w:tcW w:w="543" w:type="pct"/>
                  <w:vAlign w:val="center"/>
                </w:tcPr>
                <w:p w14:paraId="129D12EB">
                  <w:pPr>
                    <w:jc w:val="center"/>
                    <w:textAlignment w:val="baseline"/>
                    <w:rPr>
                      <w:color w:val="000000" w:themeColor="text1"/>
                      <w:szCs w:val="21"/>
                      <w:highlight w:val="none"/>
                    </w:rPr>
                  </w:pPr>
                  <w:r>
                    <w:rPr>
                      <w:rFonts w:hint="eastAsia"/>
                      <w:color w:val="000000" w:themeColor="text1"/>
                      <w:szCs w:val="21"/>
                      <w:highlight w:val="none"/>
                    </w:rPr>
                    <w:t>86.52</w:t>
                  </w:r>
                </w:p>
              </w:tc>
              <w:tc>
                <w:tcPr>
                  <w:tcW w:w="543" w:type="pct"/>
                  <w:vAlign w:val="center"/>
                </w:tcPr>
                <w:p w14:paraId="42D5A036">
                  <w:pPr>
                    <w:jc w:val="center"/>
                    <w:textAlignment w:val="baseline"/>
                    <w:rPr>
                      <w:color w:val="000000" w:themeColor="text1"/>
                      <w:szCs w:val="21"/>
                      <w:highlight w:val="none"/>
                    </w:rPr>
                  </w:pPr>
                  <w:r>
                    <w:rPr>
                      <w:rFonts w:hint="eastAsia"/>
                      <w:color w:val="000000" w:themeColor="text1"/>
                      <w:szCs w:val="21"/>
                      <w:highlight w:val="none"/>
                    </w:rPr>
                    <w:t>76.98</w:t>
                  </w:r>
                </w:p>
              </w:tc>
              <w:tc>
                <w:tcPr>
                  <w:tcW w:w="552" w:type="pct"/>
                  <w:vAlign w:val="center"/>
                </w:tcPr>
                <w:p w14:paraId="42E5E0C9">
                  <w:pPr>
                    <w:jc w:val="center"/>
                    <w:textAlignment w:val="baseline"/>
                    <w:rPr>
                      <w:color w:val="000000" w:themeColor="text1"/>
                      <w:szCs w:val="21"/>
                      <w:highlight w:val="none"/>
                    </w:rPr>
                  </w:pPr>
                  <w:r>
                    <w:rPr>
                      <w:rFonts w:hint="eastAsia"/>
                      <w:color w:val="000000" w:themeColor="text1"/>
                      <w:szCs w:val="21"/>
                      <w:highlight w:val="none"/>
                    </w:rPr>
                    <w:t>72.54</w:t>
                  </w:r>
                </w:p>
              </w:tc>
              <w:tc>
                <w:tcPr>
                  <w:tcW w:w="543" w:type="pct"/>
                  <w:vAlign w:val="center"/>
                </w:tcPr>
                <w:p w14:paraId="5C9AF460">
                  <w:pPr>
                    <w:jc w:val="center"/>
                    <w:textAlignment w:val="baseline"/>
                    <w:rPr>
                      <w:color w:val="000000" w:themeColor="text1"/>
                      <w:szCs w:val="21"/>
                      <w:highlight w:val="none"/>
                    </w:rPr>
                  </w:pPr>
                  <w:r>
                    <w:rPr>
                      <w:rFonts w:hint="eastAsia"/>
                      <w:color w:val="000000" w:themeColor="text1"/>
                      <w:szCs w:val="21"/>
                      <w:highlight w:val="none"/>
                    </w:rPr>
                    <w:t>69.62</w:t>
                  </w:r>
                </w:p>
              </w:tc>
              <w:tc>
                <w:tcPr>
                  <w:tcW w:w="522" w:type="pct"/>
                  <w:vAlign w:val="center"/>
                </w:tcPr>
                <w:p w14:paraId="46125FB5">
                  <w:pPr>
                    <w:jc w:val="center"/>
                    <w:textAlignment w:val="baseline"/>
                    <w:rPr>
                      <w:color w:val="000000" w:themeColor="text1"/>
                      <w:szCs w:val="21"/>
                      <w:highlight w:val="none"/>
                    </w:rPr>
                  </w:pPr>
                  <w:r>
                    <w:rPr>
                      <w:rFonts w:hint="eastAsia"/>
                      <w:color w:val="000000" w:themeColor="text1"/>
                      <w:szCs w:val="21"/>
                      <w:highlight w:val="none"/>
                    </w:rPr>
                    <w:t>66.52</w:t>
                  </w:r>
                </w:p>
              </w:tc>
              <w:tc>
                <w:tcPr>
                  <w:tcW w:w="527" w:type="pct"/>
                  <w:vAlign w:val="center"/>
                </w:tcPr>
                <w:p w14:paraId="3304640C">
                  <w:pPr>
                    <w:jc w:val="center"/>
                    <w:textAlignment w:val="baseline"/>
                    <w:rPr>
                      <w:color w:val="000000" w:themeColor="text1"/>
                      <w:szCs w:val="21"/>
                      <w:highlight w:val="none"/>
                    </w:rPr>
                  </w:pPr>
                  <w:r>
                    <w:rPr>
                      <w:rFonts w:hint="eastAsia"/>
                      <w:color w:val="000000" w:themeColor="text1"/>
                      <w:szCs w:val="21"/>
                      <w:highlight w:val="none"/>
                    </w:rPr>
                    <w:t>63.00</w:t>
                  </w:r>
                </w:p>
              </w:tc>
              <w:tc>
                <w:tcPr>
                  <w:tcW w:w="521" w:type="pct"/>
                  <w:vAlign w:val="center"/>
                </w:tcPr>
                <w:p w14:paraId="2C676E92">
                  <w:pPr>
                    <w:jc w:val="center"/>
                    <w:textAlignment w:val="baseline"/>
                    <w:rPr>
                      <w:color w:val="000000" w:themeColor="text1"/>
                      <w:szCs w:val="21"/>
                      <w:highlight w:val="none"/>
                    </w:rPr>
                  </w:pPr>
                  <w:r>
                    <w:rPr>
                      <w:rFonts w:hint="eastAsia"/>
                      <w:color w:val="000000" w:themeColor="text1"/>
                      <w:szCs w:val="21"/>
                      <w:highlight w:val="none"/>
                    </w:rPr>
                    <w:t>60.50</w:t>
                  </w:r>
                </w:p>
              </w:tc>
              <w:tc>
                <w:tcPr>
                  <w:tcW w:w="538" w:type="pct"/>
                  <w:vAlign w:val="center"/>
                </w:tcPr>
                <w:p w14:paraId="54BCA612">
                  <w:pPr>
                    <w:jc w:val="center"/>
                    <w:textAlignment w:val="baseline"/>
                    <w:rPr>
                      <w:color w:val="000000" w:themeColor="text1"/>
                      <w:szCs w:val="21"/>
                      <w:highlight w:val="none"/>
                    </w:rPr>
                  </w:pPr>
                  <w:r>
                    <w:rPr>
                      <w:rFonts w:hint="eastAsia"/>
                      <w:color w:val="000000" w:themeColor="text1"/>
                      <w:szCs w:val="21"/>
                      <w:highlight w:val="none"/>
                    </w:rPr>
                    <w:t>54.92</w:t>
                  </w:r>
                </w:p>
              </w:tc>
            </w:tr>
            <w:tr w14:paraId="3CB8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5" w:type="pct"/>
                  <w:vAlign w:val="center"/>
                </w:tcPr>
                <w:p w14:paraId="6F4BC7D7">
                  <w:pPr>
                    <w:pStyle w:val="46"/>
                    <w:jc w:val="center"/>
                    <w:rPr>
                      <w:color w:val="000000" w:themeColor="text1"/>
                      <w:sz w:val="21"/>
                      <w:szCs w:val="21"/>
                      <w:highlight w:val="none"/>
                      <w:lang w:eastAsia="zh-CN"/>
                    </w:rPr>
                  </w:pPr>
                  <w:r>
                    <w:rPr>
                      <w:color w:val="000000" w:themeColor="text1"/>
                      <w:spacing w:val="7"/>
                      <w:sz w:val="21"/>
                      <w:szCs w:val="21"/>
                      <w:highlight w:val="none"/>
                      <w:lang w:eastAsia="zh-CN"/>
                    </w:rPr>
                    <w:t>挖掘机</w:t>
                  </w:r>
                </w:p>
              </w:tc>
              <w:tc>
                <w:tcPr>
                  <w:tcW w:w="543" w:type="pct"/>
                  <w:vAlign w:val="center"/>
                </w:tcPr>
                <w:p w14:paraId="2EEC094D">
                  <w:pPr>
                    <w:jc w:val="center"/>
                    <w:textAlignment w:val="baseline"/>
                    <w:rPr>
                      <w:color w:val="000000" w:themeColor="text1"/>
                      <w:szCs w:val="21"/>
                      <w:highlight w:val="none"/>
                    </w:rPr>
                  </w:pPr>
                  <w:r>
                    <w:rPr>
                      <w:rFonts w:hint="eastAsia"/>
                      <w:color w:val="000000" w:themeColor="text1"/>
                      <w:szCs w:val="21"/>
                      <w:highlight w:val="none"/>
                    </w:rPr>
                    <w:t>80.52</w:t>
                  </w:r>
                </w:p>
              </w:tc>
              <w:tc>
                <w:tcPr>
                  <w:tcW w:w="543" w:type="pct"/>
                  <w:vAlign w:val="center"/>
                </w:tcPr>
                <w:p w14:paraId="7B121193">
                  <w:pPr>
                    <w:jc w:val="center"/>
                    <w:textAlignment w:val="baseline"/>
                    <w:rPr>
                      <w:color w:val="000000" w:themeColor="text1"/>
                      <w:szCs w:val="21"/>
                      <w:highlight w:val="none"/>
                    </w:rPr>
                  </w:pPr>
                  <w:r>
                    <w:rPr>
                      <w:rFonts w:hint="eastAsia"/>
                      <w:color w:val="000000" w:themeColor="text1"/>
                      <w:szCs w:val="21"/>
                      <w:highlight w:val="none"/>
                    </w:rPr>
                    <w:t>70.98</w:t>
                  </w:r>
                </w:p>
              </w:tc>
              <w:tc>
                <w:tcPr>
                  <w:tcW w:w="552" w:type="pct"/>
                  <w:vAlign w:val="center"/>
                </w:tcPr>
                <w:p w14:paraId="5FB5B18F">
                  <w:pPr>
                    <w:jc w:val="center"/>
                    <w:textAlignment w:val="baseline"/>
                    <w:rPr>
                      <w:color w:val="000000" w:themeColor="text1"/>
                      <w:szCs w:val="21"/>
                      <w:highlight w:val="none"/>
                    </w:rPr>
                  </w:pPr>
                  <w:r>
                    <w:rPr>
                      <w:color w:val="000000" w:themeColor="text1"/>
                      <w:szCs w:val="21"/>
                      <w:highlight w:val="none"/>
                    </w:rPr>
                    <w:t>66.54</w:t>
                  </w:r>
                </w:p>
              </w:tc>
              <w:tc>
                <w:tcPr>
                  <w:tcW w:w="543" w:type="pct"/>
                  <w:vAlign w:val="center"/>
                </w:tcPr>
                <w:p w14:paraId="77897EBA">
                  <w:pPr>
                    <w:jc w:val="center"/>
                    <w:textAlignment w:val="baseline"/>
                    <w:rPr>
                      <w:color w:val="000000" w:themeColor="text1"/>
                      <w:szCs w:val="21"/>
                      <w:highlight w:val="none"/>
                    </w:rPr>
                  </w:pPr>
                  <w:r>
                    <w:rPr>
                      <w:color w:val="000000" w:themeColor="text1"/>
                      <w:szCs w:val="21"/>
                      <w:highlight w:val="none"/>
                    </w:rPr>
                    <w:t>63.6</w:t>
                  </w:r>
                  <w:r>
                    <w:rPr>
                      <w:rFonts w:hint="eastAsia"/>
                      <w:color w:val="000000" w:themeColor="text1"/>
                      <w:szCs w:val="21"/>
                      <w:highlight w:val="none"/>
                    </w:rPr>
                    <w:t>2</w:t>
                  </w:r>
                </w:p>
              </w:tc>
              <w:tc>
                <w:tcPr>
                  <w:tcW w:w="522" w:type="pct"/>
                  <w:vAlign w:val="center"/>
                </w:tcPr>
                <w:p w14:paraId="7C0ECF00">
                  <w:pPr>
                    <w:jc w:val="center"/>
                    <w:textAlignment w:val="baseline"/>
                    <w:rPr>
                      <w:color w:val="000000" w:themeColor="text1"/>
                      <w:szCs w:val="21"/>
                      <w:highlight w:val="none"/>
                    </w:rPr>
                  </w:pPr>
                  <w:r>
                    <w:rPr>
                      <w:rFonts w:hint="eastAsia"/>
                      <w:color w:val="000000" w:themeColor="text1"/>
                      <w:szCs w:val="21"/>
                      <w:highlight w:val="none"/>
                    </w:rPr>
                    <w:t>60.52</w:t>
                  </w:r>
                </w:p>
              </w:tc>
              <w:tc>
                <w:tcPr>
                  <w:tcW w:w="527" w:type="pct"/>
                  <w:vAlign w:val="center"/>
                </w:tcPr>
                <w:p w14:paraId="7A1D4484">
                  <w:pPr>
                    <w:jc w:val="center"/>
                    <w:textAlignment w:val="baseline"/>
                    <w:rPr>
                      <w:color w:val="000000" w:themeColor="text1"/>
                      <w:szCs w:val="21"/>
                      <w:highlight w:val="none"/>
                    </w:rPr>
                  </w:pPr>
                  <w:r>
                    <w:rPr>
                      <w:rFonts w:hint="eastAsia"/>
                      <w:color w:val="000000" w:themeColor="text1"/>
                      <w:szCs w:val="21"/>
                      <w:highlight w:val="none"/>
                    </w:rPr>
                    <w:t>57.00</w:t>
                  </w:r>
                </w:p>
              </w:tc>
              <w:tc>
                <w:tcPr>
                  <w:tcW w:w="521" w:type="pct"/>
                  <w:vAlign w:val="center"/>
                </w:tcPr>
                <w:p w14:paraId="67B54A57">
                  <w:pPr>
                    <w:jc w:val="center"/>
                    <w:textAlignment w:val="baseline"/>
                    <w:rPr>
                      <w:color w:val="000000" w:themeColor="text1"/>
                      <w:szCs w:val="21"/>
                      <w:highlight w:val="none"/>
                    </w:rPr>
                  </w:pPr>
                  <w:r>
                    <w:rPr>
                      <w:rFonts w:hint="eastAsia"/>
                      <w:color w:val="000000" w:themeColor="text1"/>
                      <w:szCs w:val="21"/>
                      <w:highlight w:val="none"/>
                    </w:rPr>
                    <w:t>54.50</w:t>
                  </w:r>
                </w:p>
              </w:tc>
              <w:tc>
                <w:tcPr>
                  <w:tcW w:w="538" w:type="pct"/>
                  <w:vAlign w:val="center"/>
                </w:tcPr>
                <w:p w14:paraId="5A7B56D5">
                  <w:pPr>
                    <w:jc w:val="center"/>
                    <w:textAlignment w:val="baseline"/>
                    <w:rPr>
                      <w:color w:val="000000" w:themeColor="text1"/>
                      <w:szCs w:val="21"/>
                      <w:highlight w:val="none"/>
                    </w:rPr>
                  </w:pPr>
                  <w:r>
                    <w:rPr>
                      <w:rFonts w:hint="eastAsia"/>
                      <w:color w:val="000000" w:themeColor="text1"/>
                      <w:szCs w:val="21"/>
                      <w:highlight w:val="none"/>
                    </w:rPr>
                    <w:t>48.92</w:t>
                  </w:r>
                </w:p>
              </w:tc>
            </w:tr>
            <w:tr w14:paraId="7F87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5" w:type="pct"/>
                  <w:vAlign w:val="center"/>
                </w:tcPr>
                <w:p w14:paraId="05D006D1">
                  <w:pPr>
                    <w:pStyle w:val="46"/>
                    <w:jc w:val="center"/>
                    <w:rPr>
                      <w:color w:val="000000" w:themeColor="text1"/>
                      <w:sz w:val="21"/>
                      <w:szCs w:val="21"/>
                      <w:highlight w:val="none"/>
                      <w:lang w:eastAsia="zh-CN"/>
                    </w:rPr>
                  </w:pPr>
                  <w:r>
                    <w:rPr>
                      <w:color w:val="000000" w:themeColor="text1"/>
                      <w:spacing w:val="6"/>
                      <w:sz w:val="21"/>
                      <w:szCs w:val="21"/>
                      <w:highlight w:val="none"/>
                      <w:lang w:eastAsia="zh-CN"/>
                    </w:rPr>
                    <w:t>装载机</w:t>
                  </w:r>
                </w:p>
              </w:tc>
              <w:tc>
                <w:tcPr>
                  <w:tcW w:w="543" w:type="pct"/>
                  <w:vAlign w:val="center"/>
                </w:tcPr>
                <w:p w14:paraId="4D2041D6">
                  <w:pPr>
                    <w:jc w:val="center"/>
                    <w:textAlignment w:val="baseline"/>
                    <w:rPr>
                      <w:color w:val="000000" w:themeColor="text1"/>
                      <w:szCs w:val="21"/>
                      <w:highlight w:val="none"/>
                    </w:rPr>
                  </w:pPr>
                  <w:r>
                    <w:rPr>
                      <w:rFonts w:hint="eastAsia"/>
                      <w:color w:val="000000" w:themeColor="text1"/>
                      <w:szCs w:val="21"/>
                      <w:highlight w:val="none"/>
                    </w:rPr>
                    <w:t>83.52</w:t>
                  </w:r>
                </w:p>
              </w:tc>
              <w:tc>
                <w:tcPr>
                  <w:tcW w:w="543" w:type="pct"/>
                  <w:vAlign w:val="center"/>
                </w:tcPr>
                <w:p w14:paraId="7008E68D">
                  <w:pPr>
                    <w:jc w:val="center"/>
                    <w:textAlignment w:val="baseline"/>
                    <w:rPr>
                      <w:color w:val="000000" w:themeColor="text1"/>
                      <w:szCs w:val="21"/>
                      <w:highlight w:val="none"/>
                    </w:rPr>
                  </w:pPr>
                  <w:r>
                    <w:rPr>
                      <w:color w:val="000000" w:themeColor="text1"/>
                      <w:szCs w:val="21"/>
                      <w:highlight w:val="none"/>
                    </w:rPr>
                    <w:t>73.9</w:t>
                  </w:r>
                  <w:r>
                    <w:rPr>
                      <w:rFonts w:hint="eastAsia"/>
                      <w:color w:val="000000" w:themeColor="text1"/>
                      <w:szCs w:val="21"/>
                      <w:highlight w:val="none"/>
                    </w:rPr>
                    <w:t>8</w:t>
                  </w:r>
                </w:p>
              </w:tc>
              <w:tc>
                <w:tcPr>
                  <w:tcW w:w="552" w:type="pct"/>
                  <w:vAlign w:val="center"/>
                </w:tcPr>
                <w:p w14:paraId="0B074591">
                  <w:pPr>
                    <w:jc w:val="center"/>
                    <w:textAlignment w:val="baseline"/>
                    <w:rPr>
                      <w:color w:val="000000" w:themeColor="text1"/>
                      <w:szCs w:val="21"/>
                      <w:highlight w:val="none"/>
                    </w:rPr>
                  </w:pPr>
                  <w:r>
                    <w:rPr>
                      <w:rFonts w:hint="eastAsia"/>
                      <w:color w:val="000000" w:themeColor="text1"/>
                      <w:szCs w:val="21"/>
                      <w:highlight w:val="none"/>
                    </w:rPr>
                    <w:t>69.54</w:t>
                  </w:r>
                </w:p>
              </w:tc>
              <w:tc>
                <w:tcPr>
                  <w:tcW w:w="543" w:type="pct"/>
                  <w:vAlign w:val="center"/>
                </w:tcPr>
                <w:p w14:paraId="2BDABE1C">
                  <w:pPr>
                    <w:jc w:val="center"/>
                    <w:textAlignment w:val="baseline"/>
                    <w:rPr>
                      <w:color w:val="000000" w:themeColor="text1"/>
                      <w:szCs w:val="21"/>
                      <w:highlight w:val="none"/>
                    </w:rPr>
                  </w:pPr>
                  <w:r>
                    <w:rPr>
                      <w:rFonts w:hint="eastAsia"/>
                      <w:color w:val="000000" w:themeColor="text1"/>
                      <w:szCs w:val="21"/>
                      <w:highlight w:val="none"/>
                    </w:rPr>
                    <w:t>66.62</w:t>
                  </w:r>
                </w:p>
              </w:tc>
              <w:tc>
                <w:tcPr>
                  <w:tcW w:w="522" w:type="pct"/>
                  <w:vAlign w:val="center"/>
                </w:tcPr>
                <w:p w14:paraId="7208F1D7">
                  <w:pPr>
                    <w:jc w:val="center"/>
                    <w:textAlignment w:val="baseline"/>
                    <w:rPr>
                      <w:color w:val="000000" w:themeColor="text1"/>
                      <w:szCs w:val="21"/>
                      <w:highlight w:val="none"/>
                    </w:rPr>
                  </w:pPr>
                  <w:r>
                    <w:rPr>
                      <w:rFonts w:hint="eastAsia"/>
                      <w:color w:val="000000" w:themeColor="text1"/>
                      <w:szCs w:val="21"/>
                      <w:highlight w:val="none"/>
                    </w:rPr>
                    <w:t>63.52</w:t>
                  </w:r>
                </w:p>
              </w:tc>
              <w:tc>
                <w:tcPr>
                  <w:tcW w:w="527" w:type="pct"/>
                  <w:vAlign w:val="center"/>
                </w:tcPr>
                <w:p w14:paraId="53D50706">
                  <w:pPr>
                    <w:jc w:val="center"/>
                    <w:textAlignment w:val="baseline"/>
                    <w:rPr>
                      <w:color w:val="000000" w:themeColor="text1"/>
                      <w:szCs w:val="21"/>
                      <w:highlight w:val="none"/>
                    </w:rPr>
                  </w:pPr>
                  <w:r>
                    <w:rPr>
                      <w:rFonts w:hint="eastAsia"/>
                      <w:color w:val="000000" w:themeColor="text1"/>
                      <w:szCs w:val="21"/>
                      <w:highlight w:val="none"/>
                    </w:rPr>
                    <w:t>60.00</w:t>
                  </w:r>
                </w:p>
              </w:tc>
              <w:tc>
                <w:tcPr>
                  <w:tcW w:w="521" w:type="pct"/>
                  <w:vAlign w:val="center"/>
                </w:tcPr>
                <w:p w14:paraId="793DD3CF">
                  <w:pPr>
                    <w:jc w:val="center"/>
                    <w:textAlignment w:val="baseline"/>
                    <w:rPr>
                      <w:color w:val="000000" w:themeColor="text1"/>
                      <w:szCs w:val="21"/>
                      <w:highlight w:val="none"/>
                    </w:rPr>
                  </w:pPr>
                  <w:r>
                    <w:rPr>
                      <w:rFonts w:hint="eastAsia"/>
                      <w:color w:val="000000" w:themeColor="text1"/>
                      <w:szCs w:val="21"/>
                      <w:highlight w:val="none"/>
                    </w:rPr>
                    <w:t>57.50</w:t>
                  </w:r>
                </w:p>
              </w:tc>
              <w:tc>
                <w:tcPr>
                  <w:tcW w:w="538" w:type="pct"/>
                  <w:vAlign w:val="center"/>
                </w:tcPr>
                <w:p w14:paraId="7852838E">
                  <w:pPr>
                    <w:jc w:val="center"/>
                    <w:textAlignment w:val="baseline"/>
                    <w:rPr>
                      <w:color w:val="000000" w:themeColor="text1"/>
                      <w:szCs w:val="21"/>
                      <w:highlight w:val="none"/>
                    </w:rPr>
                  </w:pPr>
                  <w:r>
                    <w:rPr>
                      <w:rFonts w:hint="eastAsia"/>
                      <w:color w:val="000000" w:themeColor="text1"/>
                      <w:szCs w:val="21"/>
                      <w:highlight w:val="none"/>
                    </w:rPr>
                    <w:t>51.92</w:t>
                  </w:r>
                </w:p>
              </w:tc>
            </w:tr>
            <w:tr w14:paraId="504E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5" w:type="pct"/>
                  <w:vAlign w:val="center"/>
                </w:tcPr>
                <w:p w14:paraId="590D8200">
                  <w:pPr>
                    <w:pStyle w:val="46"/>
                    <w:jc w:val="center"/>
                    <w:rPr>
                      <w:color w:val="000000" w:themeColor="text1"/>
                      <w:sz w:val="21"/>
                      <w:szCs w:val="21"/>
                      <w:highlight w:val="none"/>
                      <w:lang w:eastAsia="zh-CN"/>
                    </w:rPr>
                  </w:pPr>
                  <w:r>
                    <w:rPr>
                      <w:color w:val="000000" w:themeColor="text1"/>
                      <w:spacing w:val="7"/>
                      <w:sz w:val="21"/>
                      <w:szCs w:val="21"/>
                      <w:highlight w:val="none"/>
                      <w:lang w:eastAsia="zh-CN"/>
                    </w:rPr>
                    <w:t>振捣机</w:t>
                  </w:r>
                </w:p>
              </w:tc>
              <w:tc>
                <w:tcPr>
                  <w:tcW w:w="543" w:type="pct"/>
                  <w:vAlign w:val="center"/>
                </w:tcPr>
                <w:p w14:paraId="25B02C97">
                  <w:pPr>
                    <w:jc w:val="center"/>
                    <w:textAlignment w:val="baseline"/>
                    <w:rPr>
                      <w:color w:val="000000" w:themeColor="text1"/>
                      <w:szCs w:val="21"/>
                      <w:highlight w:val="none"/>
                    </w:rPr>
                  </w:pPr>
                  <w:r>
                    <w:rPr>
                      <w:rFonts w:hint="eastAsia"/>
                      <w:color w:val="000000" w:themeColor="text1"/>
                      <w:szCs w:val="21"/>
                      <w:highlight w:val="none"/>
                    </w:rPr>
                    <w:t>73</w:t>
                  </w:r>
                </w:p>
              </w:tc>
              <w:tc>
                <w:tcPr>
                  <w:tcW w:w="543" w:type="pct"/>
                  <w:vAlign w:val="center"/>
                </w:tcPr>
                <w:p w14:paraId="5992655A">
                  <w:pPr>
                    <w:jc w:val="center"/>
                    <w:textAlignment w:val="baseline"/>
                    <w:rPr>
                      <w:color w:val="000000" w:themeColor="text1"/>
                      <w:szCs w:val="21"/>
                      <w:highlight w:val="none"/>
                    </w:rPr>
                  </w:pPr>
                  <w:r>
                    <w:rPr>
                      <w:rFonts w:hint="eastAsia"/>
                      <w:color w:val="000000" w:themeColor="text1"/>
                      <w:szCs w:val="21"/>
                      <w:highlight w:val="none"/>
                    </w:rPr>
                    <w:t>63.46</w:t>
                  </w:r>
                </w:p>
              </w:tc>
              <w:tc>
                <w:tcPr>
                  <w:tcW w:w="552" w:type="pct"/>
                  <w:vAlign w:val="center"/>
                </w:tcPr>
                <w:p w14:paraId="332B9D61">
                  <w:pPr>
                    <w:jc w:val="center"/>
                    <w:textAlignment w:val="baseline"/>
                    <w:rPr>
                      <w:color w:val="000000" w:themeColor="text1"/>
                      <w:szCs w:val="21"/>
                      <w:highlight w:val="none"/>
                    </w:rPr>
                  </w:pPr>
                  <w:r>
                    <w:rPr>
                      <w:rFonts w:hint="eastAsia"/>
                      <w:color w:val="000000" w:themeColor="text1"/>
                      <w:szCs w:val="21"/>
                      <w:highlight w:val="none"/>
                    </w:rPr>
                    <w:t>59.02</w:t>
                  </w:r>
                </w:p>
              </w:tc>
              <w:tc>
                <w:tcPr>
                  <w:tcW w:w="543" w:type="pct"/>
                  <w:vAlign w:val="center"/>
                </w:tcPr>
                <w:p w14:paraId="0FF0C10A">
                  <w:pPr>
                    <w:jc w:val="center"/>
                    <w:textAlignment w:val="baseline"/>
                    <w:rPr>
                      <w:color w:val="000000" w:themeColor="text1"/>
                      <w:szCs w:val="21"/>
                      <w:highlight w:val="none"/>
                    </w:rPr>
                  </w:pPr>
                  <w:r>
                    <w:rPr>
                      <w:rFonts w:hint="eastAsia"/>
                      <w:color w:val="000000" w:themeColor="text1"/>
                      <w:szCs w:val="21"/>
                      <w:highlight w:val="none"/>
                    </w:rPr>
                    <w:t>56.10</w:t>
                  </w:r>
                </w:p>
              </w:tc>
              <w:tc>
                <w:tcPr>
                  <w:tcW w:w="522" w:type="pct"/>
                  <w:vAlign w:val="center"/>
                </w:tcPr>
                <w:p w14:paraId="13F74106">
                  <w:pPr>
                    <w:jc w:val="center"/>
                    <w:textAlignment w:val="baseline"/>
                    <w:rPr>
                      <w:color w:val="000000" w:themeColor="text1"/>
                      <w:szCs w:val="21"/>
                      <w:highlight w:val="none"/>
                    </w:rPr>
                  </w:pPr>
                  <w:r>
                    <w:rPr>
                      <w:rFonts w:hint="eastAsia"/>
                      <w:color w:val="000000" w:themeColor="text1"/>
                      <w:szCs w:val="21"/>
                      <w:highlight w:val="none"/>
                    </w:rPr>
                    <w:t>53</w:t>
                  </w:r>
                </w:p>
              </w:tc>
              <w:tc>
                <w:tcPr>
                  <w:tcW w:w="527" w:type="pct"/>
                  <w:vAlign w:val="center"/>
                </w:tcPr>
                <w:p w14:paraId="745360AC">
                  <w:pPr>
                    <w:jc w:val="center"/>
                    <w:textAlignment w:val="baseline"/>
                    <w:rPr>
                      <w:color w:val="000000" w:themeColor="text1"/>
                      <w:szCs w:val="21"/>
                      <w:highlight w:val="none"/>
                    </w:rPr>
                  </w:pPr>
                  <w:r>
                    <w:rPr>
                      <w:rFonts w:hint="eastAsia"/>
                      <w:color w:val="000000" w:themeColor="text1"/>
                      <w:szCs w:val="21"/>
                      <w:highlight w:val="none"/>
                    </w:rPr>
                    <w:t>49.48</w:t>
                  </w:r>
                </w:p>
              </w:tc>
              <w:tc>
                <w:tcPr>
                  <w:tcW w:w="521" w:type="pct"/>
                  <w:vAlign w:val="center"/>
                </w:tcPr>
                <w:p w14:paraId="732FCEA0">
                  <w:pPr>
                    <w:jc w:val="center"/>
                    <w:textAlignment w:val="baseline"/>
                    <w:rPr>
                      <w:color w:val="000000" w:themeColor="text1"/>
                      <w:szCs w:val="21"/>
                      <w:highlight w:val="none"/>
                    </w:rPr>
                  </w:pPr>
                  <w:r>
                    <w:rPr>
                      <w:rFonts w:hint="eastAsia"/>
                      <w:color w:val="000000" w:themeColor="text1"/>
                      <w:szCs w:val="21"/>
                      <w:highlight w:val="none"/>
                    </w:rPr>
                    <w:t>46.98</w:t>
                  </w:r>
                </w:p>
              </w:tc>
              <w:tc>
                <w:tcPr>
                  <w:tcW w:w="538" w:type="pct"/>
                  <w:vAlign w:val="center"/>
                </w:tcPr>
                <w:p w14:paraId="4C092EE1">
                  <w:pPr>
                    <w:jc w:val="center"/>
                    <w:textAlignment w:val="baseline"/>
                    <w:rPr>
                      <w:color w:val="000000" w:themeColor="text1"/>
                      <w:szCs w:val="21"/>
                      <w:highlight w:val="none"/>
                    </w:rPr>
                  </w:pPr>
                  <w:r>
                    <w:rPr>
                      <w:rFonts w:hint="eastAsia"/>
                      <w:color w:val="000000" w:themeColor="text1"/>
                      <w:szCs w:val="21"/>
                      <w:highlight w:val="none"/>
                    </w:rPr>
                    <w:t>41.40</w:t>
                  </w:r>
                </w:p>
              </w:tc>
            </w:tr>
            <w:tr w14:paraId="4D2A9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5" w:type="pct"/>
                  <w:vAlign w:val="center"/>
                </w:tcPr>
                <w:p w14:paraId="30B0C16D">
                  <w:pPr>
                    <w:pStyle w:val="46"/>
                    <w:jc w:val="center"/>
                    <w:rPr>
                      <w:color w:val="000000" w:themeColor="text1"/>
                      <w:spacing w:val="7"/>
                      <w:sz w:val="21"/>
                      <w:szCs w:val="21"/>
                      <w:highlight w:val="none"/>
                      <w:lang w:eastAsia="zh-CN"/>
                    </w:rPr>
                  </w:pPr>
                  <w:r>
                    <w:rPr>
                      <w:color w:val="000000" w:themeColor="text1"/>
                      <w:spacing w:val="7"/>
                      <w:sz w:val="21"/>
                      <w:szCs w:val="21"/>
                      <w:highlight w:val="none"/>
                      <w:lang w:eastAsia="zh-CN"/>
                    </w:rPr>
                    <w:t>电锯</w:t>
                  </w:r>
                </w:p>
              </w:tc>
              <w:tc>
                <w:tcPr>
                  <w:tcW w:w="543" w:type="pct"/>
                  <w:vAlign w:val="center"/>
                </w:tcPr>
                <w:p w14:paraId="666A0468">
                  <w:pPr>
                    <w:jc w:val="center"/>
                    <w:textAlignment w:val="baseline"/>
                    <w:rPr>
                      <w:color w:val="000000" w:themeColor="text1"/>
                      <w:szCs w:val="21"/>
                      <w:highlight w:val="none"/>
                    </w:rPr>
                  </w:pPr>
                  <w:r>
                    <w:rPr>
                      <w:rFonts w:hint="eastAsia"/>
                      <w:color w:val="000000" w:themeColor="text1"/>
                      <w:szCs w:val="21"/>
                      <w:highlight w:val="none"/>
                    </w:rPr>
                    <w:t>83</w:t>
                  </w:r>
                </w:p>
              </w:tc>
              <w:tc>
                <w:tcPr>
                  <w:tcW w:w="543" w:type="pct"/>
                  <w:vAlign w:val="center"/>
                </w:tcPr>
                <w:p w14:paraId="244907B4">
                  <w:pPr>
                    <w:jc w:val="center"/>
                    <w:textAlignment w:val="baseline"/>
                    <w:rPr>
                      <w:color w:val="000000" w:themeColor="text1"/>
                      <w:szCs w:val="21"/>
                      <w:highlight w:val="none"/>
                    </w:rPr>
                  </w:pPr>
                  <w:r>
                    <w:rPr>
                      <w:rFonts w:hint="eastAsia"/>
                      <w:color w:val="000000" w:themeColor="text1"/>
                      <w:szCs w:val="21"/>
                      <w:highlight w:val="none"/>
                    </w:rPr>
                    <w:t>73.46</w:t>
                  </w:r>
                </w:p>
              </w:tc>
              <w:tc>
                <w:tcPr>
                  <w:tcW w:w="552" w:type="pct"/>
                  <w:vAlign w:val="center"/>
                </w:tcPr>
                <w:p w14:paraId="1076723E">
                  <w:pPr>
                    <w:jc w:val="center"/>
                    <w:textAlignment w:val="baseline"/>
                    <w:rPr>
                      <w:color w:val="000000" w:themeColor="text1"/>
                      <w:szCs w:val="21"/>
                      <w:highlight w:val="none"/>
                    </w:rPr>
                  </w:pPr>
                  <w:r>
                    <w:rPr>
                      <w:rFonts w:hint="eastAsia"/>
                      <w:color w:val="000000" w:themeColor="text1"/>
                      <w:szCs w:val="21"/>
                      <w:highlight w:val="none"/>
                    </w:rPr>
                    <w:t>69.02</w:t>
                  </w:r>
                </w:p>
              </w:tc>
              <w:tc>
                <w:tcPr>
                  <w:tcW w:w="543" w:type="pct"/>
                  <w:vAlign w:val="center"/>
                </w:tcPr>
                <w:p w14:paraId="4448BA9F">
                  <w:pPr>
                    <w:jc w:val="center"/>
                    <w:textAlignment w:val="baseline"/>
                    <w:rPr>
                      <w:color w:val="000000" w:themeColor="text1"/>
                      <w:szCs w:val="21"/>
                      <w:highlight w:val="none"/>
                    </w:rPr>
                  </w:pPr>
                  <w:r>
                    <w:rPr>
                      <w:rFonts w:hint="eastAsia"/>
                      <w:color w:val="000000" w:themeColor="text1"/>
                      <w:szCs w:val="21"/>
                      <w:highlight w:val="none"/>
                    </w:rPr>
                    <w:t>66.10</w:t>
                  </w:r>
                </w:p>
              </w:tc>
              <w:tc>
                <w:tcPr>
                  <w:tcW w:w="522" w:type="pct"/>
                  <w:vAlign w:val="center"/>
                </w:tcPr>
                <w:p w14:paraId="2FC09556">
                  <w:pPr>
                    <w:jc w:val="center"/>
                    <w:textAlignment w:val="baseline"/>
                    <w:rPr>
                      <w:color w:val="000000" w:themeColor="text1"/>
                      <w:szCs w:val="21"/>
                      <w:highlight w:val="none"/>
                    </w:rPr>
                  </w:pPr>
                  <w:r>
                    <w:rPr>
                      <w:rFonts w:hint="eastAsia"/>
                      <w:color w:val="000000" w:themeColor="text1"/>
                      <w:szCs w:val="21"/>
                      <w:highlight w:val="none"/>
                    </w:rPr>
                    <w:t>63</w:t>
                  </w:r>
                </w:p>
              </w:tc>
              <w:tc>
                <w:tcPr>
                  <w:tcW w:w="527" w:type="pct"/>
                  <w:vAlign w:val="center"/>
                </w:tcPr>
                <w:p w14:paraId="5AEC077F">
                  <w:pPr>
                    <w:jc w:val="center"/>
                    <w:textAlignment w:val="baseline"/>
                    <w:rPr>
                      <w:color w:val="000000" w:themeColor="text1"/>
                      <w:szCs w:val="21"/>
                      <w:highlight w:val="none"/>
                    </w:rPr>
                  </w:pPr>
                  <w:r>
                    <w:rPr>
                      <w:rFonts w:hint="eastAsia"/>
                      <w:color w:val="000000" w:themeColor="text1"/>
                      <w:szCs w:val="21"/>
                      <w:highlight w:val="none"/>
                    </w:rPr>
                    <w:t>59.48</w:t>
                  </w:r>
                </w:p>
              </w:tc>
              <w:tc>
                <w:tcPr>
                  <w:tcW w:w="521" w:type="pct"/>
                  <w:vAlign w:val="center"/>
                </w:tcPr>
                <w:p w14:paraId="6913DFAC">
                  <w:pPr>
                    <w:jc w:val="center"/>
                    <w:textAlignment w:val="baseline"/>
                    <w:rPr>
                      <w:color w:val="000000" w:themeColor="text1"/>
                      <w:szCs w:val="21"/>
                      <w:highlight w:val="none"/>
                    </w:rPr>
                  </w:pPr>
                  <w:r>
                    <w:rPr>
                      <w:rFonts w:hint="eastAsia"/>
                      <w:color w:val="000000" w:themeColor="text1"/>
                      <w:szCs w:val="21"/>
                      <w:highlight w:val="none"/>
                    </w:rPr>
                    <w:t>56.98</w:t>
                  </w:r>
                </w:p>
              </w:tc>
              <w:tc>
                <w:tcPr>
                  <w:tcW w:w="538" w:type="pct"/>
                  <w:vAlign w:val="center"/>
                </w:tcPr>
                <w:p w14:paraId="587963D2">
                  <w:pPr>
                    <w:jc w:val="center"/>
                    <w:textAlignment w:val="baseline"/>
                    <w:rPr>
                      <w:color w:val="000000" w:themeColor="text1"/>
                      <w:szCs w:val="21"/>
                      <w:highlight w:val="none"/>
                    </w:rPr>
                  </w:pPr>
                  <w:r>
                    <w:rPr>
                      <w:rFonts w:hint="eastAsia"/>
                      <w:color w:val="000000" w:themeColor="text1"/>
                      <w:szCs w:val="21"/>
                      <w:highlight w:val="none"/>
                    </w:rPr>
                    <w:t>51.40</w:t>
                  </w:r>
                </w:p>
              </w:tc>
            </w:tr>
            <w:tr w14:paraId="0104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5" w:type="pct"/>
                  <w:vAlign w:val="center"/>
                </w:tcPr>
                <w:p w14:paraId="0509943A">
                  <w:pPr>
                    <w:pStyle w:val="46"/>
                    <w:jc w:val="center"/>
                    <w:rPr>
                      <w:color w:val="000000" w:themeColor="text1"/>
                      <w:sz w:val="21"/>
                      <w:szCs w:val="21"/>
                      <w:highlight w:val="none"/>
                      <w:lang w:eastAsia="zh-CN"/>
                    </w:rPr>
                  </w:pPr>
                  <w:r>
                    <w:rPr>
                      <w:color w:val="000000" w:themeColor="text1"/>
                      <w:spacing w:val="-8"/>
                      <w:sz w:val="21"/>
                      <w:szCs w:val="21"/>
                      <w:highlight w:val="none"/>
                      <w:lang w:eastAsia="zh-CN"/>
                    </w:rPr>
                    <w:t>吊车</w:t>
                  </w:r>
                </w:p>
              </w:tc>
              <w:tc>
                <w:tcPr>
                  <w:tcW w:w="543" w:type="pct"/>
                  <w:vAlign w:val="center"/>
                </w:tcPr>
                <w:p w14:paraId="4771F3B2">
                  <w:pPr>
                    <w:jc w:val="center"/>
                    <w:textAlignment w:val="baseline"/>
                    <w:rPr>
                      <w:color w:val="000000" w:themeColor="text1"/>
                      <w:szCs w:val="21"/>
                      <w:highlight w:val="none"/>
                    </w:rPr>
                  </w:pPr>
                  <w:r>
                    <w:rPr>
                      <w:color w:val="000000" w:themeColor="text1"/>
                      <w:szCs w:val="21"/>
                      <w:highlight w:val="none"/>
                    </w:rPr>
                    <w:t>76.52</w:t>
                  </w:r>
                </w:p>
              </w:tc>
              <w:tc>
                <w:tcPr>
                  <w:tcW w:w="543" w:type="pct"/>
                  <w:vAlign w:val="center"/>
                </w:tcPr>
                <w:p w14:paraId="5C9D2E9B">
                  <w:pPr>
                    <w:jc w:val="center"/>
                    <w:textAlignment w:val="baseline"/>
                    <w:rPr>
                      <w:color w:val="000000" w:themeColor="text1"/>
                      <w:szCs w:val="21"/>
                      <w:highlight w:val="none"/>
                    </w:rPr>
                  </w:pPr>
                  <w:r>
                    <w:rPr>
                      <w:color w:val="000000" w:themeColor="text1"/>
                      <w:szCs w:val="21"/>
                      <w:highlight w:val="none"/>
                    </w:rPr>
                    <w:t>66.9</w:t>
                  </w:r>
                  <w:r>
                    <w:rPr>
                      <w:rFonts w:hint="eastAsia"/>
                      <w:color w:val="000000" w:themeColor="text1"/>
                      <w:szCs w:val="21"/>
                      <w:highlight w:val="none"/>
                    </w:rPr>
                    <w:t>8</w:t>
                  </w:r>
                </w:p>
              </w:tc>
              <w:tc>
                <w:tcPr>
                  <w:tcW w:w="552" w:type="pct"/>
                  <w:vAlign w:val="center"/>
                </w:tcPr>
                <w:p w14:paraId="1F84730B">
                  <w:pPr>
                    <w:jc w:val="center"/>
                    <w:textAlignment w:val="baseline"/>
                    <w:rPr>
                      <w:color w:val="000000" w:themeColor="text1"/>
                      <w:szCs w:val="21"/>
                      <w:highlight w:val="none"/>
                    </w:rPr>
                  </w:pPr>
                  <w:r>
                    <w:rPr>
                      <w:color w:val="000000" w:themeColor="text1"/>
                      <w:szCs w:val="21"/>
                      <w:highlight w:val="none"/>
                    </w:rPr>
                    <w:t>62.54</w:t>
                  </w:r>
                </w:p>
              </w:tc>
              <w:tc>
                <w:tcPr>
                  <w:tcW w:w="543" w:type="pct"/>
                  <w:vAlign w:val="center"/>
                </w:tcPr>
                <w:p w14:paraId="20CC9E52">
                  <w:pPr>
                    <w:jc w:val="center"/>
                    <w:textAlignment w:val="baseline"/>
                    <w:rPr>
                      <w:color w:val="000000" w:themeColor="text1"/>
                      <w:szCs w:val="21"/>
                      <w:highlight w:val="none"/>
                    </w:rPr>
                  </w:pPr>
                  <w:r>
                    <w:rPr>
                      <w:color w:val="000000" w:themeColor="text1"/>
                      <w:szCs w:val="21"/>
                      <w:highlight w:val="none"/>
                    </w:rPr>
                    <w:t>59.6</w:t>
                  </w:r>
                  <w:r>
                    <w:rPr>
                      <w:rFonts w:hint="eastAsia"/>
                      <w:color w:val="000000" w:themeColor="text1"/>
                      <w:szCs w:val="21"/>
                      <w:highlight w:val="none"/>
                    </w:rPr>
                    <w:t>2</w:t>
                  </w:r>
                </w:p>
              </w:tc>
              <w:tc>
                <w:tcPr>
                  <w:tcW w:w="522" w:type="pct"/>
                  <w:vAlign w:val="center"/>
                </w:tcPr>
                <w:p w14:paraId="7F1A0933">
                  <w:pPr>
                    <w:jc w:val="center"/>
                    <w:textAlignment w:val="baseline"/>
                    <w:rPr>
                      <w:color w:val="000000" w:themeColor="text1"/>
                      <w:szCs w:val="21"/>
                      <w:highlight w:val="none"/>
                    </w:rPr>
                  </w:pPr>
                  <w:r>
                    <w:rPr>
                      <w:rFonts w:hint="eastAsia"/>
                      <w:color w:val="000000" w:themeColor="text1"/>
                      <w:szCs w:val="21"/>
                      <w:highlight w:val="none"/>
                    </w:rPr>
                    <w:t>56.52</w:t>
                  </w:r>
                </w:p>
              </w:tc>
              <w:tc>
                <w:tcPr>
                  <w:tcW w:w="527" w:type="pct"/>
                  <w:vAlign w:val="center"/>
                </w:tcPr>
                <w:p w14:paraId="4A543537">
                  <w:pPr>
                    <w:jc w:val="center"/>
                    <w:textAlignment w:val="baseline"/>
                    <w:rPr>
                      <w:color w:val="000000" w:themeColor="text1"/>
                      <w:szCs w:val="21"/>
                      <w:highlight w:val="none"/>
                    </w:rPr>
                  </w:pPr>
                  <w:r>
                    <w:rPr>
                      <w:rFonts w:hint="eastAsia"/>
                      <w:color w:val="000000" w:themeColor="text1"/>
                      <w:szCs w:val="21"/>
                      <w:highlight w:val="none"/>
                    </w:rPr>
                    <w:t>53.00</w:t>
                  </w:r>
                </w:p>
              </w:tc>
              <w:tc>
                <w:tcPr>
                  <w:tcW w:w="521" w:type="pct"/>
                  <w:vAlign w:val="center"/>
                </w:tcPr>
                <w:p w14:paraId="22CB99F3">
                  <w:pPr>
                    <w:jc w:val="center"/>
                    <w:textAlignment w:val="baseline"/>
                    <w:rPr>
                      <w:color w:val="000000" w:themeColor="text1"/>
                      <w:szCs w:val="21"/>
                      <w:highlight w:val="none"/>
                    </w:rPr>
                  </w:pPr>
                  <w:r>
                    <w:rPr>
                      <w:rFonts w:hint="eastAsia"/>
                      <w:color w:val="000000" w:themeColor="text1"/>
                      <w:szCs w:val="21"/>
                      <w:highlight w:val="none"/>
                    </w:rPr>
                    <w:t>50.50</w:t>
                  </w:r>
                </w:p>
              </w:tc>
              <w:tc>
                <w:tcPr>
                  <w:tcW w:w="538" w:type="pct"/>
                  <w:vAlign w:val="center"/>
                </w:tcPr>
                <w:p w14:paraId="2B64BC9B">
                  <w:pPr>
                    <w:jc w:val="center"/>
                    <w:textAlignment w:val="baseline"/>
                    <w:rPr>
                      <w:color w:val="000000" w:themeColor="text1"/>
                      <w:szCs w:val="21"/>
                      <w:highlight w:val="none"/>
                    </w:rPr>
                  </w:pPr>
                  <w:r>
                    <w:rPr>
                      <w:rFonts w:hint="eastAsia"/>
                      <w:color w:val="000000" w:themeColor="text1"/>
                      <w:szCs w:val="21"/>
                      <w:highlight w:val="none"/>
                    </w:rPr>
                    <w:t>44.92</w:t>
                  </w:r>
                </w:p>
              </w:tc>
            </w:tr>
            <w:tr w14:paraId="354B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05" w:type="pct"/>
                  <w:vAlign w:val="center"/>
                </w:tcPr>
                <w:p w14:paraId="7076D0FB">
                  <w:pPr>
                    <w:pStyle w:val="46"/>
                    <w:jc w:val="center"/>
                    <w:rPr>
                      <w:color w:val="000000" w:themeColor="text1"/>
                      <w:sz w:val="21"/>
                      <w:szCs w:val="21"/>
                      <w:highlight w:val="none"/>
                      <w:lang w:eastAsia="zh-CN"/>
                    </w:rPr>
                  </w:pPr>
                  <w:r>
                    <w:rPr>
                      <w:color w:val="000000" w:themeColor="text1"/>
                      <w:spacing w:val="6"/>
                      <w:sz w:val="21"/>
                      <w:szCs w:val="21"/>
                      <w:highlight w:val="none"/>
                      <w:lang w:eastAsia="zh-CN"/>
                    </w:rPr>
                    <w:t>升降机</w:t>
                  </w:r>
                </w:p>
              </w:tc>
              <w:tc>
                <w:tcPr>
                  <w:tcW w:w="543" w:type="pct"/>
                  <w:vAlign w:val="center"/>
                </w:tcPr>
                <w:p w14:paraId="52CEFB9C">
                  <w:pPr>
                    <w:jc w:val="center"/>
                    <w:textAlignment w:val="baseline"/>
                    <w:rPr>
                      <w:color w:val="000000" w:themeColor="text1"/>
                      <w:szCs w:val="21"/>
                      <w:highlight w:val="none"/>
                    </w:rPr>
                  </w:pPr>
                  <w:r>
                    <w:rPr>
                      <w:rFonts w:hint="eastAsia"/>
                      <w:color w:val="000000" w:themeColor="text1"/>
                      <w:szCs w:val="21"/>
                      <w:highlight w:val="none"/>
                    </w:rPr>
                    <w:t>58</w:t>
                  </w:r>
                </w:p>
              </w:tc>
              <w:tc>
                <w:tcPr>
                  <w:tcW w:w="543" w:type="pct"/>
                  <w:vAlign w:val="center"/>
                </w:tcPr>
                <w:p w14:paraId="36A9D394">
                  <w:pPr>
                    <w:jc w:val="center"/>
                    <w:textAlignment w:val="baseline"/>
                    <w:rPr>
                      <w:color w:val="000000" w:themeColor="text1"/>
                      <w:szCs w:val="21"/>
                      <w:highlight w:val="none"/>
                    </w:rPr>
                  </w:pPr>
                  <w:r>
                    <w:rPr>
                      <w:rFonts w:hint="eastAsia"/>
                      <w:color w:val="000000" w:themeColor="text1"/>
                      <w:szCs w:val="21"/>
                      <w:highlight w:val="none"/>
                    </w:rPr>
                    <w:t>48.46</w:t>
                  </w:r>
                </w:p>
              </w:tc>
              <w:tc>
                <w:tcPr>
                  <w:tcW w:w="552" w:type="pct"/>
                  <w:vAlign w:val="center"/>
                </w:tcPr>
                <w:p w14:paraId="4E5BD3FC">
                  <w:pPr>
                    <w:jc w:val="center"/>
                    <w:textAlignment w:val="baseline"/>
                    <w:rPr>
                      <w:color w:val="000000" w:themeColor="text1"/>
                      <w:szCs w:val="21"/>
                      <w:highlight w:val="none"/>
                    </w:rPr>
                  </w:pPr>
                  <w:r>
                    <w:rPr>
                      <w:rFonts w:hint="eastAsia"/>
                      <w:color w:val="000000" w:themeColor="text1"/>
                      <w:szCs w:val="21"/>
                      <w:highlight w:val="none"/>
                    </w:rPr>
                    <w:t>44.02</w:t>
                  </w:r>
                </w:p>
              </w:tc>
              <w:tc>
                <w:tcPr>
                  <w:tcW w:w="543" w:type="pct"/>
                  <w:vAlign w:val="center"/>
                </w:tcPr>
                <w:p w14:paraId="0AD02128">
                  <w:pPr>
                    <w:jc w:val="center"/>
                    <w:textAlignment w:val="baseline"/>
                    <w:rPr>
                      <w:color w:val="000000" w:themeColor="text1"/>
                      <w:szCs w:val="21"/>
                      <w:highlight w:val="none"/>
                    </w:rPr>
                  </w:pPr>
                  <w:r>
                    <w:rPr>
                      <w:rFonts w:hint="eastAsia"/>
                      <w:color w:val="000000" w:themeColor="text1"/>
                      <w:szCs w:val="21"/>
                      <w:highlight w:val="none"/>
                    </w:rPr>
                    <w:t>41.10</w:t>
                  </w:r>
                </w:p>
              </w:tc>
              <w:tc>
                <w:tcPr>
                  <w:tcW w:w="522" w:type="pct"/>
                  <w:vAlign w:val="center"/>
                </w:tcPr>
                <w:p w14:paraId="201312B9">
                  <w:pPr>
                    <w:jc w:val="center"/>
                    <w:textAlignment w:val="baseline"/>
                    <w:rPr>
                      <w:color w:val="000000" w:themeColor="text1"/>
                      <w:szCs w:val="21"/>
                      <w:highlight w:val="none"/>
                    </w:rPr>
                  </w:pPr>
                  <w:r>
                    <w:rPr>
                      <w:rFonts w:hint="eastAsia"/>
                      <w:color w:val="000000" w:themeColor="text1"/>
                      <w:szCs w:val="21"/>
                      <w:highlight w:val="none"/>
                    </w:rPr>
                    <w:t>38</w:t>
                  </w:r>
                </w:p>
              </w:tc>
              <w:tc>
                <w:tcPr>
                  <w:tcW w:w="527" w:type="pct"/>
                  <w:vAlign w:val="center"/>
                </w:tcPr>
                <w:p w14:paraId="642A156C">
                  <w:pPr>
                    <w:jc w:val="center"/>
                    <w:textAlignment w:val="baseline"/>
                    <w:rPr>
                      <w:color w:val="000000" w:themeColor="text1"/>
                      <w:szCs w:val="21"/>
                      <w:highlight w:val="none"/>
                    </w:rPr>
                  </w:pPr>
                  <w:r>
                    <w:rPr>
                      <w:rFonts w:hint="eastAsia"/>
                      <w:color w:val="000000" w:themeColor="text1"/>
                      <w:szCs w:val="21"/>
                      <w:highlight w:val="none"/>
                    </w:rPr>
                    <w:t>34.48</w:t>
                  </w:r>
                </w:p>
              </w:tc>
              <w:tc>
                <w:tcPr>
                  <w:tcW w:w="521" w:type="pct"/>
                  <w:vAlign w:val="center"/>
                </w:tcPr>
                <w:p w14:paraId="6B6FC28F">
                  <w:pPr>
                    <w:jc w:val="center"/>
                    <w:textAlignment w:val="baseline"/>
                    <w:rPr>
                      <w:color w:val="000000" w:themeColor="text1"/>
                      <w:szCs w:val="21"/>
                      <w:highlight w:val="none"/>
                    </w:rPr>
                  </w:pPr>
                  <w:r>
                    <w:rPr>
                      <w:rFonts w:hint="eastAsia"/>
                      <w:color w:val="000000" w:themeColor="text1"/>
                      <w:szCs w:val="21"/>
                      <w:highlight w:val="none"/>
                    </w:rPr>
                    <w:t>31.98</w:t>
                  </w:r>
                </w:p>
              </w:tc>
              <w:tc>
                <w:tcPr>
                  <w:tcW w:w="538" w:type="pct"/>
                  <w:vAlign w:val="center"/>
                </w:tcPr>
                <w:p w14:paraId="6B5A882B">
                  <w:pPr>
                    <w:jc w:val="center"/>
                    <w:textAlignment w:val="baseline"/>
                    <w:rPr>
                      <w:color w:val="000000" w:themeColor="text1"/>
                      <w:szCs w:val="21"/>
                      <w:highlight w:val="none"/>
                    </w:rPr>
                  </w:pPr>
                  <w:r>
                    <w:rPr>
                      <w:rFonts w:hint="eastAsia"/>
                      <w:color w:val="000000" w:themeColor="text1"/>
                      <w:szCs w:val="21"/>
                      <w:highlight w:val="none"/>
                    </w:rPr>
                    <w:t>26.40</w:t>
                  </w:r>
                </w:p>
              </w:tc>
            </w:tr>
            <w:tr w14:paraId="3AA2A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05" w:type="pct"/>
                  <w:vAlign w:val="center"/>
                </w:tcPr>
                <w:p w14:paraId="3716DEF8">
                  <w:pPr>
                    <w:pStyle w:val="46"/>
                    <w:jc w:val="center"/>
                    <w:rPr>
                      <w:color w:val="000000" w:themeColor="text1"/>
                      <w:spacing w:val="-3"/>
                      <w:sz w:val="21"/>
                      <w:szCs w:val="21"/>
                      <w:highlight w:val="none"/>
                      <w:lang w:eastAsia="zh-CN"/>
                    </w:rPr>
                  </w:pPr>
                  <w:r>
                    <w:rPr>
                      <w:color w:val="000000" w:themeColor="text1"/>
                      <w:sz w:val="21"/>
                      <w:szCs w:val="21"/>
                      <w:highlight w:val="none"/>
                      <w:lang w:eastAsia="zh-CN"/>
                    </w:rPr>
                    <w:t>重型卡车</w:t>
                  </w:r>
                </w:p>
              </w:tc>
              <w:tc>
                <w:tcPr>
                  <w:tcW w:w="543" w:type="pct"/>
                  <w:vAlign w:val="center"/>
                </w:tcPr>
                <w:p w14:paraId="5C7A3F64">
                  <w:pPr>
                    <w:jc w:val="center"/>
                    <w:textAlignment w:val="baseline"/>
                    <w:rPr>
                      <w:color w:val="000000" w:themeColor="text1"/>
                      <w:szCs w:val="21"/>
                      <w:highlight w:val="none"/>
                    </w:rPr>
                  </w:pPr>
                  <w:r>
                    <w:rPr>
                      <w:color w:val="000000" w:themeColor="text1"/>
                      <w:szCs w:val="21"/>
                      <w:highlight w:val="none"/>
                    </w:rPr>
                    <w:t>82.5</w:t>
                  </w:r>
                </w:p>
              </w:tc>
              <w:tc>
                <w:tcPr>
                  <w:tcW w:w="543" w:type="pct"/>
                  <w:vAlign w:val="center"/>
                </w:tcPr>
                <w:p w14:paraId="63A3A8FB">
                  <w:pPr>
                    <w:jc w:val="center"/>
                    <w:textAlignment w:val="baseline"/>
                    <w:rPr>
                      <w:color w:val="000000" w:themeColor="text1"/>
                      <w:szCs w:val="21"/>
                      <w:highlight w:val="none"/>
                    </w:rPr>
                  </w:pPr>
                  <w:r>
                    <w:rPr>
                      <w:color w:val="000000" w:themeColor="text1"/>
                      <w:szCs w:val="21"/>
                      <w:highlight w:val="none"/>
                    </w:rPr>
                    <w:t>72.9</w:t>
                  </w:r>
                  <w:r>
                    <w:rPr>
                      <w:rFonts w:hint="eastAsia"/>
                      <w:color w:val="000000" w:themeColor="text1"/>
                      <w:szCs w:val="21"/>
                      <w:highlight w:val="none"/>
                    </w:rPr>
                    <w:t>6</w:t>
                  </w:r>
                </w:p>
              </w:tc>
              <w:tc>
                <w:tcPr>
                  <w:tcW w:w="552" w:type="pct"/>
                  <w:vAlign w:val="center"/>
                </w:tcPr>
                <w:p w14:paraId="40E58FD8">
                  <w:pPr>
                    <w:jc w:val="center"/>
                    <w:textAlignment w:val="baseline"/>
                    <w:rPr>
                      <w:color w:val="000000" w:themeColor="text1"/>
                      <w:szCs w:val="21"/>
                      <w:highlight w:val="none"/>
                    </w:rPr>
                  </w:pPr>
                  <w:r>
                    <w:rPr>
                      <w:color w:val="000000" w:themeColor="text1"/>
                      <w:szCs w:val="21"/>
                      <w:highlight w:val="none"/>
                    </w:rPr>
                    <w:t>68.52</w:t>
                  </w:r>
                </w:p>
              </w:tc>
              <w:tc>
                <w:tcPr>
                  <w:tcW w:w="543" w:type="pct"/>
                  <w:vAlign w:val="center"/>
                </w:tcPr>
                <w:p w14:paraId="3DA04D0D">
                  <w:pPr>
                    <w:jc w:val="center"/>
                    <w:textAlignment w:val="baseline"/>
                    <w:rPr>
                      <w:color w:val="000000" w:themeColor="text1"/>
                      <w:szCs w:val="21"/>
                      <w:highlight w:val="none"/>
                    </w:rPr>
                  </w:pPr>
                  <w:r>
                    <w:rPr>
                      <w:rFonts w:hint="eastAsia"/>
                      <w:color w:val="000000" w:themeColor="text1"/>
                      <w:szCs w:val="21"/>
                      <w:highlight w:val="none"/>
                    </w:rPr>
                    <w:t>65.60</w:t>
                  </w:r>
                </w:p>
              </w:tc>
              <w:tc>
                <w:tcPr>
                  <w:tcW w:w="522" w:type="pct"/>
                  <w:vAlign w:val="center"/>
                </w:tcPr>
                <w:p w14:paraId="7C9A2D51">
                  <w:pPr>
                    <w:jc w:val="center"/>
                    <w:textAlignment w:val="baseline"/>
                    <w:rPr>
                      <w:color w:val="000000" w:themeColor="text1"/>
                      <w:szCs w:val="21"/>
                      <w:highlight w:val="none"/>
                    </w:rPr>
                  </w:pPr>
                  <w:r>
                    <w:rPr>
                      <w:color w:val="000000" w:themeColor="text1"/>
                      <w:szCs w:val="21"/>
                      <w:highlight w:val="none"/>
                    </w:rPr>
                    <w:t>62.5</w:t>
                  </w:r>
                </w:p>
              </w:tc>
              <w:tc>
                <w:tcPr>
                  <w:tcW w:w="527" w:type="pct"/>
                  <w:vAlign w:val="center"/>
                </w:tcPr>
                <w:p w14:paraId="5C43318D">
                  <w:pPr>
                    <w:jc w:val="center"/>
                    <w:textAlignment w:val="baseline"/>
                    <w:rPr>
                      <w:color w:val="000000" w:themeColor="text1"/>
                      <w:szCs w:val="21"/>
                      <w:highlight w:val="none"/>
                    </w:rPr>
                  </w:pPr>
                  <w:r>
                    <w:rPr>
                      <w:color w:val="000000" w:themeColor="text1"/>
                      <w:szCs w:val="21"/>
                      <w:highlight w:val="none"/>
                    </w:rPr>
                    <w:t>58.9</w:t>
                  </w:r>
                  <w:r>
                    <w:rPr>
                      <w:rFonts w:hint="eastAsia"/>
                      <w:color w:val="000000" w:themeColor="text1"/>
                      <w:szCs w:val="21"/>
                      <w:highlight w:val="none"/>
                    </w:rPr>
                    <w:t>8</w:t>
                  </w:r>
                </w:p>
              </w:tc>
              <w:tc>
                <w:tcPr>
                  <w:tcW w:w="521" w:type="pct"/>
                  <w:vAlign w:val="center"/>
                </w:tcPr>
                <w:p w14:paraId="0102847C">
                  <w:pPr>
                    <w:jc w:val="center"/>
                    <w:textAlignment w:val="baseline"/>
                    <w:rPr>
                      <w:color w:val="000000" w:themeColor="text1"/>
                      <w:szCs w:val="21"/>
                      <w:highlight w:val="none"/>
                    </w:rPr>
                  </w:pPr>
                  <w:r>
                    <w:rPr>
                      <w:rFonts w:hint="eastAsia"/>
                      <w:color w:val="000000" w:themeColor="text1"/>
                      <w:szCs w:val="21"/>
                      <w:highlight w:val="none"/>
                    </w:rPr>
                    <w:t>56.48</w:t>
                  </w:r>
                </w:p>
              </w:tc>
              <w:tc>
                <w:tcPr>
                  <w:tcW w:w="538" w:type="pct"/>
                  <w:vAlign w:val="center"/>
                </w:tcPr>
                <w:p w14:paraId="2737337F">
                  <w:pPr>
                    <w:jc w:val="center"/>
                    <w:textAlignment w:val="baseline"/>
                    <w:rPr>
                      <w:color w:val="000000" w:themeColor="text1"/>
                      <w:szCs w:val="21"/>
                      <w:highlight w:val="none"/>
                    </w:rPr>
                  </w:pPr>
                  <w:r>
                    <w:rPr>
                      <w:rFonts w:hint="eastAsia"/>
                      <w:color w:val="000000" w:themeColor="text1"/>
                      <w:szCs w:val="21"/>
                      <w:highlight w:val="none"/>
                    </w:rPr>
                    <w:t>50.90</w:t>
                  </w:r>
                </w:p>
              </w:tc>
            </w:tr>
          </w:tbl>
          <w:p w14:paraId="0CEE04D1">
            <w:pPr>
              <w:tabs>
                <w:tab w:val="left" w:pos="624"/>
              </w:tabs>
              <w:spacing w:line="360" w:lineRule="auto"/>
              <w:ind w:firstLine="480" w:firstLineChars="200"/>
              <w:rPr>
                <w:color w:val="000000" w:themeColor="text1"/>
                <w:sz w:val="24"/>
                <w:highlight w:val="none"/>
              </w:rPr>
            </w:pPr>
            <w:r>
              <w:rPr>
                <w:color w:val="000000" w:themeColor="text1"/>
                <w:sz w:val="24"/>
                <w:highlight w:val="none"/>
              </w:rPr>
              <w:t>从计算结果可以看出：主要机械在</w:t>
            </w:r>
            <w:r>
              <w:rPr>
                <w:rFonts w:hint="eastAsia"/>
                <w:color w:val="000000" w:themeColor="text1"/>
                <w:sz w:val="24"/>
                <w:highlight w:val="none"/>
              </w:rPr>
              <w:t>70</w:t>
            </w:r>
            <w:r>
              <w:rPr>
                <w:color w:val="000000" w:themeColor="text1"/>
                <w:sz w:val="24"/>
                <w:highlight w:val="none"/>
              </w:rPr>
              <w:t>m以外均不超过《建筑施工场界环境噪声排放标准》</w:t>
            </w:r>
            <w:r>
              <w:rPr>
                <w:rFonts w:hint="eastAsia"/>
                <w:color w:val="000000" w:themeColor="text1"/>
                <w:sz w:val="24"/>
                <w:highlight w:val="none"/>
              </w:rPr>
              <w:t>（</w:t>
            </w:r>
            <w:r>
              <w:rPr>
                <w:color w:val="000000" w:themeColor="text1"/>
                <w:sz w:val="24"/>
                <w:highlight w:val="none"/>
              </w:rPr>
              <w:t>GB12523</w:t>
            </w:r>
            <w:r>
              <w:rPr>
                <w:rFonts w:hint="eastAsia"/>
                <w:color w:val="000000" w:themeColor="text1"/>
                <w:sz w:val="24"/>
                <w:highlight w:val="none"/>
              </w:rPr>
              <w:t>-</w:t>
            </w:r>
            <w:r>
              <w:rPr>
                <w:color w:val="000000" w:themeColor="text1"/>
                <w:sz w:val="24"/>
                <w:highlight w:val="none"/>
              </w:rPr>
              <w:t>2011</w:t>
            </w:r>
            <w:r>
              <w:rPr>
                <w:rFonts w:hint="eastAsia"/>
                <w:color w:val="000000" w:themeColor="text1"/>
                <w:sz w:val="24"/>
                <w:highlight w:val="none"/>
              </w:rPr>
              <w:t>）</w:t>
            </w:r>
            <w:r>
              <w:rPr>
                <w:color w:val="000000" w:themeColor="text1"/>
                <w:sz w:val="24"/>
                <w:highlight w:val="none"/>
              </w:rPr>
              <w:t>中的昼间噪声限值70dB</w:t>
            </w:r>
            <w:r>
              <w:rPr>
                <w:rFonts w:hint="eastAsia"/>
                <w:color w:val="000000" w:themeColor="text1"/>
                <w:sz w:val="24"/>
                <w:highlight w:val="none"/>
              </w:rPr>
              <w:t>（</w:t>
            </w:r>
            <w:r>
              <w:rPr>
                <w:color w:val="000000" w:themeColor="text1"/>
                <w:sz w:val="24"/>
                <w:highlight w:val="none"/>
              </w:rPr>
              <w:t>A），主要机械</w:t>
            </w:r>
            <w:r>
              <w:rPr>
                <w:rFonts w:hint="eastAsia"/>
                <w:color w:val="000000" w:themeColor="text1"/>
                <w:sz w:val="24"/>
                <w:highlight w:val="none"/>
              </w:rPr>
              <w:t>在380</w:t>
            </w:r>
            <w:r>
              <w:rPr>
                <w:color w:val="000000" w:themeColor="text1"/>
                <w:sz w:val="24"/>
                <w:highlight w:val="none"/>
              </w:rPr>
              <w:t>m以</w:t>
            </w:r>
            <w:r>
              <w:rPr>
                <w:rFonts w:hint="eastAsia"/>
                <w:color w:val="000000" w:themeColor="text1"/>
                <w:sz w:val="24"/>
                <w:highlight w:val="none"/>
              </w:rPr>
              <w:t>外时</w:t>
            </w:r>
            <w:r>
              <w:rPr>
                <w:color w:val="000000" w:themeColor="text1"/>
                <w:sz w:val="24"/>
                <w:highlight w:val="none"/>
              </w:rPr>
              <w:t>不超过夜间55dB</w:t>
            </w:r>
            <w:r>
              <w:rPr>
                <w:rFonts w:hint="eastAsia"/>
                <w:color w:val="000000" w:themeColor="text1"/>
                <w:sz w:val="24"/>
                <w:highlight w:val="none"/>
              </w:rPr>
              <w:t>（</w:t>
            </w:r>
            <w:r>
              <w:rPr>
                <w:color w:val="000000" w:themeColor="text1"/>
                <w:sz w:val="24"/>
                <w:highlight w:val="none"/>
              </w:rPr>
              <w:t>A）的标准。</w:t>
            </w:r>
          </w:p>
          <w:p w14:paraId="4E4F58E0">
            <w:pPr>
              <w:tabs>
                <w:tab w:val="left" w:pos="624"/>
              </w:tabs>
              <w:spacing w:line="360" w:lineRule="auto"/>
              <w:ind w:firstLine="480" w:firstLineChars="200"/>
              <w:rPr>
                <w:color w:val="000000" w:themeColor="text1"/>
                <w:sz w:val="24"/>
                <w:highlight w:val="none"/>
              </w:rPr>
            </w:pPr>
            <w:r>
              <w:rPr>
                <w:rFonts w:hint="eastAsia"/>
                <w:color w:val="000000" w:themeColor="text1"/>
                <w:sz w:val="24"/>
                <w:highlight w:val="none"/>
              </w:rPr>
              <w:t>本</w:t>
            </w:r>
            <w:r>
              <w:rPr>
                <w:color w:val="000000" w:themeColor="text1"/>
                <w:sz w:val="24"/>
                <w:highlight w:val="none"/>
              </w:rPr>
              <w:t>项目</w:t>
            </w:r>
            <w:r>
              <w:rPr>
                <w:rFonts w:hint="eastAsia"/>
                <w:color w:val="000000" w:themeColor="text1"/>
                <w:sz w:val="24"/>
                <w:highlight w:val="none"/>
              </w:rPr>
              <w:t>风井场地边界500m周围内无敏感目标，且</w:t>
            </w:r>
            <w:r>
              <w:rPr>
                <w:rFonts w:ascii="宋体" w:hAnsi="宋体" w:cs="宋体"/>
                <w:color w:val="000000" w:themeColor="text1"/>
                <w:sz w:val="24"/>
                <w:highlight w:val="none"/>
              </w:rPr>
              <w:t>施工噪声是短暂的且具有分散性，一般在白天施工，不会对夜间声环境产生影响</w:t>
            </w:r>
            <w:r>
              <w:rPr>
                <w:rFonts w:hint="eastAsia" w:ascii="宋体" w:hAnsi="宋体" w:cs="宋体"/>
                <w:color w:val="000000" w:themeColor="text1"/>
                <w:sz w:val="24"/>
                <w:highlight w:val="none"/>
              </w:rPr>
              <w:t>，</w:t>
            </w:r>
            <w:r>
              <w:rPr>
                <w:rFonts w:ascii="宋体" w:hAnsi="宋体" w:cs="宋体"/>
                <w:color w:val="000000" w:themeColor="text1"/>
                <w:sz w:val="24"/>
                <w:highlight w:val="none"/>
              </w:rPr>
              <w:t>为进一步确保施工期间噪声达标排放，减轻噪声对周围环境的影响，采取以下噪声污染防治措施</w:t>
            </w:r>
            <w:r>
              <w:rPr>
                <w:rFonts w:hint="eastAsia" w:ascii="宋体" w:hAnsi="宋体" w:cs="宋体"/>
                <w:color w:val="000000" w:themeColor="text1"/>
                <w:sz w:val="24"/>
                <w:highlight w:val="none"/>
              </w:rPr>
              <w:t>：</w:t>
            </w:r>
            <w:r>
              <w:rPr>
                <w:color w:val="000000" w:themeColor="text1"/>
                <w:sz w:val="24"/>
                <w:highlight w:val="none"/>
              </w:rPr>
              <w:t>合理安排施工时间，</w:t>
            </w:r>
            <w:r>
              <w:rPr>
                <w:rFonts w:hint="eastAsia" w:ascii="宋体" w:hAnsi="宋体" w:cs="宋体"/>
                <w:color w:val="000000" w:themeColor="text1"/>
                <w:kern w:val="0"/>
                <w:sz w:val="24"/>
                <w:highlight w:val="none"/>
              </w:rPr>
              <w:t>施工一般在白天</w:t>
            </w:r>
            <w:r>
              <w:rPr>
                <w:rFonts w:hint="eastAsia"/>
                <w:color w:val="000000" w:themeColor="text1"/>
                <w:sz w:val="24"/>
                <w:highlight w:val="none"/>
              </w:rPr>
              <w:t>，</w:t>
            </w:r>
            <w:r>
              <w:rPr>
                <w:color w:val="000000" w:themeColor="text1"/>
                <w:sz w:val="24"/>
                <w:highlight w:val="none"/>
              </w:rPr>
              <w:t>采用低噪声机械设备、合理安排施工时间，在对外交通及施工道路两侧</w:t>
            </w:r>
            <w:r>
              <w:rPr>
                <w:rFonts w:hint="eastAsia"/>
                <w:color w:val="000000" w:themeColor="text1"/>
                <w:sz w:val="24"/>
                <w:highlight w:val="none"/>
                <w:lang w:eastAsia="zh-CN"/>
              </w:rPr>
              <w:t>设置</w:t>
            </w:r>
            <w:r>
              <w:rPr>
                <w:color w:val="000000" w:themeColor="text1"/>
                <w:sz w:val="24"/>
                <w:highlight w:val="none"/>
              </w:rPr>
              <w:t>交通标志牌，限速禁鸣</w:t>
            </w:r>
            <w:r>
              <w:rPr>
                <w:rFonts w:hint="eastAsia"/>
                <w:color w:val="000000" w:themeColor="text1"/>
                <w:sz w:val="24"/>
                <w:highlight w:val="none"/>
              </w:rPr>
              <w:t>，</w:t>
            </w:r>
            <w:r>
              <w:rPr>
                <w:rFonts w:hint="eastAsia"/>
                <w:bCs/>
                <w:color w:val="000000" w:themeColor="text1"/>
                <w:sz w:val="24"/>
                <w:highlight w:val="none"/>
              </w:rPr>
              <w:t>施工过程中可设置临时声屏障</w:t>
            </w:r>
            <w:r>
              <w:rPr>
                <w:color w:val="000000" w:themeColor="text1"/>
                <w:sz w:val="24"/>
                <w:highlight w:val="none"/>
              </w:rPr>
              <w:t>，降低车速，降低交通噪声等措施隔声降噪。随着施工期的结束，影响也随之结束。</w:t>
            </w:r>
          </w:p>
          <w:p w14:paraId="49054675">
            <w:pPr>
              <w:spacing w:line="360" w:lineRule="auto"/>
              <w:ind w:firstLine="482" w:firstLineChars="200"/>
              <w:rPr>
                <w:b/>
                <w:bCs/>
                <w:color w:val="000000" w:themeColor="text1"/>
                <w:sz w:val="24"/>
                <w:highlight w:val="none"/>
              </w:rPr>
            </w:pPr>
            <w:r>
              <w:rPr>
                <w:rFonts w:hint="eastAsia"/>
                <w:b/>
                <w:bCs/>
                <w:color w:val="000000" w:themeColor="text1"/>
                <w:sz w:val="24"/>
                <w:highlight w:val="none"/>
              </w:rPr>
              <w:t>五</w:t>
            </w:r>
            <w:r>
              <w:rPr>
                <w:b/>
                <w:bCs/>
                <w:color w:val="000000" w:themeColor="text1"/>
                <w:sz w:val="24"/>
                <w:highlight w:val="none"/>
              </w:rPr>
              <w:t>、固体废物</w:t>
            </w:r>
          </w:p>
          <w:p w14:paraId="559FBBF1">
            <w:pPr>
              <w:adjustRightInd w:val="0"/>
              <w:snapToGrid w:val="0"/>
              <w:spacing w:line="360" w:lineRule="auto"/>
              <w:ind w:firstLine="480" w:firstLineChars="200"/>
              <w:rPr>
                <w:color w:val="000000" w:themeColor="text1"/>
                <w:sz w:val="24"/>
                <w:highlight w:val="none"/>
              </w:rPr>
            </w:pPr>
            <w:r>
              <w:rPr>
                <w:color w:val="000000" w:themeColor="text1"/>
                <w:sz w:val="24"/>
                <w:highlight w:val="none"/>
              </w:rPr>
              <w:t>施工期所产固体废物主要是工程施工过程中产生的施工人员生活垃圾</w:t>
            </w:r>
            <w:r>
              <w:rPr>
                <w:rFonts w:hint="eastAsia"/>
                <w:color w:val="000000" w:themeColor="text1"/>
                <w:sz w:val="24"/>
                <w:highlight w:val="none"/>
              </w:rPr>
              <w:t>、弃土、</w:t>
            </w:r>
            <w:r>
              <w:rPr>
                <w:color w:val="000000" w:themeColor="text1"/>
                <w:sz w:val="24"/>
                <w:highlight w:val="none"/>
              </w:rPr>
              <w:t>井筒掘进产生的岩石</w:t>
            </w:r>
            <w:r>
              <w:rPr>
                <w:rFonts w:hint="eastAsia"/>
                <w:color w:val="000000" w:themeColor="text1"/>
                <w:sz w:val="24"/>
                <w:highlight w:val="none"/>
              </w:rPr>
              <w:t>、</w:t>
            </w:r>
            <w:r>
              <w:rPr>
                <w:color w:val="000000" w:themeColor="text1"/>
                <w:spacing w:val="-3"/>
                <w:sz w:val="24"/>
                <w:highlight w:val="none"/>
              </w:rPr>
              <w:t>建筑垃圾</w:t>
            </w:r>
            <w:r>
              <w:rPr>
                <w:color w:val="000000" w:themeColor="text1"/>
                <w:sz w:val="24"/>
                <w:highlight w:val="none"/>
              </w:rPr>
              <w:t>。如随意堆放将占压土地，雨水冲刷可能会污染土壤和水体，大风干燥季节可能会形成扬尘污染，所以应当妥善处理。</w:t>
            </w:r>
          </w:p>
          <w:p w14:paraId="1D78756C">
            <w:pPr>
              <w:spacing w:line="360" w:lineRule="auto"/>
              <w:ind w:firstLine="480" w:firstLineChars="200"/>
              <w:rPr>
                <w:color w:val="000000" w:themeColor="text1"/>
                <w:sz w:val="24"/>
                <w:highlight w:val="none"/>
              </w:rPr>
            </w:pPr>
            <w:r>
              <w:rPr>
                <w:rFonts w:hint="eastAsia"/>
                <w:color w:val="000000" w:themeColor="text1"/>
                <w:sz w:val="24"/>
                <w:highlight w:val="none"/>
              </w:rPr>
              <w:t>（1）弃土：本项目</w:t>
            </w:r>
            <w:r>
              <w:rPr>
                <w:color w:val="000000" w:themeColor="text1"/>
                <w:sz w:val="24"/>
                <w:highlight w:val="none"/>
              </w:rPr>
              <w:t>多余土方量为</w:t>
            </w:r>
            <w:r>
              <w:rPr>
                <w:rFonts w:hint="eastAsia"/>
                <w:color w:val="000000" w:themeColor="text1"/>
                <w:sz w:val="24"/>
                <w:highlight w:val="none"/>
              </w:rPr>
              <w:t>1.3</w:t>
            </w:r>
            <w:r>
              <w:rPr>
                <w:color w:val="000000" w:themeColor="text1"/>
                <w:kern w:val="0"/>
                <w:sz w:val="24"/>
                <w:highlight w:val="none"/>
              </w:rPr>
              <w:t>万</w:t>
            </w:r>
            <w:r>
              <w:rPr>
                <w:color w:val="000000" w:themeColor="text1"/>
                <w:sz w:val="24"/>
                <w:highlight w:val="none"/>
              </w:rPr>
              <w:t>m</w:t>
            </w:r>
            <w:r>
              <w:rPr>
                <w:color w:val="000000" w:themeColor="text1"/>
                <w:sz w:val="24"/>
                <w:highlight w:val="none"/>
                <w:vertAlign w:val="superscript"/>
              </w:rPr>
              <w:t>3</w:t>
            </w:r>
            <w:r>
              <w:rPr>
                <w:color w:val="000000" w:themeColor="text1"/>
                <w:sz w:val="24"/>
                <w:highlight w:val="none"/>
              </w:rPr>
              <w:t>，</w:t>
            </w:r>
            <w:r>
              <w:rPr>
                <w:rFonts w:hint="eastAsia"/>
                <w:color w:val="000000" w:themeColor="text1"/>
                <w:sz w:val="24"/>
                <w:highlight w:val="none"/>
              </w:rPr>
              <w:t>部分</w:t>
            </w:r>
            <w:r>
              <w:rPr>
                <w:color w:val="000000" w:themeColor="text1"/>
                <w:sz w:val="24"/>
                <w:highlight w:val="none"/>
              </w:rPr>
              <w:t>用于后续风井场地竖向设计和景观设计中，场地范围线内平整绿化</w:t>
            </w:r>
            <w:r>
              <w:rPr>
                <w:rFonts w:hint="eastAsia"/>
                <w:color w:val="000000" w:themeColor="text1"/>
                <w:sz w:val="24"/>
                <w:highlight w:val="none"/>
              </w:rPr>
              <w:t>等，其他均拉运至公沟煤矿外排土场</w:t>
            </w:r>
            <w:r>
              <w:rPr>
                <w:color w:val="000000" w:themeColor="text1"/>
                <w:sz w:val="24"/>
                <w:highlight w:val="none"/>
              </w:rPr>
              <w:t>。</w:t>
            </w:r>
          </w:p>
          <w:p w14:paraId="4342F437">
            <w:pPr>
              <w:adjustRightInd w:val="0"/>
              <w:snapToGrid w:val="0"/>
              <w:spacing w:line="360" w:lineRule="auto"/>
              <w:ind w:firstLine="480" w:firstLineChars="200"/>
              <w:rPr>
                <w:color w:val="000000" w:themeColor="text1"/>
                <w:highlight w:val="none"/>
              </w:rPr>
            </w:pPr>
            <w:r>
              <w:rPr>
                <w:rFonts w:hint="eastAsia"/>
                <w:color w:val="000000" w:themeColor="text1"/>
                <w:sz w:val="24"/>
                <w:highlight w:val="none"/>
              </w:rPr>
              <w:t>（2）</w:t>
            </w:r>
            <w:r>
              <w:rPr>
                <w:color w:val="000000" w:themeColor="text1"/>
                <w:sz w:val="24"/>
                <w:highlight w:val="none"/>
              </w:rPr>
              <w:t>井筒掘进产生的岩石</w:t>
            </w:r>
            <w:r>
              <w:rPr>
                <w:rFonts w:hint="eastAsia"/>
                <w:color w:val="000000" w:themeColor="text1"/>
                <w:sz w:val="24"/>
                <w:highlight w:val="none"/>
              </w:rPr>
              <w:t>：北部风井场地建井期间，</w:t>
            </w:r>
            <w:r>
              <w:rPr>
                <w:color w:val="000000" w:themeColor="text1"/>
                <w:sz w:val="24"/>
                <w:highlight w:val="none"/>
              </w:rPr>
              <w:t>井筒掘进产生的</w:t>
            </w:r>
            <w:r>
              <w:rPr>
                <w:rFonts w:hint="eastAsia"/>
                <w:color w:val="000000" w:themeColor="text1"/>
                <w:sz w:val="24"/>
                <w:highlight w:val="none"/>
              </w:rPr>
              <w:t>土</w:t>
            </w:r>
            <w:r>
              <w:rPr>
                <w:color w:val="000000" w:themeColor="text1"/>
                <w:sz w:val="24"/>
                <w:highlight w:val="none"/>
              </w:rPr>
              <w:t>岩量约</w:t>
            </w:r>
            <w:r>
              <w:rPr>
                <w:rFonts w:hint="eastAsia"/>
                <w:color w:val="000000" w:themeColor="text1"/>
                <w:sz w:val="24"/>
                <w:highlight w:val="none"/>
              </w:rPr>
              <w:t>2.62</w:t>
            </w:r>
            <w:r>
              <w:rPr>
                <w:color w:val="000000" w:themeColor="text1"/>
                <w:sz w:val="24"/>
                <w:highlight w:val="none"/>
              </w:rPr>
              <w:t>万m³，拉运至公沟煤矿外排土场</w:t>
            </w:r>
            <w:r>
              <w:rPr>
                <w:rFonts w:hint="eastAsia"/>
                <w:color w:val="000000" w:themeColor="text1"/>
                <w:sz w:val="24"/>
                <w:highlight w:val="none"/>
              </w:rPr>
              <w:t>。</w:t>
            </w:r>
          </w:p>
          <w:p w14:paraId="6594BEF8">
            <w:pPr>
              <w:pStyle w:val="32"/>
              <w:spacing w:line="360" w:lineRule="auto"/>
              <w:ind w:firstLine="480" w:firstLineChars="200"/>
              <w:rPr>
                <w:rFonts w:ascii="Times New Roman" w:cs="Times New Roman"/>
                <w:color w:val="000000" w:themeColor="text1"/>
                <w:highlight w:val="none"/>
              </w:rPr>
            </w:pPr>
            <w:r>
              <w:rPr>
                <w:rFonts w:ascii="Times New Roman" w:cs="Times New Roman"/>
                <w:color w:val="000000" w:themeColor="text1"/>
                <w:highlight w:val="none"/>
              </w:rPr>
              <w:t>2018年12月28日，原鄂尔多斯市生态保护局以“鄂环评字</w:t>
            </w:r>
            <w:r>
              <w:rPr>
                <w:rFonts w:hint="eastAsia" w:ascii="Times New Roman" w:cs="Times New Roman"/>
                <w:color w:val="000000" w:themeColor="text1"/>
                <w:highlight w:val="none"/>
                <w:lang w:eastAsia="zh-CN"/>
              </w:rPr>
              <w:t>〔2018〕292号</w:t>
            </w:r>
            <w:r>
              <w:rPr>
                <w:rFonts w:ascii="Times New Roman" w:cs="Times New Roman"/>
                <w:color w:val="000000" w:themeColor="text1"/>
                <w:highlight w:val="none"/>
              </w:rPr>
              <w:t>”文对《准格尔旗公沟煤炭有限责任公司煤矿技术改造（变更开采方式）项目环境影响报告书》进行批复，</w:t>
            </w:r>
            <w:r>
              <w:rPr>
                <w:rFonts w:hint="eastAsia" w:ascii="Times New Roman" w:cs="Times New Roman"/>
                <w:color w:val="000000" w:themeColor="text1"/>
                <w:highlight w:val="none"/>
              </w:rPr>
              <w:t>该项目中</w:t>
            </w:r>
            <w:r>
              <w:rPr>
                <w:rFonts w:ascii="Times New Roman" w:cs="Times New Roman"/>
                <w:color w:val="000000" w:themeColor="text1"/>
                <w:highlight w:val="none"/>
              </w:rPr>
              <w:t>公沟煤矿</w:t>
            </w:r>
            <w:r>
              <w:rPr>
                <w:rFonts w:hint="eastAsia" w:ascii="Times New Roman" w:cs="Times New Roman"/>
                <w:color w:val="000000" w:themeColor="text1"/>
                <w:highlight w:val="none"/>
              </w:rPr>
              <w:t>新增</w:t>
            </w:r>
            <w:r>
              <w:rPr>
                <w:rFonts w:ascii="Times New Roman" w:cs="Times New Roman"/>
                <w:color w:val="000000" w:themeColor="text1"/>
                <w:highlight w:val="none"/>
              </w:rPr>
              <w:t>外排土场</w:t>
            </w:r>
            <w:r>
              <w:rPr>
                <w:rFonts w:hint="eastAsia" w:ascii="Times New Roman" w:cs="Times New Roman"/>
                <w:color w:val="000000" w:themeColor="text1"/>
                <w:highlight w:val="none"/>
              </w:rPr>
              <w:t>，排土场设计容量为17.98万m</w:t>
            </w:r>
            <w:r>
              <w:rPr>
                <w:rFonts w:hint="eastAsia" w:ascii="Times New Roman" w:cs="Times New Roman"/>
                <w:color w:val="000000" w:themeColor="text1"/>
                <w:highlight w:val="none"/>
                <w:vertAlign w:val="superscript"/>
              </w:rPr>
              <w:t>3</w:t>
            </w:r>
            <w:r>
              <w:rPr>
                <w:rFonts w:hint="eastAsia" w:ascii="Times New Roman" w:cs="Times New Roman"/>
                <w:color w:val="000000" w:themeColor="text1"/>
                <w:highlight w:val="none"/>
              </w:rPr>
              <w:t>，现实际排土量约200万m</w:t>
            </w:r>
            <w:r>
              <w:rPr>
                <w:rFonts w:hint="eastAsia" w:ascii="Times New Roman" w:cs="Times New Roman"/>
                <w:color w:val="000000" w:themeColor="text1"/>
                <w:highlight w:val="none"/>
                <w:vertAlign w:val="superscript"/>
              </w:rPr>
              <w:t>3</w:t>
            </w:r>
            <w:r>
              <w:rPr>
                <w:rFonts w:hint="eastAsia" w:ascii="Times New Roman" w:cs="Times New Roman"/>
                <w:color w:val="000000" w:themeColor="text1"/>
                <w:highlight w:val="none"/>
              </w:rPr>
              <w:t>，距本项目约20km，排土场能够容纳本项目土石，故本项目多余土石送至</w:t>
            </w:r>
            <w:r>
              <w:rPr>
                <w:rFonts w:ascii="Times New Roman" w:cs="Times New Roman"/>
                <w:color w:val="000000" w:themeColor="text1"/>
                <w:highlight w:val="none"/>
              </w:rPr>
              <w:t>公沟煤矿外排土场</w:t>
            </w:r>
            <w:r>
              <w:rPr>
                <w:rFonts w:hint="eastAsia" w:ascii="Times New Roman" w:cs="Times New Roman"/>
                <w:color w:val="000000" w:themeColor="text1"/>
                <w:highlight w:val="none"/>
              </w:rPr>
              <w:t>可行。</w:t>
            </w:r>
          </w:p>
          <w:p w14:paraId="1A407C2F">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（3）</w:t>
            </w:r>
            <w:r>
              <w:rPr>
                <w:color w:val="000000" w:themeColor="text1"/>
                <w:sz w:val="24"/>
                <w:highlight w:val="none"/>
              </w:rPr>
              <w:t>施工人员产生的生活垃圾按0.5kg/人•d计算，施工人数最多时为</w:t>
            </w:r>
            <w:r>
              <w:rPr>
                <w:rFonts w:hint="eastAsia"/>
                <w:color w:val="000000" w:themeColor="text1"/>
                <w:sz w:val="24"/>
                <w:highlight w:val="none"/>
              </w:rPr>
              <w:t>20</w:t>
            </w:r>
            <w:r>
              <w:rPr>
                <w:color w:val="000000" w:themeColor="text1"/>
                <w:sz w:val="24"/>
                <w:highlight w:val="none"/>
              </w:rPr>
              <w:t>人，本工程施工期生活垃圾的产生量为</w:t>
            </w:r>
            <w:r>
              <w:rPr>
                <w:rFonts w:hint="eastAsia"/>
                <w:color w:val="000000" w:themeColor="text1"/>
                <w:sz w:val="24"/>
                <w:highlight w:val="none"/>
              </w:rPr>
              <w:t>10</w:t>
            </w:r>
            <w:r>
              <w:rPr>
                <w:color w:val="000000" w:themeColor="text1"/>
                <w:sz w:val="24"/>
                <w:highlight w:val="none"/>
              </w:rPr>
              <w:t>kg/d。施工人员生活垃圾集中收集后交当地环卫部门处置。</w:t>
            </w:r>
          </w:p>
          <w:p w14:paraId="281C5409">
            <w:pPr>
              <w:pStyle w:val="14"/>
              <w:spacing w:before="0" w:after="0" w:line="360" w:lineRule="auto"/>
              <w:ind w:right="0" w:firstLine="468" w:firstLineChars="200"/>
              <w:rPr>
                <w:color w:val="000000" w:themeColor="text1"/>
                <w:sz w:val="24"/>
                <w:szCs w:val="24"/>
                <w:highlight w:val="none"/>
              </w:rPr>
            </w:pPr>
            <w:r>
              <w:rPr>
                <w:rFonts w:hint="eastAsia"/>
                <w:color w:val="000000" w:themeColor="text1"/>
                <w:spacing w:val="-3"/>
                <w:sz w:val="24"/>
                <w:szCs w:val="24"/>
                <w:highlight w:val="none"/>
              </w:rPr>
              <w:t>（4</w:t>
            </w:r>
            <w:r>
              <w:rPr>
                <w:color w:val="000000" w:themeColor="text1"/>
                <w:spacing w:val="-3"/>
                <w:sz w:val="24"/>
                <w:szCs w:val="24"/>
                <w:highlight w:val="none"/>
              </w:rPr>
              <w:t>）建筑垃圾</w:t>
            </w:r>
          </w:p>
          <w:p w14:paraId="31FC5760">
            <w:pPr>
              <w:pStyle w:val="14"/>
              <w:spacing w:before="0" w:after="0" w:line="360" w:lineRule="auto"/>
              <w:ind w:right="0" w:firstLine="468" w:firstLineChars="200"/>
              <w:rPr>
                <w:color w:val="000000" w:themeColor="text1"/>
                <w:sz w:val="24"/>
                <w:szCs w:val="24"/>
                <w:highlight w:val="none"/>
              </w:rPr>
            </w:pPr>
            <w:r>
              <w:rPr>
                <w:color w:val="000000" w:themeColor="text1"/>
                <w:spacing w:val="-3"/>
                <w:sz w:val="24"/>
                <w:szCs w:val="24"/>
                <w:highlight w:val="none"/>
              </w:rPr>
              <w:t>项目地面工程施工过程中排放的少量建筑垃圾如废弃的碎砖、石块、砼块等送至</w:t>
            </w:r>
            <w:r>
              <w:rPr>
                <w:rFonts w:hint="eastAsia"/>
                <w:color w:val="000000" w:themeColor="text1"/>
                <w:spacing w:val="-3"/>
                <w:sz w:val="24"/>
                <w:szCs w:val="24"/>
                <w:highlight w:val="none"/>
              </w:rPr>
              <w:t>环卫部门指定地点处置</w:t>
            </w:r>
            <w:r>
              <w:rPr>
                <w:color w:val="000000" w:themeColor="text1"/>
                <w:spacing w:val="-3"/>
                <w:sz w:val="24"/>
                <w:szCs w:val="24"/>
                <w:highlight w:val="none"/>
              </w:rPr>
              <w:t>，不得随意丢弃。</w:t>
            </w:r>
          </w:p>
          <w:p w14:paraId="7AA755D5">
            <w:pPr>
              <w:pStyle w:val="14"/>
              <w:spacing w:before="0" w:after="0" w:line="360" w:lineRule="auto"/>
              <w:ind w:right="0" w:firstLine="480" w:firstLineChars="200"/>
              <w:rPr>
                <w:color w:val="000000" w:themeColor="text1"/>
                <w:highlight w:val="none"/>
              </w:rPr>
            </w:pPr>
            <w:r>
              <w:rPr>
                <w:color w:val="000000" w:themeColor="text1"/>
                <w:sz w:val="24"/>
                <w:szCs w:val="24"/>
                <w:highlight w:val="none"/>
              </w:rPr>
              <w:t>综上所述，本项目施工期间固体废物均能得到妥善处置，对周边环境</w:t>
            </w:r>
            <w:r>
              <w:rPr>
                <w:rFonts w:hint="eastAsia"/>
                <w:color w:val="000000" w:themeColor="text1"/>
                <w:sz w:val="24"/>
                <w:szCs w:val="24"/>
                <w:highlight w:val="none"/>
              </w:rPr>
              <w:t>影响较小</w:t>
            </w:r>
            <w:r>
              <w:rPr>
                <w:color w:val="000000" w:themeColor="text1"/>
                <w:sz w:val="24"/>
                <w:szCs w:val="24"/>
                <w:highlight w:val="none"/>
              </w:rPr>
              <w:t>。</w:t>
            </w:r>
          </w:p>
        </w:tc>
      </w:tr>
      <w:tr w14:paraId="524D33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tcMar>
              <w:left w:w="28" w:type="dxa"/>
              <w:right w:w="28" w:type="dxa"/>
            </w:tcMar>
            <w:vAlign w:val="center"/>
          </w:tcPr>
          <w:p w14:paraId="5B559706">
            <w:pPr>
              <w:pStyle w:val="23"/>
              <w:adjustRightInd w:val="0"/>
              <w:snapToGrid w:val="0"/>
              <w:spacing w:before="0" w:beforeAutospacing="0" w:after="0" w:afterAutospacing="0"/>
              <w:jc w:val="center"/>
              <w:rPr>
                <w:rFonts w:cs="宋体"/>
                <w:bCs/>
                <w:color w:val="000000" w:themeColor="text1"/>
                <w:kern w:val="2"/>
                <w:sz w:val="21"/>
                <w:szCs w:val="21"/>
                <w:highlight w:val="none"/>
              </w:rPr>
            </w:pPr>
            <w:r>
              <w:rPr>
                <w:rFonts w:hint="eastAsia" w:cs="宋体"/>
                <w:bCs/>
                <w:color w:val="000000" w:themeColor="text1"/>
                <w:spacing w:val="10"/>
                <w:kern w:val="2"/>
                <w:highlight w:val="none"/>
              </w:rPr>
              <w:t>运营期生态环境影响分析</w:t>
            </w:r>
          </w:p>
        </w:tc>
        <w:tc>
          <w:tcPr>
            <w:tcW w:w="8363" w:type="dxa"/>
          </w:tcPr>
          <w:p w14:paraId="7AB45810">
            <w:pPr>
              <w:adjustRightInd w:val="0"/>
              <w:snapToGrid w:val="0"/>
              <w:spacing w:line="360" w:lineRule="auto"/>
              <w:ind w:firstLine="482" w:firstLineChars="200"/>
              <w:rPr>
                <w:b/>
                <w:color w:val="000000" w:themeColor="text1"/>
                <w:sz w:val="24"/>
                <w:highlight w:val="none"/>
              </w:rPr>
            </w:pPr>
            <w:r>
              <w:rPr>
                <w:b/>
                <w:color w:val="000000" w:themeColor="text1"/>
                <w:sz w:val="24"/>
                <w:highlight w:val="none"/>
              </w:rPr>
              <w:t>1</w:t>
            </w:r>
            <w:r>
              <w:rPr>
                <w:rFonts w:hint="eastAsia"/>
                <w:b/>
                <w:color w:val="000000" w:themeColor="text1"/>
                <w:sz w:val="24"/>
                <w:highlight w:val="none"/>
              </w:rPr>
              <w:t>.</w:t>
            </w:r>
            <w:r>
              <w:rPr>
                <w:b/>
                <w:color w:val="000000" w:themeColor="text1"/>
                <w:sz w:val="24"/>
                <w:highlight w:val="none"/>
              </w:rPr>
              <w:t>大气环境影响分析</w:t>
            </w:r>
          </w:p>
          <w:p w14:paraId="6C53338F">
            <w:pPr>
              <w:adjustRightInd w:val="0"/>
              <w:snapToGrid w:val="0"/>
              <w:spacing w:line="360" w:lineRule="auto"/>
              <w:ind w:firstLine="480" w:firstLineChars="200"/>
              <w:rPr>
                <w:bCs/>
                <w:color w:val="000000" w:themeColor="text1"/>
                <w:sz w:val="24"/>
                <w:highlight w:val="none"/>
              </w:rPr>
            </w:pPr>
            <w:r>
              <w:rPr>
                <w:rFonts w:hint="eastAsia"/>
                <w:bCs/>
                <w:color w:val="000000" w:themeColor="text1"/>
                <w:sz w:val="24"/>
                <w:highlight w:val="none"/>
              </w:rPr>
              <w:t>根据《</w:t>
            </w:r>
            <w:bookmarkStart w:id="16" w:name="_Hlk177931468"/>
            <w:r>
              <w:rPr>
                <w:rFonts w:hint="eastAsia"/>
                <w:bCs/>
                <w:color w:val="000000" w:themeColor="text1"/>
                <w:sz w:val="24"/>
                <w:highlight w:val="none"/>
              </w:rPr>
              <w:t>鄂尔多斯市能源局关于内蒙古汇能煤电集团富民煤炭有限责任公司煤矿</w:t>
            </w:r>
            <w:bookmarkEnd w:id="16"/>
            <w:r>
              <w:rPr>
                <w:rFonts w:hint="eastAsia"/>
                <w:bCs/>
                <w:color w:val="000000" w:themeColor="text1"/>
                <w:sz w:val="24"/>
                <w:highlight w:val="none"/>
              </w:rPr>
              <w:t>新增井筒项目初步设计的批复》（鄂能局审批发</w:t>
            </w:r>
            <w:r>
              <w:rPr>
                <w:rFonts w:hint="eastAsia"/>
                <w:bCs/>
                <w:color w:val="000000" w:themeColor="text1"/>
                <w:sz w:val="24"/>
                <w:highlight w:val="none"/>
                <w:lang w:eastAsia="zh-CN"/>
              </w:rPr>
              <w:t>〔2024〕123号</w:t>
            </w:r>
            <w:r>
              <w:rPr>
                <w:rFonts w:hint="eastAsia"/>
                <w:bCs/>
                <w:color w:val="000000" w:themeColor="text1"/>
                <w:sz w:val="24"/>
                <w:highlight w:val="none"/>
              </w:rPr>
              <w:t>）“矿井属低瓦斯矿井”，故本项目存在少量瓦斯排放风险，运营期废气主要是通风过程中带出的少量粉尘及汽车产生的尾气。</w:t>
            </w:r>
          </w:p>
          <w:p w14:paraId="4052BF0E">
            <w:pPr>
              <w:widowControl/>
              <w:spacing w:line="360" w:lineRule="auto"/>
              <w:ind w:firstLine="480" w:firstLineChars="200"/>
              <w:rPr>
                <w:bCs/>
                <w:color w:val="000000" w:themeColor="text1"/>
                <w:sz w:val="24"/>
                <w:highlight w:val="none"/>
              </w:rPr>
            </w:pPr>
            <w:r>
              <w:rPr>
                <w:rFonts w:hint="eastAsia"/>
                <w:bCs/>
                <w:color w:val="000000" w:themeColor="text1"/>
                <w:sz w:val="24"/>
                <w:highlight w:val="none"/>
              </w:rPr>
              <w:t>通风过程中带出的少量粉尘以无组织形式排放，通过厂区定期洒水抑尘，植树种草绿化后，对周边环境影响较小</w:t>
            </w:r>
            <w:r>
              <w:rPr>
                <w:rFonts w:hint="eastAsia" w:ascii="宋体" w:hAnsi="宋体" w:cs="宋体"/>
                <w:bCs/>
                <w:color w:val="000000" w:themeColor="text1"/>
                <w:sz w:val="24"/>
                <w:highlight w:val="none"/>
              </w:rPr>
              <w:t>。</w:t>
            </w:r>
          </w:p>
          <w:p w14:paraId="62039DFC">
            <w:pPr>
              <w:adjustRightInd w:val="0"/>
              <w:snapToGrid w:val="0"/>
              <w:spacing w:line="360" w:lineRule="auto"/>
              <w:ind w:firstLine="480" w:firstLineChars="200"/>
              <w:rPr>
                <w:color w:val="0000FF"/>
                <w:sz w:val="24"/>
                <w:highlight w:val="yellow"/>
              </w:rPr>
            </w:pPr>
            <w:r>
              <w:rPr>
                <w:rFonts w:hint="eastAsia"/>
                <w:bCs/>
                <w:color w:val="000000" w:themeColor="text1"/>
                <w:sz w:val="24"/>
                <w:highlight w:val="none"/>
              </w:rPr>
              <w:t>井筒排风过程中会携带少量瓦斯，瓦斯成分中含有少量甲烷、少量CO</w:t>
            </w:r>
            <w:r>
              <w:rPr>
                <w:rFonts w:hint="eastAsia"/>
                <w:bCs/>
                <w:color w:val="000000" w:themeColor="text1"/>
                <w:sz w:val="24"/>
                <w:highlight w:val="none"/>
                <w:vertAlign w:val="subscript"/>
              </w:rPr>
              <w:t>2</w:t>
            </w:r>
            <w:r>
              <w:rPr>
                <w:rFonts w:hint="eastAsia"/>
                <w:bCs/>
                <w:color w:val="000000" w:themeColor="text1"/>
                <w:sz w:val="24"/>
                <w:highlight w:val="none"/>
              </w:rPr>
              <w:t>及少量CO气体，其中甲烷与CO</w:t>
            </w:r>
            <w:r>
              <w:rPr>
                <w:rFonts w:hint="eastAsia"/>
                <w:bCs/>
                <w:color w:val="000000" w:themeColor="text1"/>
                <w:sz w:val="24"/>
                <w:highlight w:val="none"/>
                <w:vertAlign w:val="subscript"/>
              </w:rPr>
              <w:t>2</w:t>
            </w:r>
            <w:r>
              <w:rPr>
                <w:rFonts w:hint="eastAsia"/>
                <w:bCs/>
                <w:color w:val="000000" w:themeColor="text1"/>
                <w:sz w:val="24"/>
                <w:highlight w:val="none"/>
              </w:rPr>
              <w:t>为温室气体，大量排放会导致大气温度上升，出现全球变暖的现象，CO在大气中转换为CO</w:t>
            </w:r>
            <w:r>
              <w:rPr>
                <w:rFonts w:hint="eastAsia"/>
                <w:bCs/>
                <w:color w:val="000000" w:themeColor="text1"/>
                <w:sz w:val="24"/>
                <w:highlight w:val="none"/>
                <w:vertAlign w:val="subscript"/>
              </w:rPr>
              <w:t>2</w:t>
            </w:r>
            <w:r>
              <w:rPr>
                <w:rFonts w:hint="eastAsia"/>
                <w:bCs/>
                <w:color w:val="000000" w:themeColor="text1"/>
                <w:sz w:val="24"/>
                <w:highlight w:val="none"/>
              </w:rPr>
              <w:t>，间接导致大气温度上升，</w:t>
            </w:r>
            <w:r>
              <w:rPr>
                <w:rFonts w:hint="eastAsia"/>
                <w:bCs/>
                <w:color w:val="0000FF"/>
                <w:sz w:val="24"/>
                <w:highlight w:val="yellow"/>
              </w:rPr>
              <w:t>富民煤矿为低瓦斯煤矿，产生的瓦斯含量极低，对环境影响较小。</w:t>
            </w:r>
          </w:p>
          <w:p w14:paraId="7723E101">
            <w:pPr>
              <w:adjustRightInd w:val="0"/>
              <w:snapToGrid w:val="0"/>
              <w:spacing w:line="360" w:lineRule="auto"/>
              <w:ind w:firstLine="480" w:firstLineChars="200"/>
              <w:rPr>
                <w:bCs/>
                <w:color w:val="000000" w:themeColor="text1"/>
                <w:sz w:val="24"/>
                <w:highlight w:val="none"/>
              </w:rPr>
            </w:pPr>
            <w:r>
              <w:rPr>
                <w:rFonts w:hint="eastAsia"/>
                <w:bCs/>
                <w:color w:val="000000" w:themeColor="text1"/>
                <w:sz w:val="24"/>
                <w:highlight w:val="none"/>
              </w:rPr>
              <w:t>场内道路</w:t>
            </w:r>
            <w:r>
              <w:rPr>
                <w:bCs/>
                <w:color w:val="000000" w:themeColor="text1"/>
                <w:sz w:val="24"/>
                <w:highlight w:val="none"/>
              </w:rPr>
              <w:t>交通所产生的机动车尾气污染物</w:t>
            </w:r>
            <w:r>
              <w:rPr>
                <w:rFonts w:hint="eastAsia"/>
                <w:bCs/>
                <w:color w:val="000000" w:themeColor="text1"/>
                <w:sz w:val="24"/>
                <w:highlight w:val="none"/>
              </w:rPr>
              <w:t>与道路扬尘</w:t>
            </w:r>
            <w:r>
              <w:rPr>
                <w:bCs/>
                <w:color w:val="000000" w:themeColor="text1"/>
                <w:sz w:val="24"/>
                <w:highlight w:val="none"/>
              </w:rPr>
              <w:t>，机动车尾气排放的污染物有：CO、NO</w:t>
            </w:r>
            <w:r>
              <w:rPr>
                <w:bCs/>
                <w:color w:val="000000" w:themeColor="text1"/>
                <w:sz w:val="24"/>
                <w:highlight w:val="none"/>
                <w:vertAlign w:val="subscript"/>
              </w:rPr>
              <w:t>X</w:t>
            </w:r>
            <w:r>
              <w:rPr>
                <w:bCs/>
                <w:color w:val="000000" w:themeColor="text1"/>
                <w:sz w:val="24"/>
                <w:highlight w:val="none"/>
              </w:rPr>
              <w:t>、多环芳烃化合物等。</w:t>
            </w:r>
            <w:r>
              <w:rPr>
                <w:color w:val="000000" w:themeColor="text1"/>
                <w:sz w:val="24"/>
                <w:highlight w:val="none"/>
              </w:rPr>
              <w:t>项目道路交通量仅为日常通勤及</w:t>
            </w:r>
            <w:r>
              <w:rPr>
                <w:rFonts w:hint="eastAsia"/>
                <w:color w:val="000000" w:themeColor="text1"/>
                <w:sz w:val="24"/>
                <w:highlight w:val="none"/>
              </w:rPr>
              <w:t>洒水</w:t>
            </w:r>
            <w:r>
              <w:rPr>
                <w:color w:val="000000" w:themeColor="text1"/>
                <w:sz w:val="24"/>
                <w:highlight w:val="none"/>
              </w:rPr>
              <w:t>车辆，</w:t>
            </w:r>
            <w:r>
              <w:rPr>
                <w:rFonts w:hint="eastAsia"/>
                <w:color w:val="000000" w:themeColor="text1"/>
                <w:sz w:val="24"/>
                <w:highlight w:val="none"/>
              </w:rPr>
              <w:t>主要是皮卡车和越野车等小型车辆较多，</w:t>
            </w:r>
            <w:r>
              <w:rPr>
                <w:color w:val="000000" w:themeColor="text1"/>
                <w:sz w:val="24"/>
                <w:highlight w:val="none"/>
              </w:rPr>
              <w:t>车流量极低。</w:t>
            </w:r>
          </w:p>
          <w:p w14:paraId="251E5CA5">
            <w:pPr>
              <w:widowControl/>
              <w:spacing w:line="360" w:lineRule="auto"/>
              <w:ind w:firstLine="480" w:firstLineChars="200"/>
              <w:rPr>
                <w:rFonts w:ascii="宋体" w:hAnsi="宋体" w:cs="宋体"/>
                <w:bCs/>
                <w:color w:val="000000" w:themeColor="text1"/>
                <w:sz w:val="24"/>
                <w:highlight w:val="none"/>
              </w:rPr>
            </w:pPr>
            <w:r>
              <w:rPr>
                <w:rFonts w:hint="eastAsia" w:ascii="宋体" w:hAnsi="宋体" w:cs="宋体"/>
                <w:bCs/>
                <w:color w:val="000000" w:themeColor="text1"/>
                <w:sz w:val="24"/>
                <w:highlight w:val="none"/>
              </w:rPr>
              <w:drawing>
                <wp:anchor distT="0" distB="0" distL="114300" distR="114300" simplePos="0" relativeHeight="251660288" behindDoc="0" locked="0" layoutInCell="0" allowOverlap="1">
                  <wp:simplePos x="0" y="0"/>
                  <wp:positionH relativeFrom="page">
                    <wp:posOffset>1259840</wp:posOffset>
                  </wp:positionH>
                  <wp:positionV relativeFrom="page">
                    <wp:posOffset>9866630</wp:posOffset>
                  </wp:positionV>
                  <wp:extent cx="5580380" cy="6350"/>
                  <wp:effectExtent l="0" t="0" r="0" b="0"/>
                  <wp:wrapNone/>
                  <wp:docPr id="10" name="IM 469"/>
                  <wp:cNvGraphicFramePr/>
                  <a:graphic xmlns:a="http://schemas.openxmlformats.org/drawingml/2006/main">
                    <a:graphicData uri="http://schemas.openxmlformats.org/drawingml/2006/picture">
                      <pic:pic xmlns:pic="http://schemas.openxmlformats.org/drawingml/2006/picture">
                        <pic:nvPicPr>
                          <pic:cNvPr id="10" name="IM 469"/>
                          <pic:cNvPicPr/>
                        </pic:nvPicPr>
                        <pic:blipFill>
                          <a:blip r:embed="rId17"/>
                          <a:stretch>
                            <a:fillRect/>
                          </a:stretch>
                        </pic:blipFill>
                        <pic:spPr>
                          <a:xfrm>
                            <a:off x="0" y="0"/>
                            <a:ext cx="5580380" cy="6350"/>
                          </a:xfrm>
                          <a:prstGeom prst="rect">
                            <a:avLst/>
                          </a:prstGeom>
                          <a:noFill/>
                          <a:ln>
                            <a:noFill/>
                          </a:ln>
                        </pic:spPr>
                      </pic:pic>
                    </a:graphicData>
                  </a:graphic>
                </wp:anchor>
              </w:drawing>
            </w:r>
            <w:r>
              <w:rPr>
                <w:rFonts w:hint="eastAsia" w:ascii="宋体" w:hAnsi="宋体" w:cs="宋体"/>
                <w:bCs/>
                <w:color w:val="000000" w:themeColor="text1"/>
                <w:sz w:val="24"/>
                <w:highlight w:val="none"/>
              </w:rPr>
              <w:t>运营</w:t>
            </w:r>
            <w:r>
              <w:rPr>
                <w:rFonts w:hint="eastAsia" w:ascii="宋体" w:hAnsi="宋体" w:cs="宋体"/>
                <w:bCs/>
                <w:color w:val="000000" w:themeColor="text1"/>
                <w:sz w:val="24"/>
                <w:highlight w:val="none"/>
                <w:lang w:eastAsia="zh-CN"/>
              </w:rPr>
              <w:t>期间</w:t>
            </w:r>
            <w:r>
              <w:rPr>
                <w:rFonts w:hint="eastAsia" w:ascii="宋体" w:hAnsi="宋体" w:cs="宋体"/>
                <w:bCs/>
                <w:color w:val="000000" w:themeColor="text1"/>
                <w:sz w:val="24"/>
                <w:highlight w:val="none"/>
              </w:rPr>
              <w:t>加强道路管理及路面养护，保持道路良好运营状态，保持路面平整和清洁，</w:t>
            </w:r>
            <w:r>
              <w:rPr>
                <w:rFonts w:hint="eastAsia" w:ascii="宋体" w:hAnsi="宋体" w:cs="宋体"/>
                <w:color w:val="000000" w:themeColor="text1"/>
                <w:kern w:val="0"/>
                <w:sz w:val="24"/>
                <w:highlight w:val="none"/>
              </w:rPr>
              <w:t>路面洒水抑尘</w:t>
            </w:r>
            <w:r>
              <w:rPr>
                <w:rFonts w:hint="eastAsia" w:ascii="宋体" w:hAnsi="宋体" w:cs="宋体"/>
                <w:color w:val="000000" w:themeColor="text1"/>
                <w:sz w:val="24"/>
                <w:highlight w:val="none"/>
              </w:rPr>
              <w:t>，</w:t>
            </w:r>
            <w:r>
              <w:rPr>
                <w:rFonts w:hint="eastAsia" w:ascii="宋体" w:hAnsi="宋体" w:cs="宋体"/>
                <w:bCs/>
                <w:color w:val="000000" w:themeColor="text1"/>
                <w:sz w:val="24"/>
                <w:highlight w:val="none"/>
              </w:rPr>
              <w:t>对周围环境空气质量影响较小。</w:t>
            </w:r>
          </w:p>
          <w:p w14:paraId="4F84CEA5">
            <w:pPr>
              <w:adjustRightInd w:val="0"/>
              <w:snapToGrid w:val="0"/>
              <w:spacing w:line="360" w:lineRule="auto"/>
              <w:ind w:firstLine="482" w:firstLineChars="200"/>
              <w:rPr>
                <w:b/>
                <w:color w:val="000000" w:themeColor="text1"/>
                <w:sz w:val="24"/>
                <w:highlight w:val="none"/>
              </w:rPr>
            </w:pPr>
            <w:r>
              <w:rPr>
                <w:b/>
                <w:color w:val="000000" w:themeColor="text1"/>
                <w:sz w:val="24"/>
                <w:highlight w:val="none"/>
              </w:rPr>
              <w:t>2</w:t>
            </w:r>
            <w:r>
              <w:rPr>
                <w:rFonts w:hint="eastAsia"/>
                <w:b/>
                <w:color w:val="000000" w:themeColor="text1"/>
                <w:sz w:val="24"/>
                <w:highlight w:val="none"/>
              </w:rPr>
              <w:t>.水环境影响分析</w:t>
            </w:r>
          </w:p>
          <w:p w14:paraId="4390FD33">
            <w:pPr>
              <w:adjustRightInd w:val="0"/>
              <w:snapToGrid w:val="0"/>
              <w:spacing w:line="360" w:lineRule="auto"/>
              <w:ind w:firstLine="480" w:firstLineChars="200"/>
              <w:rPr>
                <w:bCs/>
                <w:color w:val="000000" w:themeColor="text1"/>
                <w:sz w:val="24"/>
                <w:highlight w:val="none"/>
              </w:rPr>
            </w:pPr>
            <w:r>
              <w:rPr>
                <w:rFonts w:hint="eastAsia"/>
                <w:bCs/>
                <w:color w:val="000000" w:themeColor="text1"/>
                <w:sz w:val="24"/>
                <w:highlight w:val="none"/>
              </w:rPr>
              <w:t>本项目运营期用水为场地绿化用水、道路洒水，无生产废水产生。</w:t>
            </w:r>
          </w:p>
          <w:p w14:paraId="2597CBB7">
            <w:pPr>
              <w:pStyle w:val="14"/>
              <w:spacing w:before="0" w:after="0" w:line="360" w:lineRule="auto"/>
              <w:ind w:right="0" w:firstLine="480" w:firstLineChars="200"/>
              <w:rPr>
                <w:color w:val="000000" w:themeColor="text1"/>
                <w:kern w:val="21"/>
                <w:sz w:val="24"/>
                <w:szCs w:val="24"/>
                <w:highlight w:val="none"/>
              </w:rPr>
            </w:pPr>
            <w:r>
              <w:rPr>
                <w:rFonts w:hint="eastAsia"/>
                <w:color w:val="000000" w:themeColor="text1"/>
                <w:kern w:val="21"/>
                <w:sz w:val="24"/>
                <w:szCs w:val="24"/>
                <w:highlight w:val="none"/>
              </w:rPr>
              <w:t>本项目工作人员</w:t>
            </w:r>
            <w:r>
              <w:rPr>
                <w:rFonts w:hint="eastAsia"/>
                <w:color w:val="000000" w:themeColor="text1"/>
                <w:kern w:val="21"/>
                <w:sz w:val="24"/>
                <w:szCs w:val="24"/>
                <w:highlight w:val="none"/>
                <w:lang w:eastAsia="zh-CN"/>
              </w:rPr>
              <w:t>由</w:t>
            </w:r>
            <w:r>
              <w:rPr>
                <w:rFonts w:hint="eastAsia"/>
                <w:color w:val="000000" w:themeColor="text1"/>
                <w:kern w:val="21"/>
                <w:sz w:val="24"/>
                <w:szCs w:val="24"/>
                <w:highlight w:val="none"/>
              </w:rPr>
              <w:t>煤矿现有人员调配，不新增生活污水</w:t>
            </w:r>
            <w:r>
              <w:rPr>
                <w:rFonts w:hint="eastAsia"/>
                <w:color w:val="000000" w:themeColor="text1"/>
                <w:highlight w:val="none"/>
              </w:rPr>
              <w:t>。</w:t>
            </w:r>
          </w:p>
          <w:p w14:paraId="52BEAF1F">
            <w:pPr>
              <w:adjustRightInd w:val="0"/>
              <w:snapToGrid w:val="0"/>
              <w:spacing w:line="360" w:lineRule="auto"/>
              <w:ind w:firstLine="482" w:firstLineChars="200"/>
              <w:rPr>
                <w:b/>
                <w:color w:val="000000" w:themeColor="text1"/>
                <w:sz w:val="24"/>
                <w:highlight w:val="none"/>
              </w:rPr>
            </w:pPr>
            <w:r>
              <w:rPr>
                <w:rFonts w:hint="eastAsia"/>
                <w:b/>
                <w:color w:val="000000" w:themeColor="text1"/>
                <w:sz w:val="24"/>
                <w:highlight w:val="none"/>
              </w:rPr>
              <w:t>3.声环境影响分析</w:t>
            </w:r>
          </w:p>
          <w:p w14:paraId="36F7D1FE">
            <w:pPr>
              <w:pStyle w:val="9"/>
              <w:spacing w:after="0" w:line="360" w:lineRule="auto"/>
              <w:ind w:left="0" w:leftChars="0" w:firstLine="480" w:firstLineChars="200"/>
              <w:rPr>
                <w:color w:val="000000" w:themeColor="text1"/>
                <w:sz w:val="24"/>
                <w:highlight w:val="none"/>
              </w:rPr>
            </w:pPr>
            <w:r>
              <w:rPr>
                <w:rFonts w:hint="eastAsia"/>
                <w:color w:val="000000" w:themeColor="text1"/>
                <w:sz w:val="24"/>
                <w:highlight w:val="none"/>
              </w:rPr>
              <w:t>本项目</w:t>
            </w:r>
            <w:r>
              <w:rPr>
                <w:color w:val="000000" w:themeColor="text1"/>
                <w:sz w:val="24"/>
                <w:highlight w:val="none"/>
              </w:rPr>
              <w:t>运营期噪声源主要来自风井场地主要噪声源</w:t>
            </w:r>
            <w:r>
              <w:rPr>
                <w:rFonts w:hint="eastAsia"/>
                <w:color w:val="000000" w:themeColor="text1"/>
                <w:sz w:val="24"/>
                <w:highlight w:val="none"/>
              </w:rPr>
              <w:t>为风井场地</w:t>
            </w:r>
            <w:r>
              <w:rPr>
                <w:color w:val="000000" w:themeColor="text1"/>
                <w:sz w:val="24"/>
                <w:highlight w:val="none"/>
              </w:rPr>
              <w:t>通风机、</w:t>
            </w:r>
            <w:r>
              <w:rPr>
                <w:rFonts w:hint="eastAsia"/>
                <w:color w:val="000000" w:themeColor="text1"/>
                <w:sz w:val="24"/>
                <w:highlight w:val="none"/>
              </w:rPr>
              <w:t>变压器等设备噪声</w:t>
            </w:r>
            <w:r>
              <w:rPr>
                <w:color w:val="000000" w:themeColor="text1"/>
                <w:sz w:val="24"/>
                <w:highlight w:val="none"/>
              </w:rPr>
              <w:t>，噪声的声压级一般在</w:t>
            </w:r>
            <w:r>
              <w:rPr>
                <w:rFonts w:hint="eastAsia"/>
                <w:color w:val="000000" w:themeColor="text1"/>
                <w:sz w:val="24"/>
                <w:highlight w:val="none"/>
              </w:rPr>
              <w:t>85</w:t>
            </w:r>
            <w:r>
              <w:rPr>
                <w:color w:val="000000" w:themeColor="text1"/>
                <w:sz w:val="24"/>
                <w:highlight w:val="none"/>
              </w:rPr>
              <w:t>～</w:t>
            </w:r>
            <w:r>
              <w:rPr>
                <w:rFonts w:hint="eastAsia"/>
                <w:color w:val="000000" w:themeColor="text1"/>
                <w:sz w:val="24"/>
                <w:highlight w:val="none"/>
              </w:rPr>
              <w:t>90</w:t>
            </w:r>
            <w:r>
              <w:rPr>
                <w:color w:val="000000" w:themeColor="text1"/>
                <w:sz w:val="24"/>
                <w:highlight w:val="none"/>
              </w:rPr>
              <w:t>dB</w:t>
            </w:r>
            <w:r>
              <w:rPr>
                <w:rFonts w:hint="eastAsia"/>
                <w:color w:val="000000" w:themeColor="text1"/>
                <w:sz w:val="24"/>
                <w:highlight w:val="none"/>
              </w:rPr>
              <w:t>（</w:t>
            </w:r>
            <w:r>
              <w:rPr>
                <w:color w:val="000000" w:themeColor="text1"/>
                <w:sz w:val="24"/>
                <w:highlight w:val="none"/>
              </w:rPr>
              <w:t>A</w:t>
            </w:r>
            <w:r>
              <w:rPr>
                <w:rFonts w:hint="eastAsia"/>
                <w:color w:val="000000" w:themeColor="text1"/>
                <w:sz w:val="24"/>
                <w:highlight w:val="none"/>
              </w:rPr>
              <w:t>）</w:t>
            </w:r>
            <w:r>
              <w:rPr>
                <w:color w:val="000000" w:themeColor="text1"/>
                <w:sz w:val="24"/>
                <w:highlight w:val="none"/>
              </w:rPr>
              <w:t>左右</w:t>
            </w:r>
            <w:r>
              <w:rPr>
                <w:rFonts w:hint="eastAsia"/>
                <w:color w:val="000000" w:themeColor="text1"/>
                <w:sz w:val="24"/>
                <w:highlight w:val="none"/>
              </w:rPr>
              <w:t>。采用</w:t>
            </w:r>
            <w:r>
              <w:rPr>
                <w:color w:val="000000" w:themeColor="text1"/>
                <w:sz w:val="24"/>
                <w:highlight w:val="none"/>
              </w:rPr>
              <w:t>选用低噪声设备，安装消声器，</w:t>
            </w:r>
            <w:r>
              <w:rPr>
                <w:rFonts w:hint="eastAsia"/>
                <w:color w:val="000000" w:themeColor="text1"/>
                <w:sz w:val="24"/>
                <w:highlight w:val="none"/>
              </w:rPr>
              <w:t>设置隔声罩，</w:t>
            </w:r>
            <w:r>
              <w:rPr>
                <w:color w:val="000000" w:themeColor="text1"/>
                <w:sz w:val="24"/>
                <w:highlight w:val="none"/>
              </w:rPr>
              <w:t>基础减振、</w:t>
            </w:r>
            <w:r>
              <w:rPr>
                <w:rFonts w:hint="eastAsia"/>
                <w:color w:val="000000" w:themeColor="text1"/>
                <w:sz w:val="24"/>
                <w:highlight w:val="none"/>
              </w:rPr>
              <w:t>厂房隔声等措施</w:t>
            </w:r>
            <w:r>
              <w:rPr>
                <w:color w:val="000000" w:themeColor="text1"/>
                <w:sz w:val="24"/>
                <w:highlight w:val="none"/>
              </w:rPr>
              <w:t>。</w:t>
            </w:r>
          </w:p>
          <w:p w14:paraId="3D8BE8BE">
            <w:pPr>
              <w:pStyle w:val="14"/>
              <w:spacing w:before="0" w:after="0" w:line="240" w:lineRule="auto"/>
              <w:ind w:right="0"/>
              <w:jc w:val="center"/>
              <w:rPr>
                <w:color w:val="000000" w:themeColor="text1"/>
                <w:sz w:val="24"/>
                <w:szCs w:val="24"/>
                <w:highlight w:val="none"/>
              </w:rPr>
            </w:pPr>
            <w:r>
              <w:rPr>
                <w:rFonts w:hint="eastAsia"/>
                <w:color w:val="000000" w:themeColor="text1"/>
                <w:kern w:val="2"/>
                <w:sz w:val="24"/>
                <w:szCs w:val="24"/>
                <w:highlight w:val="none"/>
              </w:rPr>
              <w:t>表4-5 本项目噪声源一览表</w:t>
            </w:r>
          </w:p>
          <w:tbl>
            <w:tblPr>
              <w:tblStyle w:val="45"/>
              <w:tblW w:w="4993"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48"/>
              <w:gridCol w:w="301"/>
              <w:gridCol w:w="645"/>
              <w:gridCol w:w="934"/>
              <w:gridCol w:w="877"/>
              <w:gridCol w:w="3931"/>
              <w:gridCol w:w="1005"/>
            </w:tblGrid>
            <w:tr w14:paraId="13A8B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jc w:val="center"/>
              </w:trPr>
              <w:tc>
                <w:tcPr>
                  <w:tcW w:w="275" w:type="pct"/>
                  <w:tcBorders>
                    <w:tl2br w:val="nil"/>
                    <w:tr2bl w:val="nil"/>
                  </w:tcBorders>
                  <w:vAlign w:val="center"/>
                </w:tcPr>
                <w:p w14:paraId="71B73087">
                  <w:pPr>
                    <w:pStyle w:val="46"/>
                    <w:jc w:val="center"/>
                    <w:rPr>
                      <w:color w:val="000000" w:themeColor="text1"/>
                      <w:kern w:val="0"/>
                      <w:sz w:val="21"/>
                      <w:szCs w:val="21"/>
                      <w:highlight w:val="none"/>
                    </w:rPr>
                  </w:pPr>
                  <w:r>
                    <w:rPr>
                      <w:color w:val="000000" w:themeColor="text1"/>
                      <w:kern w:val="0"/>
                      <w:sz w:val="21"/>
                      <w:szCs w:val="21"/>
                      <w:highlight w:val="none"/>
                    </w:rPr>
                    <w:t>序号</w:t>
                  </w:r>
                </w:p>
              </w:tc>
              <w:tc>
                <w:tcPr>
                  <w:tcW w:w="581" w:type="pct"/>
                  <w:gridSpan w:val="2"/>
                  <w:tcBorders>
                    <w:tl2br w:val="nil"/>
                    <w:tr2bl w:val="nil"/>
                  </w:tcBorders>
                  <w:vAlign w:val="center"/>
                </w:tcPr>
                <w:p w14:paraId="6C797490">
                  <w:pPr>
                    <w:pStyle w:val="46"/>
                    <w:jc w:val="center"/>
                    <w:rPr>
                      <w:color w:val="000000" w:themeColor="text1"/>
                      <w:kern w:val="0"/>
                      <w:sz w:val="21"/>
                      <w:szCs w:val="21"/>
                      <w:highlight w:val="none"/>
                      <w:lang w:eastAsia="zh-CN"/>
                    </w:rPr>
                  </w:pPr>
                  <w:r>
                    <w:rPr>
                      <w:rFonts w:hint="eastAsia"/>
                      <w:color w:val="000000" w:themeColor="text1"/>
                      <w:kern w:val="0"/>
                      <w:sz w:val="21"/>
                      <w:szCs w:val="21"/>
                      <w:highlight w:val="none"/>
                      <w:lang w:eastAsia="zh-CN"/>
                    </w:rPr>
                    <w:t>位置</w:t>
                  </w:r>
                </w:p>
              </w:tc>
              <w:tc>
                <w:tcPr>
                  <w:tcW w:w="573" w:type="pct"/>
                  <w:tcBorders>
                    <w:tl2br w:val="nil"/>
                    <w:tr2bl w:val="nil"/>
                  </w:tcBorders>
                  <w:vAlign w:val="center"/>
                </w:tcPr>
                <w:p w14:paraId="6B38E06B">
                  <w:pPr>
                    <w:pStyle w:val="46"/>
                    <w:jc w:val="center"/>
                    <w:rPr>
                      <w:color w:val="000000" w:themeColor="text1"/>
                      <w:kern w:val="0"/>
                      <w:sz w:val="21"/>
                      <w:szCs w:val="21"/>
                      <w:highlight w:val="none"/>
                    </w:rPr>
                  </w:pPr>
                  <w:r>
                    <w:rPr>
                      <w:color w:val="000000" w:themeColor="text1"/>
                      <w:kern w:val="0"/>
                      <w:sz w:val="21"/>
                      <w:szCs w:val="21"/>
                      <w:highlight w:val="none"/>
                    </w:rPr>
                    <w:t>声源名称</w:t>
                  </w:r>
                </w:p>
              </w:tc>
              <w:tc>
                <w:tcPr>
                  <w:tcW w:w="538" w:type="pct"/>
                  <w:tcBorders>
                    <w:tl2br w:val="nil"/>
                    <w:tr2bl w:val="nil"/>
                  </w:tcBorders>
                  <w:vAlign w:val="center"/>
                </w:tcPr>
                <w:p w14:paraId="21322A64">
                  <w:pPr>
                    <w:pStyle w:val="46"/>
                    <w:jc w:val="center"/>
                    <w:rPr>
                      <w:color w:val="000000" w:themeColor="text1"/>
                      <w:kern w:val="0"/>
                      <w:sz w:val="21"/>
                      <w:szCs w:val="21"/>
                      <w:highlight w:val="none"/>
                      <w:lang w:eastAsia="zh-CN"/>
                    </w:rPr>
                  </w:pPr>
                  <w:r>
                    <w:rPr>
                      <w:rFonts w:hint="eastAsia"/>
                      <w:color w:val="000000" w:themeColor="text1"/>
                      <w:kern w:val="0"/>
                      <w:sz w:val="21"/>
                      <w:szCs w:val="21"/>
                      <w:highlight w:val="none"/>
                      <w:lang w:eastAsia="zh-CN"/>
                    </w:rPr>
                    <w:t>噪声</w:t>
                  </w:r>
                  <w:r>
                    <w:rPr>
                      <w:color w:val="000000" w:themeColor="text1"/>
                      <w:kern w:val="0"/>
                      <w:sz w:val="21"/>
                      <w:szCs w:val="21"/>
                      <w:highlight w:val="none"/>
                    </w:rPr>
                    <w:t>源强</w:t>
                  </w:r>
                  <w:r>
                    <w:rPr>
                      <w:rFonts w:ascii="Times New Roman" w:hAnsi="Times New Roman" w:eastAsia="Times New Roman" w:cs="Times New Roman"/>
                      <w:color w:val="000000" w:themeColor="text1"/>
                      <w:kern w:val="0"/>
                      <w:sz w:val="21"/>
                      <w:szCs w:val="21"/>
                      <w:highlight w:val="none"/>
                    </w:rPr>
                    <w:t>dB</w:t>
                  </w:r>
                  <w:r>
                    <w:rPr>
                      <w:rFonts w:hint="eastAsia" w:ascii="Times New Roman" w:hAnsi="Times New Roman" w:cs="Times New Roman"/>
                      <w:color w:val="000000" w:themeColor="text1"/>
                      <w:kern w:val="0"/>
                      <w:sz w:val="21"/>
                      <w:szCs w:val="21"/>
                      <w:highlight w:val="none"/>
                      <w:lang w:eastAsia="zh-CN"/>
                    </w:rPr>
                    <w:t>（</w:t>
                  </w:r>
                  <w:r>
                    <w:rPr>
                      <w:rFonts w:ascii="Times New Roman" w:hAnsi="Times New Roman" w:eastAsia="Times New Roman" w:cs="Times New Roman"/>
                      <w:color w:val="000000" w:themeColor="text1"/>
                      <w:kern w:val="0"/>
                      <w:sz w:val="21"/>
                      <w:szCs w:val="21"/>
                      <w:highlight w:val="none"/>
                    </w:rPr>
                    <w:t>A</w:t>
                  </w:r>
                  <w:r>
                    <w:rPr>
                      <w:rFonts w:hint="eastAsia" w:ascii="Times New Roman" w:hAnsi="Times New Roman" w:cs="Times New Roman"/>
                      <w:color w:val="000000" w:themeColor="text1"/>
                      <w:kern w:val="0"/>
                      <w:sz w:val="21"/>
                      <w:szCs w:val="21"/>
                      <w:highlight w:val="none"/>
                      <w:lang w:eastAsia="zh-CN"/>
                    </w:rPr>
                    <w:t>）</w:t>
                  </w:r>
                </w:p>
              </w:tc>
              <w:tc>
                <w:tcPr>
                  <w:tcW w:w="2413" w:type="pct"/>
                  <w:tcBorders>
                    <w:tl2br w:val="nil"/>
                    <w:tr2bl w:val="nil"/>
                  </w:tcBorders>
                  <w:vAlign w:val="center"/>
                </w:tcPr>
                <w:p w14:paraId="43D93389">
                  <w:pPr>
                    <w:pStyle w:val="46"/>
                    <w:jc w:val="center"/>
                    <w:rPr>
                      <w:color w:val="000000" w:themeColor="text1"/>
                      <w:kern w:val="0"/>
                      <w:sz w:val="21"/>
                      <w:szCs w:val="21"/>
                      <w:highlight w:val="none"/>
                    </w:rPr>
                  </w:pPr>
                  <w:r>
                    <w:rPr>
                      <w:color w:val="000000" w:themeColor="text1"/>
                      <w:kern w:val="0"/>
                      <w:sz w:val="21"/>
                      <w:szCs w:val="21"/>
                      <w:highlight w:val="none"/>
                    </w:rPr>
                    <w:t>声源控制措施</w:t>
                  </w:r>
                </w:p>
              </w:tc>
              <w:tc>
                <w:tcPr>
                  <w:tcW w:w="617" w:type="pct"/>
                  <w:tcBorders>
                    <w:tl2br w:val="nil"/>
                    <w:tr2bl w:val="nil"/>
                  </w:tcBorders>
                  <w:vAlign w:val="center"/>
                </w:tcPr>
                <w:p w14:paraId="50EAED8B">
                  <w:pPr>
                    <w:pStyle w:val="23"/>
                    <w:widowControl w:val="0"/>
                    <w:autoSpaceDE w:val="0"/>
                    <w:autoSpaceDN w:val="0"/>
                    <w:spacing w:before="0" w:beforeAutospacing="0" w:after="0" w:afterAutospacing="0"/>
                    <w:jc w:val="center"/>
                    <w:rPr>
                      <w:rFonts w:ascii="Times New Roman" w:hAnsi="Times New Roman"/>
                      <w:color w:val="000000" w:themeColor="text1"/>
                      <w:sz w:val="21"/>
                      <w:szCs w:val="21"/>
                      <w:highlight w:val="none"/>
                    </w:rPr>
                  </w:pPr>
                  <w:r>
                    <w:rPr>
                      <w:rFonts w:ascii="Times New Roman" w:hAnsi="Times New Roman"/>
                      <w:color w:val="000000" w:themeColor="text1"/>
                      <w:sz w:val="21"/>
                      <w:szCs w:val="21"/>
                      <w:highlight w:val="none"/>
                    </w:rPr>
                    <w:t>治理后源强dB</w:t>
                  </w:r>
                  <w:r>
                    <w:rPr>
                      <w:rFonts w:hint="eastAsia" w:ascii="Times New Roman" w:hAnsi="Times New Roman"/>
                      <w:color w:val="000000" w:themeColor="text1"/>
                      <w:sz w:val="21"/>
                      <w:szCs w:val="21"/>
                      <w:highlight w:val="none"/>
                    </w:rPr>
                    <w:t>（</w:t>
                  </w:r>
                  <w:r>
                    <w:rPr>
                      <w:rFonts w:ascii="Times New Roman" w:hAnsi="Times New Roman"/>
                      <w:color w:val="000000" w:themeColor="text1"/>
                      <w:sz w:val="21"/>
                      <w:szCs w:val="21"/>
                      <w:highlight w:val="none"/>
                    </w:rPr>
                    <w:t>A</w:t>
                  </w:r>
                  <w:r>
                    <w:rPr>
                      <w:rFonts w:hint="eastAsia" w:ascii="Times New Roman" w:hAnsi="Times New Roman"/>
                      <w:color w:val="000000" w:themeColor="text1"/>
                      <w:sz w:val="21"/>
                      <w:szCs w:val="21"/>
                      <w:highlight w:val="none"/>
                    </w:rPr>
                    <w:t>）</w:t>
                  </w:r>
                </w:p>
              </w:tc>
            </w:tr>
            <w:tr w14:paraId="5BA6DA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jc w:val="center"/>
              </w:trPr>
              <w:tc>
                <w:tcPr>
                  <w:tcW w:w="275" w:type="pct"/>
                  <w:tcBorders>
                    <w:tl2br w:val="nil"/>
                    <w:tr2bl w:val="nil"/>
                  </w:tcBorders>
                  <w:vAlign w:val="center"/>
                </w:tcPr>
                <w:p w14:paraId="65A59D9D">
                  <w:pPr>
                    <w:jc w:val="center"/>
                    <w:rPr>
                      <w:rFonts w:eastAsia="Times New Roman"/>
                      <w:color w:val="000000" w:themeColor="text1"/>
                      <w:kern w:val="0"/>
                      <w:szCs w:val="21"/>
                      <w:highlight w:val="none"/>
                    </w:rPr>
                  </w:pPr>
                  <w:r>
                    <w:rPr>
                      <w:rFonts w:eastAsia="Times New Roman"/>
                      <w:color w:val="000000" w:themeColor="text1"/>
                      <w:kern w:val="0"/>
                      <w:szCs w:val="21"/>
                      <w:highlight w:val="none"/>
                    </w:rPr>
                    <w:t>1</w:t>
                  </w:r>
                </w:p>
              </w:tc>
              <w:tc>
                <w:tcPr>
                  <w:tcW w:w="581" w:type="pct"/>
                  <w:gridSpan w:val="2"/>
                  <w:tcBorders>
                    <w:tl2br w:val="nil"/>
                    <w:tr2bl w:val="nil"/>
                  </w:tcBorders>
                  <w:vAlign w:val="center"/>
                </w:tcPr>
                <w:p w14:paraId="5D0A37B4">
                  <w:pPr>
                    <w:pStyle w:val="46"/>
                    <w:jc w:val="center"/>
                    <w:rPr>
                      <w:color w:val="000000" w:themeColor="text1"/>
                      <w:kern w:val="0"/>
                      <w:sz w:val="21"/>
                      <w:szCs w:val="21"/>
                      <w:highlight w:val="none"/>
                      <w:lang w:eastAsia="zh-CN"/>
                    </w:rPr>
                  </w:pPr>
                  <w:r>
                    <w:rPr>
                      <w:rFonts w:hint="eastAsia"/>
                      <w:color w:val="000000" w:themeColor="text1"/>
                      <w:kern w:val="0"/>
                      <w:sz w:val="21"/>
                      <w:szCs w:val="21"/>
                      <w:highlight w:val="none"/>
                      <w:lang w:eastAsia="zh-CN"/>
                    </w:rPr>
                    <w:t>主机区</w:t>
                  </w:r>
                </w:p>
              </w:tc>
              <w:tc>
                <w:tcPr>
                  <w:tcW w:w="573" w:type="pct"/>
                  <w:tcBorders>
                    <w:tl2br w:val="nil"/>
                    <w:tr2bl w:val="nil"/>
                  </w:tcBorders>
                  <w:vAlign w:val="center"/>
                </w:tcPr>
                <w:p w14:paraId="04D2838A">
                  <w:pPr>
                    <w:pStyle w:val="46"/>
                    <w:jc w:val="center"/>
                    <w:rPr>
                      <w:color w:val="000000" w:themeColor="text1"/>
                      <w:kern w:val="0"/>
                      <w:sz w:val="21"/>
                      <w:szCs w:val="21"/>
                      <w:highlight w:val="none"/>
                      <w:lang w:eastAsia="zh-CN"/>
                    </w:rPr>
                  </w:pPr>
                  <w:r>
                    <w:rPr>
                      <w:rFonts w:ascii="Times New Roman" w:hAnsi="Times New Roman" w:cs="Times New Roman"/>
                      <w:color w:val="000000" w:themeColor="text1"/>
                      <w:kern w:val="0"/>
                      <w:sz w:val="21"/>
                      <w:szCs w:val="21"/>
                      <w:highlight w:val="none"/>
                      <w:lang w:eastAsia="zh-CN"/>
                    </w:rPr>
                    <w:t>旋轴流主通风机2台</w:t>
                  </w:r>
                  <w:r>
                    <w:rPr>
                      <w:rFonts w:hint="eastAsia" w:ascii="Times New Roman" w:hAnsi="Times New Roman" w:cs="Times New Roman"/>
                      <w:color w:val="000000" w:themeColor="text1"/>
                      <w:kern w:val="0"/>
                      <w:sz w:val="21"/>
                      <w:szCs w:val="21"/>
                      <w:highlight w:val="none"/>
                      <w:lang w:eastAsia="zh-CN"/>
                    </w:rPr>
                    <w:t>（1备1用）</w:t>
                  </w:r>
                </w:p>
              </w:tc>
              <w:tc>
                <w:tcPr>
                  <w:tcW w:w="538" w:type="pct"/>
                  <w:tcBorders>
                    <w:tl2br w:val="nil"/>
                    <w:tr2bl w:val="nil"/>
                  </w:tcBorders>
                  <w:vAlign w:val="center"/>
                </w:tcPr>
                <w:p w14:paraId="08C5E5F8">
                  <w:pPr>
                    <w:jc w:val="center"/>
                    <w:rPr>
                      <w:color w:val="000000" w:themeColor="text1"/>
                      <w:kern w:val="0"/>
                      <w:szCs w:val="21"/>
                      <w:highlight w:val="none"/>
                    </w:rPr>
                  </w:pPr>
                  <w:r>
                    <w:rPr>
                      <w:rFonts w:hint="eastAsia"/>
                      <w:color w:val="000000" w:themeColor="text1"/>
                      <w:sz w:val="20"/>
                      <w:szCs w:val="20"/>
                      <w:highlight w:val="none"/>
                    </w:rPr>
                    <w:t>90</w:t>
                  </w:r>
                </w:p>
              </w:tc>
              <w:tc>
                <w:tcPr>
                  <w:tcW w:w="2413" w:type="pct"/>
                  <w:tcBorders>
                    <w:tl2br w:val="nil"/>
                    <w:tr2bl w:val="nil"/>
                  </w:tcBorders>
                  <w:vAlign w:val="center"/>
                </w:tcPr>
                <w:p w14:paraId="1D3739F8">
                  <w:pPr>
                    <w:pStyle w:val="46"/>
                    <w:jc w:val="center"/>
                    <w:rPr>
                      <w:color w:val="000000" w:themeColor="text1"/>
                      <w:kern w:val="0"/>
                      <w:sz w:val="21"/>
                      <w:szCs w:val="21"/>
                      <w:highlight w:val="none"/>
                      <w:lang w:eastAsia="zh-CN"/>
                    </w:rPr>
                  </w:pPr>
                  <w:r>
                    <w:rPr>
                      <w:color w:val="000000" w:themeColor="text1"/>
                      <w:kern w:val="0"/>
                      <w:sz w:val="21"/>
                      <w:szCs w:val="21"/>
                      <w:highlight w:val="none"/>
                      <w:lang w:eastAsia="zh-CN"/>
                    </w:rPr>
                    <w:t>选用低噪声设备，通风机进、出气口安装消声器，通风机</w:t>
                  </w:r>
                  <w:r>
                    <w:rPr>
                      <w:rFonts w:hint="eastAsia"/>
                      <w:color w:val="000000" w:themeColor="text1"/>
                      <w:kern w:val="0"/>
                      <w:sz w:val="21"/>
                      <w:szCs w:val="21"/>
                      <w:highlight w:val="none"/>
                      <w:lang w:eastAsia="zh-CN"/>
                    </w:rPr>
                    <w:t>设置隔声罩</w:t>
                  </w:r>
                  <w:r>
                    <w:rPr>
                      <w:color w:val="000000" w:themeColor="text1"/>
                      <w:kern w:val="0"/>
                      <w:sz w:val="21"/>
                      <w:szCs w:val="21"/>
                      <w:highlight w:val="none"/>
                      <w:lang w:eastAsia="zh-CN"/>
                    </w:rPr>
                    <w:t>。通风机机座进行隔震处理。北部风井场地通风机出气口设置有取热装置，对噪声扩散有一定阻挡作用。</w:t>
                  </w:r>
                </w:p>
              </w:tc>
              <w:tc>
                <w:tcPr>
                  <w:tcW w:w="617" w:type="pct"/>
                  <w:tcBorders>
                    <w:tl2br w:val="nil"/>
                    <w:tr2bl w:val="nil"/>
                  </w:tcBorders>
                  <w:vAlign w:val="center"/>
                </w:tcPr>
                <w:p w14:paraId="79B2595A">
                  <w:pPr>
                    <w:pStyle w:val="61"/>
                    <w:autoSpaceDE w:val="0"/>
                    <w:autoSpaceDN w:val="0"/>
                    <w:rPr>
                      <w:rFonts w:ascii="Times New Roman" w:hAnsi="Times New Roman" w:cs="Times New Roman"/>
                      <w:color w:val="000000" w:themeColor="text1"/>
                      <w:szCs w:val="21"/>
                      <w:highlight w:val="none"/>
                      <w:lang w:val="en-US"/>
                    </w:rPr>
                  </w:pPr>
                  <w:r>
                    <w:rPr>
                      <w:rFonts w:hint="eastAsia" w:ascii="Times New Roman" w:hAnsi="Times New Roman" w:cs="Times New Roman"/>
                      <w:color w:val="000000" w:themeColor="text1"/>
                      <w:szCs w:val="21"/>
                      <w:highlight w:val="none"/>
                      <w:lang w:val="en-US"/>
                    </w:rPr>
                    <w:t>70</w:t>
                  </w:r>
                </w:p>
              </w:tc>
            </w:tr>
            <w:tr w14:paraId="3B9AB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jc w:val="center"/>
              </w:trPr>
              <w:tc>
                <w:tcPr>
                  <w:tcW w:w="275" w:type="pct"/>
                  <w:vMerge w:val="restart"/>
                  <w:tcBorders>
                    <w:tl2br w:val="nil"/>
                    <w:tr2bl w:val="nil"/>
                  </w:tcBorders>
                  <w:vAlign w:val="center"/>
                </w:tcPr>
                <w:p w14:paraId="5AE8F02B">
                  <w:pPr>
                    <w:jc w:val="center"/>
                    <w:rPr>
                      <w:rFonts w:eastAsia="Times New Roman"/>
                      <w:color w:val="000000" w:themeColor="text1"/>
                      <w:kern w:val="0"/>
                      <w:szCs w:val="21"/>
                      <w:highlight w:val="none"/>
                    </w:rPr>
                  </w:pPr>
                  <w:r>
                    <w:rPr>
                      <w:rFonts w:eastAsia="Times New Roman"/>
                      <w:color w:val="000000" w:themeColor="text1"/>
                      <w:kern w:val="0"/>
                      <w:szCs w:val="21"/>
                      <w:highlight w:val="none"/>
                    </w:rPr>
                    <w:t>2</w:t>
                  </w:r>
                </w:p>
              </w:tc>
              <w:tc>
                <w:tcPr>
                  <w:tcW w:w="185" w:type="pct"/>
                  <w:vMerge w:val="restart"/>
                  <w:tcBorders>
                    <w:tl2br w:val="nil"/>
                    <w:tr2bl w:val="nil"/>
                  </w:tcBorders>
                  <w:vAlign w:val="center"/>
                </w:tcPr>
                <w:p w14:paraId="1776F059">
                  <w:pPr>
                    <w:pStyle w:val="46"/>
                    <w:jc w:val="center"/>
                    <w:rPr>
                      <w:color w:val="000000" w:themeColor="text1"/>
                      <w:kern w:val="0"/>
                      <w:sz w:val="21"/>
                      <w:szCs w:val="21"/>
                      <w:highlight w:val="none"/>
                      <w:lang w:eastAsia="zh-CN"/>
                    </w:rPr>
                  </w:pPr>
                  <w:r>
                    <w:rPr>
                      <w:rFonts w:hint="eastAsia"/>
                      <w:color w:val="000000" w:themeColor="text1"/>
                      <w:kern w:val="0"/>
                      <w:sz w:val="21"/>
                      <w:szCs w:val="21"/>
                      <w:highlight w:val="none"/>
                      <w:lang w:eastAsia="zh-CN"/>
                    </w:rPr>
                    <w:t>变电所</w:t>
                  </w:r>
                </w:p>
              </w:tc>
              <w:tc>
                <w:tcPr>
                  <w:tcW w:w="395" w:type="pct"/>
                  <w:tcBorders>
                    <w:tl2br w:val="nil"/>
                    <w:tr2bl w:val="nil"/>
                  </w:tcBorders>
                  <w:vAlign w:val="center"/>
                </w:tcPr>
                <w:p w14:paraId="0143B888">
                  <w:pPr>
                    <w:pStyle w:val="46"/>
                    <w:jc w:val="center"/>
                    <w:rPr>
                      <w:rFonts w:ascii="Times New Roman" w:hAnsi="Times New Roman" w:cs="Times New Roman"/>
                      <w:color w:val="000000" w:themeColor="text1"/>
                      <w:kern w:val="0"/>
                      <w:sz w:val="21"/>
                      <w:szCs w:val="21"/>
                      <w:highlight w:val="none"/>
                      <w:lang w:eastAsia="zh-CN"/>
                    </w:rPr>
                  </w:pPr>
                  <w:r>
                    <w:rPr>
                      <w:rFonts w:ascii="Times New Roman" w:hAnsi="Times New Roman" w:cs="Times New Roman"/>
                      <w:color w:val="000000" w:themeColor="text1"/>
                      <w:kern w:val="0"/>
                      <w:sz w:val="21"/>
                      <w:szCs w:val="21"/>
                      <w:highlight w:val="none"/>
                      <w:lang w:eastAsia="zh-CN"/>
                    </w:rPr>
                    <w:t>10KV配电室</w:t>
                  </w:r>
                </w:p>
              </w:tc>
              <w:tc>
                <w:tcPr>
                  <w:tcW w:w="573" w:type="pct"/>
                  <w:tcBorders>
                    <w:tl2br w:val="nil"/>
                    <w:tr2bl w:val="nil"/>
                  </w:tcBorders>
                  <w:vAlign w:val="center"/>
                </w:tcPr>
                <w:p w14:paraId="76137F3E">
                  <w:pPr>
                    <w:pStyle w:val="46"/>
                    <w:jc w:val="center"/>
                    <w:rPr>
                      <w:rFonts w:ascii="Times New Roman" w:hAnsi="Times New Roman" w:cs="Times New Roman"/>
                      <w:color w:val="000000" w:themeColor="text1"/>
                      <w:kern w:val="0"/>
                      <w:sz w:val="21"/>
                      <w:szCs w:val="21"/>
                      <w:highlight w:val="none"/>
                      <w:lang w:eastAsia="zh-CN"/>
                    </w:rPr>
                  </w:pPr>
                  <w:r>
                    <w:rPr>
                      <w:rFonts w:hint="eastAsia"/>
                      <w:color w:val="000000" w:themeColor="text1"/>
                      <w:kern w:val="0"/>
                      <w:sz w:val="21"/>
                      <w:szCs w:val="21"/>
                      <w:highlight w:val="none"/>
                      <w:lang w:eastAsia="zh-CN"/>
                    </w:rPr>
                    <w:t>变压器</w:t>
                  </w:r>
                  <w:r>
                    <w:rPr>
                      <w:rFonts w:hint="eastAsia" w:ascii="Times New Roman" w:hAnsi="Times New Roman" w:cs="Times New Roman"/>
                      <w:color w:val="000000" w:themeColor="text1"/>
                      <w:kern w:val="0"/>
                      <w:sz w:val="21"/>
                      <w:szCs w:val="21"/>
                      <w:highlight w:val="none"/>
                      <w:lang w:eastAsia="zh-CN"/>
                    </w:rPr>
                    <w:t>2台（1备1用）</w:t>
                  </w:r>
                </w:p>
              </w:tc>
              <w:tc>
                <w:tcPr>
                  <w:tcW w:w="538" w:type="pct"/>
                  <w:tcBorders>
                    <w:tl2br w:val="nil"/>
                    <w:tr2bl w:val="nil"/>
                  </w:tcBorders>
                  <w:vAlign w:val="center"/>
                </w:tcPr>
                <w:p w14:paraId="3C0C1BBE">
                  <w:pPr>
                    <w:jc w:val="center"/>
                    <w:rPr>
                      <w:rFonts w:eastAsia="Times New Roman"/>
                      <w:color w:val="000000" w:themeColor="text1"/>
                      <w:kern w:val="0"/>
                      <w:szCs w:val="21"/>
                      <w:highlight w:val="none"/>
                    </w:rPr>
                  </w:pPr>
                  <w:r>
                    <w:rPr>
                      <w:rFonts w:eastAsia="Times New Roman"/>
                      <w:color w:val="000000" w:themeColor="text1"/>
                      <w:spacing w:val="-2"/>
                      <w:sz w:val="20"/>
                      <w:szCs w:val="20"/>
                      <w:highlight w:val="none"/>
                    </w:rPr>
                    <w:t>85</w:t>
                  </w:r>
                </w:p>
              </w:tc>
              <w:tc>
                <w:tcPr>
                  <w:tcW w:w="2413" w:type="pct"/>
                  <w:tcBorders>
                    <w:tl2br w:val="nil"/>
                    <w:tr2bl w:val="nil"/>
                  </w:tcBorders>
                  <w:vAlign w:val="center"/>
                </w:tcPr>
                <w:p w14:paraId="0BFBFF72">
                  <w:pPr>
                    <w:pStyle w:val="46"/>
                    <w:jc w:val="center"/>
                    <w:rPr>
                      <w:color w:val="000000" w:themeColor="text1"/>
                      <w:kern w:val="0"/>
                      <w:sz w:val="21"/>
                      <w:szCs w:val="21"/>
                      <w:highlight w:val="none"/>
                      <w:lang w:eastAsia="zh-CN"/>
                    </w:rPr>
                  </w:pPr>
                  <w:r>
                    <w:rPr>
                      <w:color w:val="000000" w:themeColor="text1"/>
                      <w:kern w:val="0"/>
                      <w:sz w:val="21"/>
                      <w:szCs w:val="21"/>
                      <w:highlight w:val="none"/>
                      <w:lang w:eastAsia="zh-CN"/>
                    </w:rPr>
                    <w:t>空压机进气口安装消声器；空压机机体加装隔声罩；在压风机房内设置隔声间。</w:t>
                  </w:r>
                </w:p>
              </w:tc>
              <w:tc>
                <w:tcPr>
                  <w:tcW w:w="617" w:type="pct"/>
                  <w:tcBorders>
                    <w:tl2br w:val="nil"/>
                    <w:tr2bl w:val="nil"/>
                  </w:tcBorders>
                  <w:vAlign w:val="center"/>
                </w:tcPr>
                <w:p w14:paraId="16C9DE99">
                  <w:pPr>
                    <w:pStyle w:val="61"/>
                    <w:autoSpaceDE w:val="0"/>
                    <w:autoSpaceDN w:val="0"/>
                    <w:rPr>
                      <w:rFonts w:ascii="Times New Roman" w:hAnsi="Times New Roman" w:cs="Times New Roman"/>
                      <w:color w:val="000000" w:themeColor="text1"/>
                      <w:szCs w:val="21"/>
                      <w:highlight w:val="none"/>
                      <w:lang w:val="en-US"/>
                    </w:rPr>
                  </w:pPr>
                  <w:r>
                    <w:rPr>
                      <w:rFonts w:hint="eastAsia" w:ascii="Times New Roman" w:hAnsi="Times New Roman" w:cs="Times New Roman"/>
                      <w:color w:val="000000" w:themeColor="text1"/>
                      <w:szCs w:val="21"/>
                      <w:highlight w:val="none"/>
                      <w:lang w:val="en-US"/>
                    </w:rPr>
                    <w:t>65</w:t>
                  </w:r>
                </w:p>
              </w:tc>
            </w:tr>
            <w:tr w14:paraId="0BCB1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jc w:val="center"/>
              </w:trPr>
              <w:tc>
                <w:tcPr>
                  <w:tcW w:w="275" w:type="pct"/>
                  <w:vMerge w:val="continue"/>
                  <w:tcBorders>
                    <w:tl2br w:val="nil"/>
                    <w:tr2bl w:val="nil"/>
                  </w:tcBorders>
                  <w:vAlign w:val="center"/>
                </w:tcPr>
                <w:p w14:paraId="051DDCE2">
                  <w:pPr>
                    <w:jc w:val="center"/>
                    <w:rPr>
                      <w:rFonts w:eastAsia="Times New Roman"/>
                      <w:color w:val="000000" w:themeColor="text1"/>
                      <w:kern w:val="0"/>
                      <w:szCs w:val="21"/>
                      <w:highlight w:val="none"/>
                    </w:rPr>
                  </w:pPr>
                </w:p>
              </w:tc>
              <w:tc>
                <w:tcPr>
                  <w:tcW w:w="185" w:type="pct"/>
                  <w:vMerge w:val="continue"/>
                  <w:tcBorders>
                    <w:tl2br w:val="nil"/>
                    <w:tr2bl w:val="nil"/>
                  </w:tcBorders>
                  <w:vAlign w:val="center"/>
                </w:tcPr>
                <w:p w14:paraId="7229865D">
                  <w:pPr>
                    <w:pStyle w:val="46"/>
                    <w:jc w:val="center"/>
                    <w:rPr>
                      <w:color w:val="000000" w:themeColor="text1"/>
                      <w:kern w:val="0"/>
                      <w:sz w:val="21"/>
                      <w:szCs w:val="21"/>
                      <w:highlight w:val="none"/>
                      <w:lang w:eastAsia="zh-CN"/>
                    </w:rPr>
                  </w:pPr>
                </w:p>
              </w:tc>
              <w:tc>
                <w:tcPr>
                  <w:tcW w:w="395" w:type="pct"/>
                  <w:tcBorders>
                    <w:tl2br w:val="nil"/>
                    <w:tr2bl w:val="nil"/>
                  </w:tcBorders>
                  <w:vAlign w:val="center"/>
                </w:tcPr>
                <w:p w14:paraId="4423AE65">
                  <w:pPr>
                    <w:pStyle w:val="46"/>
                    <w:jc w:val="center"/>
                    <w:rPr>
                      <w:rFonts w:ascii="Times New Roman" w:hAnsi="Times New Roman" w:cs="Times New Roman"/>
                      <w:color w:val="000000" w:themeColor="text1"/>
                      <w:kern w:val="0"/>
                      <w:sz w:val="21"/>
                      <w:szCs w:val="21"/>
                      <w:highlight w:val="none"/>
                      <w:lang w:eastAsia="zh-CN"/>
                    </w:rPr>
                  </w:pPr>
                  <w:r>
                    <w:rPr>
                      <w:rFonts w:ascii="Times New Roman" w:hAnsi="Times New Roman" w:cs="Times New Roman"/>
                      <w:color w:val="000000" w:themeColor="text1"/>
                      <w:kern w:val="0"/>
                      <w:sz w:val="21"/>
                      <w:szCs w:val="21"/>
                      <w:highlight w:val="none"/>
                      <w:lang w:eastAsia="zh-CN"/>
                    </w:rPr>
                    <w:t>10KV变配电室</w:t>
                  </w:r>
                </w:p>
              </w:tc>
              <w:tc>
                <w:tcPr>
                  <w:tcW w:w="573" w:type="pct"/>
                  <w:tcBorders>
                    <w:tl2br w:val="nil"/>
                    <w:tr2bl w:val="nil"/>
                  </w:tcBorders>
                  <w:vAlign w:val="center"/>
                </w:tcPr>
                <w:p w14:paraId="59EAEF31">
                  <w:pPr>
                    <w:pStyle w:val="46"/>
                    <w:jc w:val="center"/>
                    <w:rPr>
                      <w:color w:val="000000" w:themeColor="text1"/>
                      <w:kern w:val="0"/>
                      <w:sz w:val="21"/>
                      <w:szCs w:val="21"/>
                      <w:highlight w:val="none"/>
                    </w:rPr>
                  </w:pPr>
                  <w:r>
                    <w:rPr>
                      <w:rFonts w:hint="eastAsia"/>
                      <w:color w:val="000000" w:themeColor="text1"/>
                      <w:kern w:val="0"/>
                      <w:sz w:val="21"/>
                      <w:szCs w:val="21"/>
                      <w:highlight w:val="none"/>
                      <w:lang w:eastAsia="zh-CN"/>
                    </w:rPr>
                    <w:t>变压器</w:t>
                  </w:r>
                  <w:r>
                    <w:rPr>
                      <w:rFonts w:hint="eastAsia" w:ascii="Times New Roman" w:hAnsi="Times New Roman" w:cs="Times New Roman"/>
                      <w:color w:val="000000" w:themeColor="text1"/>
                      <w:kern w:val="0"/>
                      <w:sz w:val="21"/>
                      <w:szCs w:val="21"/>
                      <w:highlight w:val="none"/>
                      <w:lang w:eastAsia="zh-CN"/>
                    </w:rPr>
                    <w:t>2台（1备1用）</w:t>
                  </w:r>
                </w:p>
              </w:tc>
              <w:tc>
                <w:tcPr>
                  <w:tcW w:w="538" w:type="pct"/>
                  <w:tcBorders>
                    <w:tl2br w:val="nil"/>
                    <w:tr2bl w:val="nil"/>
                  </w:tcBorders>
                  <w:vAlign w:val="center"/>
                </w:tcPr>
                <w:p w14:paraId="46421D30">
                  <w:pPr>
                    <w:jc w:val="center"/>
                    <w:rPr>
                      <w:rFonts w:eastAsia="Times New Roman"/>
                      <w:color w:val="000000" w:themeColor="text1"/>
                      <w:spacing w:val="-2"/>
                      <w:sz w:val="20"/>
                      <w:szCs w:val="20"/>
                      <w:highlight w:val="none"/>
                    </w:rPr>
                  </w:pPr>
                  <w:r>
                    <w:rPr>
                      <w:rFonts w:eastAsia="Times New Roman"/>
                      <w:color w:val="000000" w:themeColor="text1"/>
                      <w:spacing w:val="-2"/>
                      <w:sz w:val="20"/>
                      <w:szCs w:val="20"/>
                      <w:highlight w:val="none"/>
                    </w:rPr>
                    <w:t>85</w:t>
                  </w:r>
                </w:p>
              </w:tc>
              <w:tc>
                <w:tcPr>
                  <w:tcW w:w="2413" w:type="pct"/>
                  <w:tcBorders>
                    <w:tl2br w:val="nil"/>
                    <w:tr2bl w:val="nil"/>
                  </w:tcBorders>
                  <w:vAlign w:val="center"/>
                </w:tcPr>
                <w:p w14:paraId="52F89574">
                  <w:pPr>
                    <w:pStyle w:val="46"/>
                    <w:jc w:val="center"/>
                    <w:rPr>
                      <w:color w:val="000000" w:themeColor="text1"/>
                      <w:kern w:val="0"/>
                      <w:sz w:val="21"/>
                      <w:szCs w:val="21"/>
                      <w:highlight w:val="none"/>
                      <w:lang w:eastAsia="zh-CN"/>
                    </w:rPr>
                  </w:pPr>
                  <w:r>
                    <w:rPr>
                      <w:color w:val="000000" w:themeColor="text1"/>
                      <w:kern w:val="0"/>
                      <w:sz w:val="21"/>
                      <w:szCs w:val="21"/>
                      <w:highlight w:val="none"/>
                      <w:lang w:eastAsia="zh-CN"/>
                    </w:rPr>
                    <w:t>选用低噪声设备，机座进行</w:t>
                  </w:r>
                  <w:r>
                    <w:rPr>
                      <w:rFonts w:hint="eastAsia"/>
                      <w:color w:val="000000" w:themeColor="text1"/>
                      <w:kern w:val="0"/>
                      <w:sz w:val="21"/>
                      <w:szCs w:val="21"/>
                      <w:highlight w:val="none"/>
                      <w:lang w:eastAsia="zh-CN"/>
                    </w:rPr>
                    <w:t>减振</w:t>
                  </w:r>
                  <w:r>
                    <w:rPr>
                      <w:color w:val="000000" w:themeColor="text1"/>
                      <w:kern w:val="0"/>
                      <w:sz w:val="21"/>
                      <w:szCs w:val="21"/>
                      <w:highlight w:val="none"/>
                      <w:lang w:eastAsia="zh-CN"/>
                    </w:rPr>
                    <w:t>处理</w:t>
                  </w:r>
                  <w:r>
                    <w:rPr>
                      <w:rFonts w:hint="eastAsia"/>
                      <w:color w:val="000000" w:themeColor="text1"/>
                      <w:kern w:val="0"/>
                      <w:sz w:val="21"/>
                      <w:szCs w:val="21"/>
                      <w:highlight w:val="none"/>
                      <w:lang w:eastAsia="zh-CN"/>
                    </w:rPr>
                    <w:t>，并进行厂房隔声</w:t>
                  </w:r>
                </w:p>
              </w:tc>
              <w:tc>
                <w:tcPr>
                  <w:tcW w:w="617" w:type="pct"/>
                  <w:tcBorders>
                    <w:tl2br w:val="nil"/>
                    <w:tr2bl w:val="nil"/>
                  </w:tcBorders>
                  <w:vAlign w:val="center"/>
                </w:tcPr>
                <w:p w14:paraId="6BEE0772">
                  <w:pPr>
                    <w:pStyle w:val="61"/>
                    <w:autoSpaceDE w:val="0"/>
                    <w:autoSpaceDN w:val="0"/>
                    <w:rPr>
                      <w:rFonts w:ascii="Times New Roman" w:hAnsi="Times New Roman" w:cs="Times New Roman"/>
                      <w:color w:val="000000" w:themeColor="text1"/>
                      <w:szCs w:val="21"/>
                      <w:highlight w:val="none"/>
                      <w:lang w:val="en-US"/>
                    </w:rPr>
                  </w:pPr>
                  <w:r>
                    <w:rPr>
                      <w:rFonts w:hint="eastAsia" w:ascii="Times New Roman" w:hAnsi="Times New Roman" w:cs="Times New Roman"/>
                      <w:color w:val="000000" w:themeColor="text1"/>
                      <w:szCs w:val="21"/>
                      <w:highlight w:val="none"/>
                      <w:lang w:val="en-US"/>
                    </w:rPr>
                    <w:t>65</w:t>
                  </w:r>
                </w:p>
              </w:tc>
            </w:tr>
          </w:tbl>
          <w:p w14:paraId="08FA7598">
            <w:pPr>
              <w:spacing w:line="360" w:lineRule="auto"/>
              <w:ind w:firstLine="480" w:firstLineChars="200"/>
              <w:rPr>
                <w:color w:val="000000" w:themeColor="text1"/>
                <w:sz w:val="24"/>
                <w:highlight w:val="none"/>
              </w:rPr>
            </w:pPr>
            <w:r>
              <w:rPr>
                <w:rFonts w:hint="eastAsia"/>
                <w:color w:val="000000" w:themeColor="text1"/>
                <w:sz w:val="24"/>
                <w:highlight w:val="none"/>
              </w:rPr>
              <w:t>设备运行时产生的噪声声压级在85</w:t>
            </w:r>
            <w:r>
              <w:rPr>
                <w:color w:val="000000" w:themeColor="text1"/>
                <w:sz w:val="24"/>
                <w:highlight w:val="none"/>
              </w:rPr>
              <w:t>～</w:t>
            </w:r>
            <w:r>
              <w:rPr>
                <w:rFonts w:hint="eastAsia"/>
                <w:color w:val="000000" w:themeColor="text1"/>
                <w:sz w:val="24"/>
                <w:highlight w:val="none"/>
              </w:rPr>
              <w:t>90dB（A）之间，噪声采取</w:t>
            </w:r>
            <w:r>
              <w:rPr>
                <w:color w:val="000000" w:themeColor="text1"/>
                <w:sz w:val="24"/>
                <w:highlight w:val="none"/>
              </w:rPr>
              <w:t>低噪声设备，安装消声器，</w:t>
            </w:r>
            <w:r>
              <w:rPr>
                <w:rFonts w:hint="eastAsia"/>
                <w:color w:val="000000" w:themeColor="text1"/>
                <w:sz w:val="24"/>
                <w:highlight w:val="none"/>
              </w:rPr>
              <w:t>设置隔声罩，</w:t>
            </w:r>
            <w:r>
              <w:rPr>
                <w:color w:val="000000" w:themeColor="text1"/>
                <w:sz w:val="24"/>
                <w:highlight w:val="none"/>
              </w:rPr>
              <w:t>基础减振、</w:t>
            </w:r>
            <w:r>
              <w:rPr>
                <w:rFonts w:hint="eastAsia"/>
                <w:color w:val="000000" w:themeColor="text1"/>
                <w:sz w:val="24"/>
                <w:highlight w:val="none"/>
              </w:rPr>
              <w:t>厂房隔声等措施，本项目噪声源74.13dB（A）考虑，按照《环境影响评价技术导则 声环境》（HJ2.4-2021）的要求，计算项目对厂界的贡献值。</w:t>
            </w:r>
          </w:p>
          <w:p w14:paraId="0D5CB844">
            <w:pPr>
              <w:spacing w:line="360" w:lineRule="auto"/>
              <w:ind w:firstLine="480" w:firstLineChars="200"/>
              <w:rPr>
                <w:color w:val="000000" w:themeColor="text1"/>
                <w:sz w:val="24"/>
                <w:highlight w:val="none"/>
              </w:rPr>
            </w:pPr>
            <w:r>
              <w:rPr>
                <w:color w:val="000000" w:themeColor="text1"/>
                <w:sz w:val="24"/>
                <w:highlight w:val="none"/>
              </w:rPr>
              <w:t>本项目噪声</w:t>
            </w:r>
            <w:r>
              <w:rPr>
                <w:rFonts w:hint="eastAsia"/>
                <w:color w:val="000000" w:themeColor="text1"/>
                <w:sz w:val="24"/>
                <w:highlight w:val="none"/>
              </w:rPr>
              <w:t>贡献值计算公式为</w:t>
            </w:r>
            <w:r>
              <w:rPr>
                <w:color w:val="000000" w:themeColor="text1"/>
                <w:sz w:val="24"/>
                <w:highlight w:val="none"/>
              </w:rPr>
              <w:t>：</w:t>
            </w:r>
          </w:p>
          <w:p w14:paraId="77FD5571">
            <w:pPr>
              <w:spacing w:line="360" w:lineRule="auto"/>
              <w:jc w:val="center"/>
              <w:rPr>
                <w:b/>
                <w:bCs/>
                <w:color w:val="000000" w:themeColor="text1"/>
                <w:sz w:val="24"/>
                <w:highlight w:val="none"/>
              </w:rPr>
            </w:pPr>
            <w:r>
              <w:rPr>
                <w:rFonts w:hint="eastAsia"/>
                <w:b/>
                <w:bCs/>
                <w:color w:val="000000" w:themeColor="text1"/>
                <w:position w:val="-30"/>
                <w:sz w:val="24"/>
                <w:highlight w:val="none"/>
              </w:rPr>
              <w:object>
                <v:shape id="_x0000_i1025" o:spt="75" type="#_x0000_t75" style="height:36pt;width:129.05pt;" o:ole="t" filled="f" o:preferrelative="t" stroked="f" coordsize="21600,21600">
                  <v:path/>
                  <v:fill on="f" focussize="0,0"/>
                  <v:stroke on="f" joinstyle="miter"/>
                  <v:imagedata r:id="rId19" o:title=""/>
                  <o:lock v:ext="edit" aspectratio="t"/>
                  <w10:wrap type="none"/>
                  <w10:anchorlock/>
                </v:shape>
                <o:OLEObject Type="Embed" ProgID="Equation.KSEE3" ShapeID="_x0000_i1025" DrawAspect="Content" ObjectID="_1468075725" r:id="rId18">
                  <o:LockedField>false</o:LockedField>
                </o:OLEObject>
              </w:object>
            </w:r>
          </w:p>
          <w:p w14:paraId="7F7EC5A9">
            <w:pPr>
              <w:spacing w:line="360" w:lineRule="auto"/>
              <w:ind w:firstLine="480" w:firstLineChars="200"/>
              <w:rPr>
                <w:color w:val="000000" w:themeColor="text1"/>
                <w:sz w:val="24"/>
                <w:highlight w:val="none"/>
              </w:rPr>
            </w:pPr>
            <w:r>
              <w:rPr>
                <w:color w:val="000000" w:themeColor="text1"/>
                <w:sz w:val="24"/>
                <w:highlight w:val="none"/>
              </w:rPr>
              <w:t>式中：</w:t>
            </w:r>
            <w:r>
              <w:rPr>
                <w:color w:val="000000" w:themeColor="text1"/>
                <w:sz w:val="24"/>
                <w:highlight w:val="none"/>
              </w:rPr>
              <w:drawing>
                <wp:inline distT="0" distB="0" distL="114300" distR="114300">
                  <wp:extent cx="257175" cy="238125"/>
                  <wp:effectExtent l="0" t="0" r="1905" b="4445"/>
                  <wp:docPr id="1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4"/>
                          <pic:cNvPicPr>
                            <a:picLocks noChangeAspect="1"/>
                          </pic:cNvPicPr>
                        </pic:nvPicPr>
                        <pic:blipFill>
                          <a:blip r:embed="rId20" cstate="print"/>
                          <a:stretch>
                            <a:fillRect/>
                          </a:stretch>
                        </pic:blipFill>
                        <pic:spPr>
                          <a:xfrm>
                            <a:off x="0" y="0"/>
                            <a:ext cx="257175" cy="238125"/>
                          </a:xfrm>
                          <a:prstGeom prst="rect">
                            <a:avLst/>
                          </a:prstGeom>
                          <a:noFill/>
                          <a:ln>
                            <a:noFill/>
                          </a:ln>
                        </pic:spPr>
                      </pic:pic>
                    </a:graphicData>
                  </a:graphic>
                </wp:inline>
              </w:drawing>
            </w:r>
            <w:r>
              <w:rPr>
                <w:rFonts w:hint="eastAsia"/>
                <w:color w:val="000000" w:themeColor="text1"/>
                <w:sz w:val="24"/>
                <w:highlight w:val="none"/>
              </w:rPr>
              <w:t>-噪声贡献值，dB；</w:t>
            </w:r>
          </w:p>
          <w:p w14:paraId="345E6F39">
            <w:pPr>
              <w:spacing w:line="360" w:lineRule="auto"/>
              <w:ind w:firstLine="1200" w:firstLineChars="500"/>
              <w:rPr>
                <w:color w:val="000000" w:themeColor="text1"/>
                <w:sz w:val="24"/>
                <w:highlight w:val="none"/>
              </w:rPr>
            </w:pPr>
            <w:r>
              <w:rPr>
                <w:rFonts w:hint="eastAsia"/>
                <w:i/>
                <w:iCs/>
                <w:color w:val="000000" w:themeColor="text1"/>
                <w:sz w:val="24"/>
                <w:highlight w:val="none"/>
              </w:rPr>
              <w:t>T-</w:t>
            </w:r>
            <w:r>
              <w:rPr>
                <w:rFonts w:hint="eastAsia"/>
                <w:color w:val="000000" w:themeColor="text1"/>
                <w:sz w:val="24"/>
                <w:highlight w:val="none"/>
              </w:rPr>
              <w:t>预测计算的时间段，s</w:t>
            </w:r>
            <w:r>
              <w:rPr>
                <w:color w:val="000000" w:themeColor="text1"/>
                <w:sz w:val="24"/>
                <w:highlight w:val="none"/>
              </w:rPr>
              <w:t>；</w:t>
            </w:r>
          </w:p>
          <w:p w14:paraId="5169A11F">
            <w:pPr>
              <w:spacing w:line="360" w:lineRule="auto"/>
              <w:ind w:firstLine="1200" w:firstLineChars="500"/>
              <w:rPr>
                <w:color w:val="000000" w:themeColor="text1"/>
                <w:sz w:val="24"/>
                <w:highlight w:val="none"/>
              </w:rPr>
            </w:pPr>
            <w:r>
              <w:rPr>
                <w:rFonts w:hint="eastAsia"/>
                <w:i/>
                <w:iCs/>
                <w:color w:val="000000" w:themeColor="text1"/>
                <w:sz w:val="24"/>
                <w:highlight w:val="none"/>
              </w:rPr>
              <w:t>t</w:t>
            </w:r>
            <w:r>
              <w:rPr>
                <w:rFonts w:hint="eastAsia"/>
                <w:i/>
                <w:iCs/>
                <w:color w:val="000000" w:themeColor="text1"/>
                <w:sz w:val="24"/>
                <w:highlight w:val="none"/>
                <w:vertAlign w:val="subscript"/>
              </w:rPr>
              <w:t>i</w:t>
            </w:r>
            <w:r>
              <w:rPr>
                <w:rFonts w:hint="eastAsia"/>
                <w:i/>
                <w:iCs/>
                <w:color w:val="000000" w:themeColor="text1"/>
                <w:sz w:val="24"/>
                <w:highlight w:val="none"/>
              </w:rPr>
              <w:t>-i</w:t>
            </w:r>
            <w:r>
              <w:rPr>
                <w:rFonts w:hint="eastAsia"/>
                <w:color w:val="000000" w:themeColor="text1"/>
                <w:sz w:val="24"/>
                <w:highlight w:val="none"/>
              </w:rPr>
              <w:t>声源在</w:t>
            </w:r>
            <w:r>
              <w:rPr>
                <w:rFonts w:hint="eastAsia"/>
                <w:i/>
                <w:iCs/>
                <w:color w:val="000000" w:themeColor="text1"/>
                <w:sz w:val="24"/>
                <w:highlight w:val="none"/>
              </w:rPr>
              <w:t>T</w:t>
            </w:r>
            <w:r>
              <w:rPr>
                <w:rFonts w:hint="eastAsia"/>
                <w:color w:val="000000" w:themeColor="text1"/>
                <w:sz w:val="24"/>
                <w:highlight w:val="none"/>
              </w:rPr>
              <w:t>时间段内的运行时间，s</w:t>
            </w:r>
            <w:r>
              <w:rPr>
                <w:color w:val="000000" w:themeColor="text1"/>
                <w:sz w:val="24"/>
                <w:highlight w:val="none"/>
              </w:rPr>
              <w:t>；</w:t>
            </w:r>
          </w:p>
          <w:p w14:paraId="5CEA6429">
            <w:pPr>
              <w:spacing w:line="360" w:lineRule="auto"/>
              <w:ind w:firstLine="480" w:firstLineChars="200"/>
              <w:rPr>
                <w:color w:val="000000" w:themeColor="text1"/>
                <w:sz w:val="24"/>
                <w:highlight w:val="none"/>
              </w:rPr>
            </w:pPr>
            <w:r>
              <w:rPr>
                <w:rFonts w:hint="eastAsia"/>
                <w:i/>
                <w:iCs/>
                <w:color w:val="000000" w:themeColor="text1"/>
                <w:sz w:val="24"/>
                <w:highlight w:val="none"/>
              </w:rPr>
              <w:t>L</w:t>
            </w:r>
            <w:r>
              <w:rPr>
                <w:rFonts w:hint="eastAsia"/>
                <w:i/>
                <w:iCs/>
                <w:color w:val="000000" w:themeColor="text1"/>
                <w:sz w:val="24"/>
                <w:highlight w:val="none"/>
                <w:vertAlign w:val="subscript"/>
              </w:rPr>
              <w:t>Ai</w:t>
            </w:r>
            <w:r>
              <w:rPr>
                <w:rFonts w:hint="eastAsia"/>
                <w:i/>
                <w:iCs/>
                <w:color w:val="000000" w:themeColor="text1"/>
                <w:sz w:val="24"/>
                <w:highlight w:val="none"/>
              </w:rPr>
              <w:t>-i</w:t>
            </w:r>
            <w:r>
              <w:rPr>
                <w:rFonts w:hint="eastAsia"/>
                <w:color w:val="000000" w:themeColor="text1"/>
                <w:sz w:val="24"/>
                <w:highlight w:val="none"/>
              </w:rPr>
              <w:t>声源在预测点产生的等效连续A声级</w:t>
            </w:r>
            <w:r>
              <w:rPr>
                <w:rFonts w:hint="eastAsia"/>
                <w:color w:val="000000" w:themeColor="text1"/>
                <w:highlight w:val="none"/>
              </w:rPr>
              <w:t>，dB</w:t>
            </w:r>
            <w:r>
              <w:rPr>
                <w:color w:val="000000" w:themeColor="text1"/>
                <w:sz w:val="24"/>
                <w:highlight w:val="none"/>
              </w:rPr>
              <w:t>；</w:t>
            </w:r>
          </w:p>
          <w:p w14:paraId="3574397A">
            <w:pPr>
              <w:pStyle w:val="14"/>
              <w:spacing w:before="0" w:after="0" w:line="360" w:lineRule="auto"/>
              <w:ind w:right="0" w:firstLine="480" w:firstLineChars="200"/>
              <w:rPr>
                <w:b/>
                <w:color w:val="000000" w:themeColor="text1"/>
                <w:szCs w:val="21"/>
                <w:highlight w:val="none"/>
              </w:rPr>
            </w:pPr>
            <w:r>
              <w:rPr>
                <w:rFonts w:hint="eastAsia"/>
                <w:color w:val="000000" w:themeColor="text1"/>
                <w:sz w:val="24"/>
                <w:szCs w:val="24"/>
                <w:highlight w:val="none"/>
              </w:rPr>
              <w:t>设备厂界贡献值预测结果如下：</w:t>
            </w:r>
          </w:p>
          <w:p w14:paraId="25F804FA">
            <w:pPr>
              <w:ind w:firstLine="480" w:firstLineChars="200"/>
              <w:jc w:val="center"/>
              <w:rPr>
                <w:bCs/>
                <w:color w:val="000000" w:themeColor="text1"/>
                <w:sz w:val="24"/>
                <w:highlight w:val="none"/>
              </w:rPr>
            </w:pPr>
            <w:r>
              <w:rPr>
                <w:rFonts w:hint="eastAsia"/>
                <w:bCs/>
                <w:color w:val="000000" w:themeColor="text1"/>
                <w:sz w:val="24"/>
                <w:highlight w:val="none"/>
              </w:rPr>
              <w:t>表4-6 声环境影响贡献值计算结果   单位：dB（A）</w:t>
            </w:r>
          </w:p>
          <w:tbl>
            <w:tblPr>
              <w:tblStyle w:val="26"/>
              <w:tblW w:w="4993"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861"/>
              <w:gridCol w:w="1327"/>
              <w:gridCol w:w="2162"/>
              <w:gridCol w:w="1874"/>
              <w:gridCol w:w="1018"/>
              <w:gridCol w:w="889"/>
            </w:tblGrid>
            <w:tr w14:paraId="758E8C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3" w:hRule="atLeast"/>
                <w:jc w:val="center"/>
              </w:trPr>
              <w:tc>
                <w:tcPr>
                  <w:tcW w:w="529" w:type="pct"/>
                  <w:vAlign w:val="center"/>
                </w:tcPr>
                <w:p w14:paraId="0532F1FB">
                  <w:pPr>
                    <w:jc w:val="center"/>
                    <w:rPr>
                      <w:snapToGrid w:val="0"/>
                      <w:color w:val="000000" w:themeColor="text1"/>
                      <w:kern w:val="0"/>
                      <w:szCs w:val="21"/>
                      <w:highlight w:val="none"/>
                    </w:rPr>
                  </w:pPr>
                  <w:r>
                    <w:rPr>
                      <w:snapToGrid w:val="0"/>
                      <w:color w:val="000000" w:themeColor="text1"/>
                      <w:kern w:val="0"/>
                      <w:szCs w:val="21"/>
                      <w:highlight w:val="none"/>
                    </w:rPr>
                    <w:t>序号</w:t>
                  </w:r>
                </w:p>
              </w:tc>
              <w:tc>
                <w:tcPr>
                  <w:tcW w:w="816" w:type="pct"/>
                  <w:vAlign w:val="center"/>
                </w:tcPr>
                <w:p w14:paraId="5B53220E">
                  <w:pPr>
                    <w:jc w:val="center"/>
                    <w:rPr>
                      <w:snapToGrid w:val="0"/>
                      <w:color w:val="000000" w:themeColor="text1"/>
                      <w:kern w:val="0"/>
                      <w:szCs w:val="21"/>
                      <w:highlight w:val="none"/>
                    </w:rPr>
                  </w:pPr>
                  <w:r>
                    <w:rPr>
                      <w:snapToGrid w:val="0"/>
                      <w:color w:val="000000" w:themeColor="text1"/>
                      <w:kern w:val="0"/>
                      <w:szCs w:val="21"/>
                      <w:highlight w:val="none"/>
                    </w:rPr>
                    <w:t>场界</w:t>
                  </w:r>
                </w:p>
              </w:tc>
              <w:tc>
                <w:tcPr>
                  <w:tcW w:w="1329" w:type="pct"/>
                  <w:vAlign w:val="center"/>
                </w:tcPr>
                <w:p w14:paraId="5172B0F3">
                  <w:pPr>
                    <w:jc w:val="center"/>
                    <w:rPr>
                      <w:snapToGrid w:val="0"/>
                      <w:color w:val="000000" w:themeColor="text1"/>
                      <w:kern w:val="0"/>
                      <w:szCs w:val="21"/>
                      <w:highlight w:val="none"/>
                    </w:rPr>
                  </w:pPr>
                  <w:r>
                    <w:rPr>
                      <w:rFonts w:hint="eastAsia"/>
                      <w:snapToGrid w:val="0"/>
                      <w:color w:val="000000" w:themeColor="text1"/>
                      <w:kern w:val="0"/>
                      <w:szCs w:val="21"/>
                      <w:highlight w:val="none"/>
                    </w:rPr>
                    <w:t>设备与场界距离（m）</w:t>
                  </w:r>
                </w:p>
              </w:tc>
              <w:tc>
                <w:tcPr>
                  <w:tcW w:w="1152" w:type="pct"/>
                  <w:vAlign w:val="center"/>
                </w:tcPr>
                <w:p w14:paraId="6081EC35">
                  <w:pPr>
                    <w:jc w:val="center"/>
                    <w:rPr>
                      <w:snapToGrid w:val="0"/>
                      <w:color w:val="000000" w:themeColor="text1"/>
                      <w:kern w:val="0"/>
                      <w:szCs w:val="21"/>
                      <w:highlight w:val="none"/>
                    </w:rPr>
                  </w:pPr>
                  <w:r>
                    <w:rPr>
                      <w:snapToGrid w:val="0"/>
                      <w:color w:val="000000" w:themeColor="text1"/>
                      <w:kern w:val="0"/>
                      <w:szCs w:val="21"/>
                      <w:highlight w:val="none"/>
                    </w:rPr>
                    <w:t>贡献值</w:t>
                  </w:r>
                </w:p>
              </w:tc>
              <w:tc>
                <w:tcPr>
                  <w:tcW w:w="1172" w:type="pct"/>
                  <w:gridSpan w:val="2"/>
                  <w:vAlign w:val="center"/>
                </w:tcPr>
                <w:p w14:paraId="1CE9D58D">
                  <w:pPr>
                    <w:jc w:val="center"/>
                    <w:rPr>
                      <w:snapToGrid w:val="0"/>
                      <w:color w:val="000000" w:themeColor="text1"/>
                      <w:kern w:val="0"/>
                      <w:szCs w:val="21"/>
                      <w:highlight w:val="none"/>
                    </w:rPr>
                  </w:pPr>
                  <w:r>
                    <w:rPr>
                      <w:snapToGrid w:val="0"/>
                      <w:color w:val="000000" w:themeColor="text1"/>
                      <w:kern w:val="0"/>
                      <w:szCs w:val="21"/>
                      <w:highlight w:val="none"/>
                    </w:rPr>
                    <w:t>排放限值</w:t>
                  </w:r>
                </w:p>
              </w:tc>
            </w:tr>
            <w:tr w14:paraId="2FE4CE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27" w:hRule="atLeast"/>
                <w:jc w:val="center"/>
              </w:trPr>
              <w:tc>
                <w:tcPr>
                  <w:tcW w:w="529" w:type="pct"/>
                  <w:vAlign w:val="center"/>
                </w:tcPr>
                <w:p w14:paraId="62C428F8">
                  <w:pPr>
                    <w:jc w:val="center"/>
                    <w:rPr>
                      <w:snapToGrid w:val="0"/>
                      <w:color w:val="000000" w:themeColor="text1"/>
                      <w:kern w:val="0"/>
                      <w:szCs w:val="21"/>
                      <w:highlight w:val="none"/>
                    </w:rPr>
                  </w:pPr>
                  <w:r>
                    <w:rPr>
                      <w:snapToGrid w:val="0"/>
                      <w:color w:val="000000" w:themeColor="text1"/>
                      <w:kern w:val="0"/>
                      <w:szCs w:val="21"/>
                      <w:highlight w:val="none"/>
                    </w:rPr>
                    <w:t>1</w:t>
                  </w:r>
                </w:p>
              </w:tc>
              <w:tc>
                <w:tcPr>
                  <w:tcW w:w="816" w:type="pct"/>
                  <w:vAlign w:val="center"/>
                </w:tcPr>
                <w:p w14:paraId="2ECD15B8">
                  <w:pPr>
                    <w:jc w:val="center"/>
                    <w:rPr>
                      <w:snapToGrid w:val="0"/>
                      <w:color w:val="000000" w:themeColor="text1"/>
                      <w:kern w:val="0"/>
                      <w:szCs w:val="21"/>
                      <w:highlight w:val="none"/>
                    </w:rPr>
                  </w:pPr>
                  <w:r>
                    <w:rPr>
                      <w:snapToGrid w:val="0"/>
                      <w:color w:val="000000" w:themeColor="text1"/>
                      <w:kern w:val="0"/>
                      <w:szCs w:val="21"/>
                      <w:highlight w:val="none"/>
                    </w:rPr>
                    <w:t>东场界</w:t>
                  </w:r>
                </w:p>
              </w:tc>
              <w:tc>
                <w:tcPr>
                  <w:tcW w:w="1329" w:type="pct"/>
                  <w:vAlign w:val="center"/>
                </w:tcPr>
                <w:p w14:paraId="390ACCFA">
                  <w:pPr>
                    <w:jc w:val="center"/>
                    <w:rPr>
                      <w:snapToGrid w:val="0"/>
                      <w:color w:val="000000" w:themeColor="text1"/>
                      <w:kern w:val="0"/>
                      <w:szCs w:val="21"/>
                      <w:highlight w:val="none"/>
                    </w:rPr>
                  </w:pPr>
                  <w:r>
                    <w:rPr>
                      <w:rFonts w:hint="eastAsia"/>
                      <w:snapToGrid w:val="0"/>
                      <w:color w:val="000000" w:themeColor="text1"/>
                      <w:kern w:val="0"/>
                      <w:szCs w:val="21"/>
                      <w:highlight w:val="none"/>
                    </w:rPr>
                    <w:t>30</w:t>
                  </w:r>
                </w:p>
              </w:tc>
              <w:tc>
                <w:tcPr>
                  <w:tcW w:w="1152" w:type="pct"/>
                  <w:vAlign w:val="center"/>
                </w:tcPr>
                <w:p w14:paraId="6407BC14">
                  <w:pPr>
                    <w:jc w:val="center"/>
                    <w:rPr>
                      <w:color w:val="000000" w:themeColor="text1"/>
                      <w:szCs w:val="21"/>
                      <w:highlight w:val="none"/>
                    </w:rPr>
                  </w:pPr>
                  <w:r>
                    <w:rPr>
                      <w:rFonts w:hint="eastAsia"/>
                      <w:color w:val="000000" w:themeColor="text1"/>
                      <w:szCs w:val="21"/>
                      <w:highlight w:val="none"/>
                    </w:rPr>
                    <w:t>42.59</w:t>
                  </w:r>
                </w:p>
              </w:tc>
              <w:tc>
                <w:tcPr>
                  <w:tcW w:w="626" w:type="pct"/>
                  <w:vMerge w:val="restart"/>
                  <w:vAlign w:val="center"/>
                </w:tcPr>
                <w:p w14:paraId="46C75D47">
                  <w:pPr>
                    <w:jc w:val="center"/>
                    <w:rPr>
                      <w:snapToGrid w:val="0"/>
                      <w:color w:val="000000" w:themeColor="text1"/>
                      <w:kern w:val="0"/>
                      <w:szCs w:val="21"/>
                      <w:highlight w:val="none"/>
                    </w:rPr>
                  </w:pPr>
                  <w:r>
                    <w:rPr>
                      <w:rFonts w:hint="eastAsia"/>
                      <w:snapToGrid w:val="0"/>
                      <w:color w:val="000000" w:themeColor="text1"/>
                      <w:kern w:val="0"/>
                      <w:szCs w:val="21"/>
                      <w:highlight w:val="none"/>
                    </w:rPr>
                    <w:t>昼间60</w:t>
                  </w:r>
                </w:p>
              </w:tc>
              <w:tc>
                <w:tcPr>
                  <w:tcW w:w="545" w:type="pct"/>
                  <w:vMerge w:val="restart"/>
                  <w:vAlign w:val="center"/>
                </w:tcPr>
                <w:p w14:paraId="5C386064">
                  <w:pPr>
                    <w:jc w:val="center"/>
                    <w:rPr>
                      <w:snapToGrid w:val="0"/>
                      <w:color w:val="000000" w:themeColor="text1"/>
                      <w:kern w:val="0"/>
                      <w:szCs w:val="21"/>
                      <w:highlight w:val="none"/>
                    </w:rPr>
                  </w:pPr>
                  <w:r>
                    <w:rPr>
                      <w:rFonts w:hint="eastAsia"/>
                      <w:snapToGrid w:val="0"/>
                      <w:color w:val="000000" w:themeColor="text1"/>
                      <w:kern w:val="0"/>
                      <w:szCs w:val="21"/>
                      <w:highlight w:val="none"/>
                    </w:rPr>
                    <w:t>夜间50</w:t>
                  </w:r>
                </w:p>
              </w:tc>
            </w:tr>
            <w:tr w14:paraId="106C57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529" w:type="pct"/>
                  <w:vAlign w:val="center"/>
                </w:tcPr>
                <w:p w14:paraId="0DF719DD">
                  <w:pPr>
                    <w:jc w:val="center"/>
                    <w:rPr>
                      <w:snapToGrid w:val="0"/>
                      <w:color w:val="000000" w:themeColor="text1"/>
                      <w:kern w:val="0"/>
                      <w:szCs w:val="21"/>
                      <w:highlight w:val="none"/>
                    </w:rPr>
                  </w:pPr>
                  <w:r>
                    <w:rPr>
                      <w:snapToGrid w:val="0"/>
                      <w:color w:val="000000" w:themeColor="text1"/>
                      <w:kern w:val="0"/>
                      <w:szCs w:val="21"/>
                      <w:highlight w:val="none"/>
                    </w:rPr>
                    <w:t>2</w:t>
                  </w:r>
                </w:p>
              </w:tc>
              <w:tc>
                <w:tcPr>
                  <w:tcW w:w="816" w:type="pct"/>
                  <w:vAlign w:val="center"/>
                </w:tcPr>
                <w:p w14:paraId="3C2CD81F">
                  <w:pPr>
                    <w:jc w:val="center"/>
                    <w:rPr>
                      <w:snapToGrid w:val="0"/>
                      <w:color w:val="000000" w:themeColor="text1"/>
                      <w:kern w:val="0"/>
                      <w:szCs w:val="21"/>
                      <w:highlight w:val="none"/>
                    </w:rPr>
                  </w:pPr>
                  <w:r>
                    <w:rPr>
                      <w:snapToGrid w:val="0"/>
                      <w:color w:val="000000" w:themeColor="text1"/>
                      <w:kern w:val="0"/>
                      <w:szCs w:val="21"/>
                      <w:highlight w:val="none"/>
                    </w:rPr>
                    <w:t>南场界</w:t>
                  </w:r>
                </w:p>
              </w:tc>
              <w:tc>
                <w:tcPr>
                  <w:tcW w:w="1329" w:type="pct"/>
                  <w:vAlign w:val="center"/>
                </w:tcPr>
                <w:p w14:paraId="4EA9B92E">
                  <w:pPr>
                    <w:jc w:val="center"/>
                    <w:rPr>
                      <w:snapToGrid w:val="0"/>
                      <w:color w:val="000000" w:themeColor="text1"/>
                      <w:kern w:val="0"/>
                      <w:szCs w:val="21"/>
                      <w:highlight w:val="none"/>
                    </w:rPr>
                  </w:pPr>
                  <w:r>
                    <w:rPr>
                      <w:rFonts w:hint="eastAsia"/>
                      <w:snapToGrid w:val="0"/>
                      <w:color w:val="000000" w:themeColor="text1"/>
                      <w:kern w:val="0"/>
                      <w:szCs w:val="21"/>
                      <w:highlight w:val="none"/>
                    </w:rPr>
                    <w:t>50</w:t>
                  </w:r>
                </w:p>
              </w:tc>
              <w:tc>
                <w:tcPr>
                  <w:tcW w:w="1152" w:type="pct"/>
                  <w:vAlign w:val="center"/>
                </w:tcPr>
                <w:p w14:paraId="0CC0846C">
                  <w:pPr>
                    <w:jc w:val="center"/>
                    <w:rPr>
                      <w:color w:val="000000" w:themeColor="text1"/>
                      <w:szCs w:val="21"/>
                      <w:highlight w:val="none"/>
                    </w:rPr>
                  </w:pPr>
                  <w:r>
                    <w:rPr>
                      <w:rFonts w:hint="eastAsia"/>
                      <w:color w:val="000000" w:themeColor="text1"/>
                      <w:szCs w:val="21"/>
                      <w:highlight w:val="none"/>
                    </w:rPr>
                    <w:t>38.15</w:t>
                  </w:r>
                </w:p>
              </w:tc>
              <w:tc>
                <w:tcPr>
                  <w:tcW w:w="626" w:type="pct"/>
                  <w:vMerge w:val="continue"/>
                  <w:vAlign w:val="center"/>
                </w:tcPr>
                <w:p w14:paraId="06CA34A6">
                  <w:pPr>
                    <w:jc w:val="center"/>
                    <w:rPr>
                      <w:snapToGrid w:val="0"/>
                      <w:color w:val="000000" w:themeColor="text1"/>
                      <w:kern w:val="0"/>
                      <w:szCs w:val="21"/>
                      <w:highlight w:val="none"/>
                    </w:rPr>
                  </w:pPr>
                </w:p>
              </w:tc>
              <w:tc>
                <w:tcPr>
                  <w:tcW w:w="545" w:type="pct"/>
                  <w:vMerge w:val="continue"/>
                  <w:vAlign w:val="center"/>
                </w:tcPr>
                <w:p w14:paraId="578BAC7B">
                  <w:pPr>
                    <w:jc w:val="center"/>
                    <w:rPr>
                      <w:snapToGrid w:val="0"/>
                      <w:color w:val="000000" w:themeColor="text1"/>
                      <w:kern w:val="0"/>
                      <w:szCs w:val="21"/>
                      <w:highlight w:val="none"/>
                    </w:rPr>
                  </w:pPr>
                </w:p>
              </w:tc>
            </w:tr>
            <w:tr w14:paraId="2EFC32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529" w:type="pct"/>
                  <w:vAlign w:val="center"/>
                </w:tcPr>
                <w:p w14:paraId="2DACDB56">
                  <w:pPr>
                    <w:jc w:val="center"/>
                    <w:rPr>
                      <w:snapToGrid w:val="0"/>
                      <w:color w:val="000000" w:themeColor="text1"/>
                      <w:kern w:val="0"/>
                      <w:szCs w:val="21"/>
                      <w:highlight w:val="none"/>
                    </w:rPr>
                  </w:pPr>
                  <w:r>
                    <w:rPr>
                      <w:snapToGrid w:val="0"/>
                      <w:color w:val="000000" w:themeColor="text1"/>
                      <w:kern w:val="0"/>
                      <w:szCs w:val="21"/>
                      <w:highlight w:val="none"/>
                    </w:rPr>
                    <w:t>3</w:t>
                  </w:r>
                </w:p>
              </w:tc>
              <w:tc>
                <w:tcPr>
                  <w:tcW w:w="816" w:type="pct"/>
                  <w:vAlign w:val="center"/>
                </w:tcPr>
                <w:p w14:paraId="7344B1C3">
                  <w:pPr>
                    <w:jc w:val="center"/>
                    <w:rPr>
                      <w:snapToGrid w:val="0"/>
                      <w:color w:val="000000" w:themeColor="text1"/>
                      <w:kern w:val="0"/>
                      <w:szCs w:val="21"/>
                      <w:highlight w:val="none"/>
                    </w:rPr>
                  </w:pPr>
                  <w:r>
                    <w:rPr>
                      <w:snapToGrid w:val="0"/>
                      <w:color w:val="000000" w:themeColor="text1"/>
                      <w:kern w:val="0"/>
                      <w:szCs w:val="21"/>
                      <w:highlight w:val="none"/>
                    </w:rPr>
                    <w:t>西场界</w:t>
                  </w:r>
                </w:p>
              </w:tc>
              <w:tc>
                <w:tcPr>
                  <w:tcW w:w="1329" w:type="pct"/>
                  <w:vAlign w:val="center"/>
                </w:tcPr>
                <w:p w14:paraId="40DF9F59">
                  <w:pPr>
                    <w:jc w:val="center"/>
                    <w:rPr>
                      <w:snapToGrid w:val="0"/>
                      <w:color w:val="000000" w:themeColor="text1"/>
                      <w:kern w:val="0"/>
                      <w:szCs w:val="21"/>
                      <w:highlight w:val="none"/>
                    </w:rPr>
                  </w:pPr>
                  <w:r>
                    <w:rPr>
                      <w:rFonts w:hint="eastAsia"/>
                      <w:snapToGrid w:val="0"/>
                      <w:color w:val="000000" w:themeColor="text1"/>
                      <w:kern w:val="0"/>
                      <w:szCs w:val="21"/>
                      <w:highlight w:val="none"/>
                    </w:rPr>
                    <w:t>30</w:t>
                  </w:r>
                </w:p>
              </w:tc>
              <w:tc>
                <w:tcPr>
                  <w:tcW w:w="1152" w:type="pct"/>
                  <w:vAlign w:val="center"/>
                </w:tcPr>
                <w:p w14:paraId="7F8E4D67">
                  <w:pPr>
                    <w:jc w:val="center"/>
                    <w:rPr>
                      <w:color w:val="000000" w:themeColor="text1"/>
                      <w:szCs w:val="21"/>
                      <w:highlight w:val="none"/>
                    </w:rPr>
                  </w:pPr>
                  <w:r>
                    <w:rPr>
                      <w:rFonts w:hint="eastAsia"/>
                      <w:color w:val="000000" w:themeColor="text1"/>
                      <w:szCs w:val="21"/>
                      <w:highlight w:val="none"/>
                    </w:rPr>
                    <w:t>42.59</w:t>
                  </w:r>
                </w:p>
              </w:tc>
              <w:tc>
                <w:tcPr>
                  <w:tcW w:w="626" w:type="pct"/>
                  <w:vMerge w:val="continue"/>
                  <w:vAlign w:val="center"/>
                </w:tcPr>
                <w:p w14:paraId="646E8B6D">
                  <w:pPr>
                    <w:jc w:val="center"/>
                    <w:rPr>
                      <w:snapToGrid w:val="0"/>
                      <w:color w:val="000000" w:themeColor="text1"/>
                      <w:kern w:val="0"/>
                      <w:szCs w:val="21"/>
                      <w:highlight w:val="none"/>
                    </w:rPr>
                  </w:pPr>
                </w:p>
              </w:tc>
              <w:tc>
                <w:tcPr>
                  <w:tcW w:w="545" w:type="pct"/>
                  <w:vMerge w:val="continue"/>
                  <w:vAlign w:val="center"/>
                </w:tcPr>
                <w:p w14:paraId="7C5E6356">
                  <w:pPr>
                    <w:jc w:val="center"/>
                    <w:rPr>
                      <w:snapToGrid w:val="0"/>
                      <w:color w:val="000000" w:themeColor="text1"/>
                      <w:kern w:val="0"/>
                      <w:szCs w:val="21"/>
                      <w:highlight w:val="none"/>
                    </w:rPr>
                  </w:pPr>
                </w:p>
              </w:tc>
            </w:tr>
            <w:tr w14:paraId="77F8BB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29" w:type="pct"/>
                  <w:vAlign w:val="center"/>
                </w:tcPr>
                <w:p w14:paraId="3558A737">
                  <w:pPr>
                    <w:jc w:val="center"/>
                    <w:rPr>
                      <w:snapToGrid w:val="0"/>
                      <w:color w:val="000000" w:themeColor="text1"/>
                      <w:kern w:val="0"/>
                      <w:szCs w:val="21"/>
                      <w:highlight w:val="none"/>
                    </w:rPr>
                  </w:pPr>
                  <w:r>
                    <w:rPr>
                      <w:snapToGrid w:val="0"/>
                      <w:color w:val="000000" w:themeColor="text1"/>
                      <w:kern w:val="0"/>
                      <w:szCs w:val="21"/>
                      <w:highlight w:val="none"/>
                    </w:rPr>
                    <w:t>4</w:t>
                  </w:r>
                </w:p>
              </w:tc>
              <w:tc>
                <w:tcPr>
                  <w:tcW w:w="816" w:type="pct"/>
                  <w:vAlign w:val="center"/>
                </w:tcPr>
                <w:p w14:paraId="7549B709">
                  <w:pPr>
                    <w:jc w:val="center"/>
                    <w:rPr>
                      <w:snapToGrid w:val="0"/>
                      <w:color w:val="000000" w:themeColor="text1"/>
                      <w:kern w:val="0"/>
                      <w:szCs w:val="21"/>
                      <w:highlight w:val="none"/>
                    </w:rPr>
                  </w:pPr>
                  <w:r>
                    <w:rPr>
                      <w:snapToGrid w:val="0"/>
                      <w:color w:val="000000" w:themeColor="text1"/>
                      <w:kern w:val="0"/>
                      <w:szCs w:val="21"/>
                      <w:highlight w:val="none"/>
                    </w:rPr>
                    <w:t>北场界</w:t>
                  </w:r>
                </w:p>
              </w:tc>
              <w:tc>
                <w:tcPr>
                  <w:tcW w:w="1329" w:type="pct"/>
                  <w:vAlign w:val="center"/>
                </w:tcPr>
                <w:p w14:paraId="327D506A">
                  <w:pPr>
                    <w:jc w:val="center"/>
                    <w:rPr>
                      <w:snapToGrid w:val="0"/>
                      <w:color w:val="000000" w:themeColor="text1"/>
                      <w:kern w:val="0"/>
                      <w:szCs w:val="21"/>
                      <w:highlight w:val="none"/>
                    </w:rPr>
                  </w:pPr>
                  <w:r>
                    <w:rPr>
                      <w:rFonts w:hint="eastAsia"/>
                      <w:snapToGrid w:val="0"/>
                      <w:color w:val="000000" w:themeColor="text1"/>
                      <w:kern w:val="0"/>
                      <w:szCs w:val="21"/>
                      <w:highlight w:val="none"/>
                    </w:rPr>
                    <w:t>50</w:t>
                  </w:r>
                </w:p>
              </w:tc>
              <w:tc>
                <w:tcPr>
                  <w:tcW w:w="1152" w:type="pct"/>
                  <w:vAlign w:val="center"/>
                </w:tcPr>
                <w:p w14:paraId="703D0238">
                  <w:pPr>
                    <w:jc w:val="center"/>
                    <w:rPr>
                      <w:color w:val="000000" w:themeColor="text1"/>
                      <w:szCs w:val="21"/>
                      <w:highlight w:val="none"/>
                    </w:rPr>
                  </w:pPr>
                  <w:r>
                    <w:rPr>
                      <w:rFonts w:hint="eastAsia"/>
                      <w:color w:val="000000" w:themeColor="text1"/>
                      <w:szCs w:val="21"/>
                      <w:highlight w:val="none"/>
                    </w:rPr>
                    <w:t>38.15</w:t>
                  </w:r>
                </w:p>
              </w:tc>
              <w:tc>
                <w:tcPr>
                  <w:tcW w:w="626" w:type="pct"/>
                  <w:vMerge w:val="continue"/>
                  <w:vAlign w:val="center"/>
                </w:tcPr>
                <w:p w14:paraId="2D071A47">
                  <w:pPr>
                    <w:jc w:val="center"/>
                    <w:rPr>
                      <w:snapToGrid w:val="0"/>
                      <w:color w:val="000000" w:themeColor="text1"/>
                      <w:kern w:val="0"/>
                      <w:szCs w:val="21"/>
                      <w:highlight w:val="none"/>
                    </w:rPr>
                  </w:pPr>
                </w:p>
              </w:tc>
              <w:tc>
                <w:tcPr>
                  <w:tcW w:w="545" w:type="pct"/>
                  <w:vMerge w:val="continue"/>
                  <w:vAlign w:val="center"/>
                </w:tcPr>
                <w:p w14:paraId="33A5F270">
                  <w:pPr>
                    <w:jc w:val="center"/>
                    <w:rPr>
                      <w:snapToGrid w:val="0"/>
                      <w:color w:val="000000" w:themeColor="text1"/>
                      <w:kern w:val="0"/>
                      <w:szCs w:val="21"/>
                      <w:highlight w:val="none"/>
                    </w:rPr>
                  </w:pPr>
                </w:p>
              </w:tc>
            </w:tr>
          </w:tbl>
          <w:p w14:paraId="6820ED65">
            <w:pPr>
              <w:spacing w:line="360" w:lineRule="auto"/>
              <w:ind w:firstLine="480" w:firstLineChars="200"/>
              <w:rPr>
                <w:color w:val="000000" w:themeColor="text1"/>
                <w:sz w:val="24"/>
                <w:highlight w:val="none"/>
              </w:rPr>
            </w:pPr>
            <w:r>
              <w:rPr>
                <w:color w:val="000000" w:themeColor="text1"/>
                <w:sz w:val="24"/>
                <w:highlight w:val="none"/>
              </w:rPr>
              <w:t>由</w:t>
            </w:r>
            <w:r>
              <w:rPr>
                <w:rFonts w:hint="eastAsia"/>
                <w:color w:val="000000" w:themeColor="text1"/>
                <w:sz w:val="24"/>
                <w:highlight w:val="none"/>
              </w:rPr>
              <w:t>噪声预测结果</w:t>
            </w:r>
            <w:r>
              <w:rPr>
                <w:color w:val="000000" w:themeColor="text1"/>
                <w:sz w:val="24"/>
                <w:highlight w:val="none"/>
              </w:rPr>
              <w:t>可知，</w:t>
            </w:r>
            <w:r>
              <w:rPr>
                <w:rFonts w:hint="eastAsia"/>
                <w:color w:val="000000" w:themeColor="text1"/>
                <w:sz w:val="24"/>
                <w:highlight w:val="none"/>
              </w:rPr>
              <w:t>厂界</w:t>
            </w:r>
            <w:r>
              <w:rPr>
                <w:color w:val="000000" w:themeColor="text1"/>
                <w:sz w:val="24"/>
                <w:highlight w:val="none"/>
              </w:rPr>
              <w:t>昼间噪声贡献值在</w:t>
            </w:r>
            <w:r>
              <w:rPr>
                <w:rFonts w:hint="eastAsia"/>
                <w:color w:val="000000" w:themeColor="text1"/>
                <w:sz w:val="24"/>
                <w:highlight w:val="none"/>
              </w:rPr>
              <w:t>38.15-</w:t>
            </w:r>
            <w:r>
              <w:rPr>
                <w:color w:val="000000" w:themeColor="text1"/>
                <w:sz w:val="24"/>
                <w:highlight w:val="none"/>
              </w:rPr>
              <w:t>4</w:t>
            </w:r>
            <w:r>
              <w:rPr>
                <w:rFonts w:hint="eastAsia"/>
                <w:color w:val="000000" w:themeColor="text1"/>
                <w:sz w:val="24"/>
                <w:highlight w:val="none"/>
              </w:rPr>
              <w:t>2.59</w:t>
            </w:r>
            <w:r>
              <w:rPr>
                <w:color w:val="000000" w:themeColor="text1"/>
                <w:sz w:val="24"/>
                <w:highlight w:val="none"/>
              </w:rPr>
              <w:t>dB</w:t>
            </w:r>
            <w:r>
              <w:rPr>
                <w:rFonts w:hint="eastAsia"/>
                <w:color w:val="000000" w:themeColor="text1"/>
                <w:sz w:val="24"/>
                <w:highlight w:val="none"/>
              </w:rPr>
              <w:t>（</w:t>
            </w:r>
            <w:r>
              <w:rPr>
                <w:color w:val="000000" w:themeColor="text1"/>
                <w:sz w:val="24"/>
                <w:highlight w:val="none"/>
              </w:rPr>
              <w:t>A</w:t>
            </w:r>
            <w:r>
              <w:rPr>
                <w:rFonts w:hint="eastAsia"/>
                <w:color w:val="000000" w:themeColor="text1"/>
                <w:sz w:val="24"/>
                <w:highlight w:val="none"/>
              </w:rPr>
              <w:t>）</w:t>
            </w:r>
            <w:r>
              <w:rPr>
                <w:color w:val="000000" w:themeColor="text1"/>
                <w:sz w:val="24"/>
                <w:highlight w:val="none"/>
              </w:rPr>
              <w:t>之间，均满足</w:t>
            </w:r>
            <w:r>
              <w:rPr>
                <w:rFonts w:hint="eastAsia"/>
                <w:color w:val="000000" w:themeColor="text1"/>
                <w:sz w:val="24"/>
                <w:highlight w:val="none"/>
              </w:rPr>
              <w:t>《工业企业厂界环境噪声排放标准》（GB12348-2008）2类（</w:t>
            </w:r>
            <w:r>
              <w:rPr>
                <w:color w:val="000000" w:themeColor="text1"/>
                <w:sz w:val="24"/>
                <w:highlight w:val="none"/>
              </w:rPr>
              <w:t>昼间</w:t>
            </w:r>
            <w:r>
              <w:rPr>
                <w:rFonts w:hint="eastAsia"/>
                <w:color w:val="000000" w:themeColor="text1"/>
                <w:sz w:val="24"/>
                <w:highlight w:val="none"/>
              </w:rPr>
              <w:t>60</w:t>
            </w:r>
            <w:r>
              <w:rPr>
                <w:color w:val="000000" w:themeColor="text1"/>
                <w:sz w:val="24"/>
                <w:highlight w:val="none"/>
              </w:rPr>
              <w:t>dB</w:t>
            </w:r>
            <w:r>
              <w:rPr>
                <w:rFonts w:hint="eastAsia"/>
                <w:color w:val="000000" w:themeColor="text1"/>
                <w:sz w:val="24"/>
                <w:highlight w:val="none"/>
              </w:rPr>
              <w:t>（</w:t>
            </w:r>
            <w:r>
              <w:rPr>
                <w:color w:val="000000" w:themeColor="text1"/>
                <w:sz w:val="24"/>
                <w:highlight w:val="none"/>
              </w:rPr>
              <w:t>A），夜间</w:t>
            </w:r>
            <w:r>
              <w:rPr>
                <w:rFonts w:hint="eastAsia"/>
                <w:color w:val="000000" w:themeColor="text1"/>
                <w:sz w:val="24"/>
                <w:highlight w:val="none"/>
              </w:rPr>
              <w:t>50</w:t>
            </w:r>
            <w:r>
              <w:rPr>
                <w:color w:val="000000" w:themeColor="text1"/>
                <w:sz w:val="24"/>
                <w:highlight w:val="none"/>
              </w:rPr>
              <w:t>dB</w:t>
            </w:r>
            <w:r>
              <w:rPr>
                <w:rFonts w:hint="eastAsia"/>
                <w:color w:val="000000" w:themeColor="text1"/>
                <w:sz w:val="24"/>
                <w:highlight w:val="none"/>
              </w:rPr>
              <w:t>（</w:t>
            </w:r>
            <w:r>
              <w:rPr>
                <w:color w:val="000000" w:themeColor="text1"/>
                <w:sz w:val="24"/>
                <w:highlight w:val="none"/>
              </w:rPr>
              <w:t>A））的噪声标准限值要求。</w:t>
            </w:r>
          </w:p>
          <w:p w14:paraId="66194523">
            <w:pPr>
              <w:spacing w:line="360" w:lineRule="auto"/>
              <w:ind w:firstLine="480" w:firstLineChars="200"/>
              <w:rPr>
                <w:color w:val="000000" w:themeColor="text1"/>
                <w:sz w:val="24"/>
                <w:highlight w:val="none"/>
              </w:rPr>
            </w:pPr>
            <w:r>
              <w:rPr>
                <w:rFonts w:hint="eastAsia"/>
                <w:color w:val="000000" w:themeColor="text1"/>
                <w:sz w:val="24"/>
                <w:highlight w:val="none"/>
              </w:rPr>
              <w:t>风井场地</w:t>
            </w:r>
            <w:r>
              <w:rPr>
                <w:color w:val="000000" w:themeColor="text1"/>
                <w:sz w:val="24"/>
                <w:highlight w:val="none"/>
              </w:rPr>
              <w:t>周边无声环境敏感点</w:t>
            </w:r>
            <w:r>
              <w:rPr>
                <w:rFonts w:hint="eastAsia"/>
                <w:color w:val="000000" w:themeColor="text1"/>
                <w:sz w:val="24"/>
                <w:highlight w:val="none"/>
              </w:rPr>
              <w:t>，</w:t>
            </w:r>
            <w:r>
              <w:rPr>
                <w:color w:val="000000" w:themeColor="text1"/>
                <w:sz w:val="24"/>
                <w:highlight w:val="none"/>
              </w:rPr>
              <w:t>故该项目对外环境噪声影响较小。</w:t>
            </w:r>
          </w:p>
          <w:p w14:paraId="263B2E1E">
            <w:pPr>
              <w:adjustRightInd w:val="0"/>
              <w:snapToGrid w:val="0"/>
              <w:spacing w:line="360" w:lineRule="auto"/>
              <w:ind w:firstLine="482" w:firstLineChars="200"/>
              <w:rPr>
                <w:b/>
                <w:color w:val="000000" w:themeColor="text1"/>
                <w:sz w:val="24"/>
                <w:highlight w:val="none"/>
              </w:rPr>
            </w:pPr>
            <w:r>
              <w:rPr>
                <w:b/>
                <w:color w:val="000000" w:themeColor="text1"/>
                <w:sz w:val="24"/>
                <w:highlight w:val="none"/>
              </w:rPr>
              <w:t>4.固废环境影响分析</w:t>
            </w:r>
          </w:p>
          <w:p w14:paraId="26550FD8">
            <w:pPr>
              <w:pStyle w:val="61"/>
              <w:spacing w:line="360" w:lineRule="auto"/>
              <w:ind w:firstLine="480" w:firstLineChars="200"/>
              <w:jc w:val="both"/>
              <w:rPr>
                <w:rFonts w:ascii="Times New Roman" w:hAnsi="Times New Roman" w:cs="Times New Roman"/>
                <w:color w:val="000000" w:themeColor="text1"/>
                <w:sz w:val="24"/>
                <w:highlight w:val="none"/>
                <w:lang w:val="en-US"/>
              </w:rPr>
            </w:pPr>
            <w:r>
              <w:rPr>
                <w:rFonts w:hint="eastAsia" w:ascii="Times New Roman" w:hAnsi="Times New Roman" w:cs="Times New Roman"/>
                <w:color w:val="000000" w:themeColor="text1"/>
                <w:sz w:val="24"/>
                <w:highlight w:val="none"/>
                <w:lang w:val="en-US"/>
              </w:rPr>
              <w:t>项目运营期固体废物主要是设备维修时产生的废矿物油</w:t>
            </w:r>
            <w:r>
              <w:rPr>
                <w:rFonts w:hint="eastAsia"/>
                <w:color w:val="000000" w:themeColor="text1"/>
                <w:sz w:val="24"/>
                <w:highlight w:val="none"/>
                <w:lang w:val="en-US"/>
              </w:rPr>
              <w:t>及废油桶</w:t>
            </w:r>
            <w:r>
              <w:rPr>
                <w:rFonts w:hint="eastAsia" w:ascii="Times New Roman" w:hAnsi="Times New Roman" w:cs="Times New Roman"/>
                <w:color w:val="000000" w:themeColor="text1"/>
                <w:sz w:val="24"/>
                <w:highlight w:val="none"/>
                <w:lang w:val="en-US"/>
              </w:rPr>
              <w:t>。</w:t>
            </w:r>
          </w:p>
          <w:p w14:paraId="7C06B06A">
            <w:pPr>
              <w:pStyle w:val="61"/>
              <w:spacing w:line="360" w:lineRule="auto"/>
              <w:ind w:firstLine="480" w:firstLineChars="200"/>
              <w:jc w:val="both"/>
              <w:rPr>
                <w:rFonts w:ascii="Times New Roman" w:hAnsi="Times New Roman" w:cs="Times New Roman"/>
                <w:color w:val="000000" w:themeColor="text1"/>
                <w:sz w:val="24"/>
                <w:highlight w:val="none"/>
                <w:lang w:val="en-US"/>
              </w:rPr>
            </w:pPr>
            <w:r>
              <w:rPr>
                <w:rFonts w:hint="eastAsia" w:ascii="Times New Roman" w:hAnsi="Times New Roman" w:cs="Times New Roman"/>
                <w:color w:val="000000" w:themeColor="text1"/>
                <w:sz w:val="24"/>
                <w:highlight w:val="none"/>
                <w:lang w:val="en-US"/>
              </w:rPr>
              <w:t>废矿物油</w:t>
            </w:r>
          </w:p>
          <w:p w14:paraId="4364C712">
            <w:pPr>
              <w:pStyle w:val="61"/>
              <w:spacing w:line="360" w:lineRule="auto"/>
              <w:ind w:firstLine="480" w:firstLineChars="200"/>
              <w:jc w:val="both"/>
              <w:rPr>
                <w:color w:val="000000" w:themeColor="text1"/>
                <w:highlight w:val="none"/>
              </w:rPr>
            </w:pPr>
            <w:r>
              <w:rPr>
                <w:rFonts w:hint="eastAsia" w:ascii="Times New Roman" w:hAnsi="Times New Roman" w:cs="Times New Roman"/>
                <w:color w:val="000000" w:themeColor="text1"/>
                <w:sz w:val="24"/>
                <w:highlight w:val="none"/>
                <w:lang w:val="en-US"/>
              </w:rPr>
              <w:t>项目设备维修时废矿物油产生量约0.05t，属于《国家危险废物名录》（2021年版）中HW08废矿物油，危废代码为900-214-08，收集至废油桶中，暂存于富民煤矿危废库内，废油桶属于HW08，代码为900-249-08的危险废物，暂存于煤矿现有危废库内，定期交由鄂尔多斯市鼎势再生资源有限责任公司处置。</w:t>
            </w:r>
          </w:p>
          <w:p w14:paraId="15F5DD24">
            <w:pPr>
              <w:pStyle w:val="61"/>
              <w:spacing w:line="360" w:lineRule="auto"/>
              <w:ind w:firstLine="480" w:firstLineChars="200"/>
              <w:jc w:val="both"/>
              <w:rPr>
                <w:color w:val="000000" w:themeColor="text1"/>
                <w:sz w:val="24"/>
                <w:highlight w:val="none"/>
                <w:lang w:val="en-US"/>
              </w:rPr>
            </w:pPr>
            <w:r>
              <w:rPr>
                <w:rFonts w:hint="eastAsia"/>
                <w:color w:val="000000" w:themeColor="text1"/>
                <w:sz w:val="24"/>
                <w:highlight w:val="none"/>
                <w:lang w:val="en-US"/>
              </w:rPr>
              <w:t>根据《内蒙古汇能煤电</w:t>
            </w:r>
            <w:r>
              <w:rPr>
                <w:rFonts w:ascii="Times New Roman" w:hAnsi="Times New Roman" w:cs="Times New Roman"/>
                <w:color w:val="000000" w:themeColor="text1"/>
                <w:sz w:val="24"/>
                <w:highlight w:val="none"/>
                <w:lang w:val="en-US"/>
              </w:rPr>
              <w:t>集团富民煤炭有限责任公司煤矿180万t/a改扩建项目竣工环境保护验收调查报告》</w:t>
            </w:r>
            <w:r>
              <w:rPr>
                <w:rFonts w:hint="eastAsia" w:ascii="Times New Roman" w:hAnsi="Times New Roman" w:cs="Times New Roman"/>
                <w:color w:val="000000" w:themeColor="text1"/>
                <w:sz w:val="24"/>
                <w:highlight w:val="none"/>
                <w:lang w:val="en-US"/>
              </w:rPr>
              <w:t>及竣工环保验收意见，危废库主要建设内容包括危废暂存库1座（占地面积120m</w:t>
            </w:r>
            <w:r>
              <w:rPr>
                <w:rFonts w:hint="eastAsia" w:ascii="Times New Roman" w:hAnsi="Times New Roman" w:cs="Times New Roman"/>
                <w:color w:val="000000" w:themeColor="text1"/>
                <w:sz w:val="24"/>
                <w:highlight w:val="none"/>
                <w:vertAlign w:val="superscript"/>
                <w:lang w:val="en-US"/>
              </w:rPr>
              <w:t>2</w:t>
            </w:r>
            <w:r>
              <w:rPr>
                <w:rFonts w:hint="eastAsia" w:ascii="Times New Roman" w:hAnsi="Times New Roman" w:cs="Times New Roman"/>
                <w:color w:val="000000" w:themeColor="text1"/>
                <w:sz w:val="24"/>
                <w:highlight w:val="none"/>
                <w:lang w:val="en-US"/>
              </w:rPr>
              <w:t>）、导流槽、废液收集池和防渗漏工程等其他公辅工程及环保工程，目前处于正常运营中，本项目危废产生量较少，该危废库依托可行。</w:t>
            </w:r>
          </w:p>
          <w:p w14:paraId="6E7B3DB3">
            <w:pPr>
              <w:pStyle w:val="61"/>
              <w:spacing w:line="360" w:lineRule="auto"/>
              <w:ind w:firstLine="482" w:firstLineChars="200"/>
              <w:jc w:val="both"/>
              <w:rPr>
                <w:rFonts w:ascii="Times New Roman" w:hAnsi="Times New Roman" w:cs="Times New Roman"/>
                <w:b/>
                <w:bCs/>
                <w:color w:val="000000" w:themeColor="text1"/>
                <w:sz w:val="24"/>
                <w:highlight w:val="none"/>
                <w:lang w:val="en-US"/>
              </w:rPr>
            </w:pPr>
            <w:r>
              <w:rPr>
                <w:rFonts w:hint="eastAsia" w:ascii="Times New Roman" w:hAnsi="Times New Roman" w:cs="Times New Roman"/>
                <w:b/>
                <w:bCs/>
                <w:color w:val="000000" w:themeColor="text1"/>
                <w:sz w:val="24"/>
                <w:highlight w:val="none"/>
                <w:lang w:val="en-US"/>
              </w:rPr>
              <w:t>5.环境风险影响</w:t>
            </w:r>
          </w:p>
          <w:p w14:paraId="3914999B">
            <w:pPr>
              <w:pStyle w:val="61"/>
              <w:spacing w:line="360" w:lineRule="auto"/>
              <w:ind w:firstLine="480" w:firstLineChars="200"/>
              <w:jc w:val="both"/>
              <w:rPr>
                <w:rFonts w:ascii="Times New Roman" w:hAnsi="Times New Roman" w:cs="Times New Roman"/>
                <w:color w:val="000000" w:themeColor="text1"/>
                <w:sz w:val="24"/>
                <w:highlight w:val="none"/>
                <w:lang w:val="en-US"/>
              </w:rPr>
            </w:pPr>
            <w:r>
              <w:rPr>
                <w:rFonts w:hint="eastAsia" w:ascii="Times New Roman" w:hAnsi="Times New Roman" w:cs="Times New Roman"/>
                <w:color w:val="000000" w:themeColor="text1"/>
                <w:sz w:val="24"/>
                <w:highlight w:val="none"/>
                <w:lang w:val="en-US"/>
              </w:rPr>
              <w:t>（1）环境风险潜势判定</w:t>
            </w:r>
          </w:p>
          <w:p w14:paraId="026FB78D">
            <w:pPr>
              <w:adjustRightInd w:val="0"/>
              <w:snapToGrid w:val="0"/>
              <w:spacing w:line="360" w:lineRule="auto"/>
              <w:ind w:firstLine="420" w:firstLineChars="175"/>
              <w:rPr>
                <w:color w:val="000000" w:themeColor="text1"/>
                <w:sz w:val="24"/>
                <w:highlight w:val="none"/>
              </w:rPr>
            </w:pPr>
            <w:r>
              <w:rPr>
                <w:rFonts w:hint="eastAsia"/>
                <w:color w:val="000000" w:themeColor="text1"/>
                <w:sz w:val="24"/>
                <w:highlight w:val="none"/>
              </w:rPr>
              <w:t>根据《建设项目环境风险评价技术导则》（HJ169-2018）附录B，本项目不涉及风险物质使用，富民煤矿为低瓦斯煤矿，排风过程中会携带少量瓦斯气体。</w:t>
            </w:r>
          </w:p>
          <w:p w14:paraId="2ADBAA46">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计算所涉及的每种危险物质在厂界内的最大存在总量与其在《建设项目环境风险评价技术导则》（HJ/T169-2018）附录B中对应临界量的比值Q。在不同厂区的同一种物质，按其在厂界内的最大存在总量计算。对于长输管线项目，按照两个截断阀室之间管段危险物质最大存在总量计算。</w:t>
            </w:r>
          </w:p>
          <w:p w14:paraId="324AA809">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当只涉及1种危险物质时，计算该物质的总量与其临界量比值，即为 L；</w:t>
            </w:r>
          </w:p>
          <w:p w14:paraId="018E11B0">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当存在多种危险物质时，则按</w:t>
            </w:r>
            <w:r>
              <w:rPr>
                <w:rFonts w:hint="eastAsia"/>
                <w:color w:val="000000" w:themeColor="text1"/>
                <w:sz w:val="24"/>
                <w:highlight w:val="none"/>
                <w:lang w:eastAsia="zh-CN"/>
              </w:rPr>
              <w:t>以下</w:t>
            </w:r>
            <w:r>
              <w:rPr>
                <w:rFonts w:hint="eastAsia"/>
                <w:color w:val="000000" w:themeColor="text1"/>
                <w:sz w:val="24"/>
                <w:highlight w:val="none"/>
              </w:rPr>
              <w:t>公式计算物质总量与其临界量比值(Q)：</w:t>
            </w:r>
          </w:p>
          <w:p w14:paraId="79DD9D88">
            <w:pPr>
              <w:adjustRightInd w:val="0"/>
              <w:snapToGrid w:val="0"/>
              <w:spacing w:line="360" w:lineRule="auto"/>
              <w:ind w:left="360"/>
              <w:rPr>
                <w:color w:val="000000" w:themeColor="text1"/>
                <w:sz w:val="24"/>
                <w:highlight w:val="none"/>
              </w:rPr>
            </w:pPr>
            <w:r>
              <w:rPr>
                <w:rFonts w:hint="eastAsia"/>
                <w:color w:val="000000" w:themeColor="text1"/>
                <w:sz w:val="24"/>
                <w:highlight w:val="none"/>
              </w:rPr>
              <w:t xml:space="preserve">Q=q1/Q1+q2/Q2+q3/Q3+ ······+qn/Qn </w:t>
            </w:r>
          </w:p>
          <w:p w14:paraId="35C59514">
            <w:pPr>
              <w:adjustRightInd w:val="0"/>
              <w:snapToGrid w:val="0"/>
              <w:spacing w:line="360" w:lineRule="auto"/>
              <w:ind w:left="360"/>
              <w:rPr>
                <w:color w:val="000000" w:themeColor="text1"/>
                <w:sz w:val="24"/>
                <w:highlight w:val="none"/>
              </w:rPr>
            </w:pPr>
            <w:r>
              <w:rPr>
                <w:rFonts w:hint="eastAsia"/>
                <w:color w:val="000000" w:themeColor="text1"/>
                <w:sz w:val="24"/>
                <w:highlight w:val="none"/>
              </w:rPr>
              <w:t xml:space="preserve">式中 q1，q2，q3······，qn——每种危险物质的最大存在总量，t； </w:t>
            </w:r>
          </w:p>
          <w:p w14:paraId="0016AB2C">
            <w:pPr>
              <w:adjustRightInd w:val="0"/>
              <w:snapToGrid w:val="0"/>
              <w:spacing w:line="360" w:lineRule="auto"/>
              <w:ind w:left="360"/>
              <w:rPr>
                <w:color w:val="000000" w:themeColor="text1"/>
                <w:sz w:val="24"/>
                <w:highlight w:val="none"/>
              </w:rPr>
            </w:pPr>
            <w:r>
              <w:rPr>
                <w:rFonts w:hint="eastAsia"/>
                <w:color w:val="000000" w:themeColor="text1"/>
                <w:sz w:val="24"/>
                <w:highlight w:val="none"/>
              </w:rPr>
              <w:t>Q1，Q2，Q3······，Qn——每种危险物质的临界量，t。</w:t>
            </w:r>
          </w:p>
          <w:p w14:paraId="5B161EAE">
            <w:pPr>
              <w:adjustRightInd w:val="0"/>
              <w:snapToGrid w:val="0"/>
              <w:spacing w:line="360" w:lineRule="auto"/>
              <w:ind w:left="360"/>
              <w:rPr>
                <w:color w:val="000000" w:themeColor="text1"/>
                <w:sz w:val="24"/>
                <w:highlight w:val="none"/>
              </w:rPr>
            </w:pPr>
            <w:r>
              <w:rPr>
                <w:rFonts w:hint="eastAsia"/>
                <w:color w:val="000000" w:themeColor="text1"/>
                <w:sz w:val="24"/>
                <w:highlight w:val="none"/>
              </w:rPr>
              <w:t>当 Q&lt;1 时，该项目环境风险潜势为Ⅰ</w:t>
            </w:r>
          </w:p>
          <w:p w14:paraId="788CB4AE">
            <w:pPr>
              <w:adjustRightInd w:val="0"/>
              <w:snapToGrid w:val="0"/>
              <w:spacing w:line="360" w:lineRule="auto"/>
              <w:ind w:left="360"/>
              <w:rPr>
                <w:color w:val="000000" w:themeColor="text1"/>
                <w:sz w:val="24"/>
                <w:highlight w:val="none"/>
              </w:rPr>
            </w:pPr>
            <w:r>
              <w:rPr>
                <w:rFonts w:hint="eastAsia"/>
                <w:color w:val="000000" w:themeColor="text1"/>
                <w:sz w:val="24"/>
                <w:highlight w:val="none"/>
              </w:rPr>
              <w:t>当 Q≥1 时，将Q值划分为：（1）1≤Q&lt;10；（2）10≤Q&lt;100；（3）</w:t>
            </w:r>
          </w:p>
          <w:p w14:paraId="3C9DCA2D">
            <w:pPr>
              <w:adjustRightInd w:val="0"/>
              <w:snapToGrid w:val="0"/>
              <w:spacing w:line="360" w:lineRule="auto"/>
              <w:rPr>
                <w:color w:val="000000" w:themeColor="text1"/>
                <w:sz w:val="24"/>
                <w:highlight w:val="none"/>
              </w:rPr>
            </w:pPr>
            <w:r>
              <w:rPr>
                <w:rFonts w:hint="eastAsia"/>
                <w:color w:val="000000" w:themeColor="text1"/>
                <w:sz w:val="24"/>
                <w:highlight w:val="none"/>
              </w:rPr>
              <w:t>Q≥10</w:t>
            </w:r>
          </w:p>
          <w:p w14:paraId="54F9220D">
            <w:pPr>
              <w:widowControl/>
              <w:spacing w:line="360" w:lineRule="auto"/>
              <w:ind w:firstLine="480" w:firstLineChars="200"/>
              <w:jc w:val="left"/>
              <w:rPr>
                <w:rFonts w:ascii="宋体" w:hAnsi="宋体" w:cs="宋体"/>
                <w:color w:val="000000" w:themeColor="text1"/>
                <w:kern w:val="0"/>
                <w:sz w:val="24"/>
                <w:highlight w:val="none"/>
              </w:rPr>
            </w:pPr>
            <w:r>
              <w:rPr>
                <w:rFonts w:hint="eastAsia"/>
                <w:color w:val="000000" w:themeColor="text1"/>
                <w:sz w:val="24"/>
                <w:highlight w:val="none"/>
              </w:rPr>
              <w:t>本项目因不涉及风险物质使用，因此可直接判断企业环境风险潜势为Ⅰ。</w:t>
            </w:r>
          </w:p>
          <w:p w14:paraId="3D9E99D2">
            <w:pPr>
              <w:widowControl/>
              <w:spacing w:line="360" w:lineRule="auto"/>
              <w:ind w:firstLine="480" w:firstLineChars="200"/>
              <w:jc w:val="left"/>
              <w:rPr>
                <w:color w:val="000000" w:themeColor="text1"/>
                <w:highlight w:val="none"/>
              </w:rPr>
            </w:pPr>
            <w:r>
              <w:rPr>
                <w:rFonts w:hint="eastAsia" w:ascii="宋体" w:hAnsi="宋体" w:cs="宋体"/>
                <w:color w:val="000000" w:themeColor="text1"/>
                <w:kern w:val="0"/>
                <w:sz w:val="24"/>
                <w:highlight w:val="none"/>
              </w:rPr>
              <w:t>（</w:t>
            </w:r>
            <w:r>
              <w:rPr>
                <w:color w:val="000000" w:themeColor="text1"/>
                <w:kern w:val="0"/>
                <w:sz w:val="24"/>
                <w:highlight w:val="none"/>
              </w:rPr>
              <w:t>2</w:t>
            </w:r>
            <w:r>
              <w:rPr>
                <w:rFonts w:hint="eastAsia" w:ascii="宋体" w:hAnsi="宋体" w:cs="宋体"/>
                <w:color w:val="000000" w:themeColor="text1"/>
                <w:kern w:val="0"/>
                <w:sz w:val="24"/>
                <w:highlight w:val="none"/>
              </w:rPr>
              <w:t>）评价等级判定</w:t>
            </w:r>
          </w:p>
          <w:p w14:paraId="7F968C1C">
            <w:pPr>
              <w:widowControl/>
              <w:jc w:val="center"/>
              <w:rPr>
                <w:color w:val="000000" w:themeColor="text1"/>
                <w:sz w:val="24"/>
                <w:highlight w:val="none"/>
              </w:rPr>
            </w:pPr>
            <w:r>
              <w:rPr>
                <w:rFonts w:hint="eastAsia" w:ascii="宋体" w:hAnsi="宋体" w:cs="宋体"/>
                <w:color w:val="000000" w:themeColor="text1"/>
                <w:kern w:val="0"/>
                <w:sz w:val="24"/>
                <w:highlight w:val="none"/>
              </w:rPr>
              <w:t>表</w:t>
            </w:r>
            <w:r>
              <w:rPr>
                <w:color w:val="000000" w:themeColor="text1"/>
                <w:kern w:val="0"/>
                <w:sz w:val="24"/>
                <w:highlight w:val="none"/>
              </w:rPr>
              <w:t>4</w:t>
            </w:r>
            <w:r>
              <w:rPr>
                <w:rFonts w:hint="eastAsia"/>
                <w:color w:val="000000" w:themeColor="text1"/>
                <w:kern w:val="0"/>
                <w:sz w:val="24"/>
                <w:highlight w:val="none"/>
              </w:rPr>
              <w:t xml:space="preserve">-7 </w:t>
            </w:r>
            <w:r>
              <w:rPr>
                <w:rFonts w:hint="eastAsia" w:ascii="宋体" w:hAnsi="宋体" w:cs="宋体"/>
                <w:color w:val="000000" w:themeColor="text1"/>
                <w:kern w:val="0"/>
                <w:sz w:val="24"/>
                <w:highlight w:val="none"/>
              </w:rPr>
              <w:t>评价工作等级划定</w:t>
            </w:r>
          </w:p>
          <w:tbl>
            <w:tblPr>
              <w:tblStyle w:val="27"/>
              <w:tblW w:w="81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9"/>
              <w:gridCol w:w="1629"/>
              <w:gridCol w:w="1629"/>
              <w:gridCol w:w="1630"/>
              <w:gridCol w:w="1630"/>
            </w:tblGrid>
            <w:tr w14:paraId="7FD20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9" w:type="dxa"/>
                  <w:vAlign w:val="center"/>
                </w:tcPr>
                <w:p w14:paraId="390A238D">
                  <w:pPr>
                    <w:widowControl/>
                    <w:jc w:val="center"/>
                    <w:rPr>
                      <w:color w:val="000000" w:themeColor="text1"/>
                      <w:szCs w:val="21"/>
                      <w:highlight w:val="none"/>
                    </w:rPr>
                  </w:pPr>
                  <w:r>
                    <w:rPr>
                      <w:rFonts w:hint="eastAsia" w:ascii="宋体" w:hAnsi="宋体" w:cs="宋体"/>
                      <w:color w:val="000000" w:themeColor="text1"/>
                      <w:kern w:val="0"/>
                      <w:szCs w:val="21"/>
                      <w:highlight w:val="none"/>
                    </w:rPr>
                    <w:t>环境风险潜势</w:t>
                  </w:r>
                </w:p>
              </w:tc>
              <w:tc>
                <w:tcPr>
                  <w:tcW w:w="1629" w:type="dxa"/>
                  <w:vAlign w:val="center"/>
                </w:tcPr>
                <w:p w14:paraId="4F0C0604">
                  <w:pPr>
                    <w:pStyle w:val="61"/>
                    <w:rPr>
                      <w:rFonts w:ascii="Times New Roman" w:hAnsi="Times New Roman" w:cs="Times New Roman"/>
                      <w:color w:val="000000" w:themeColor="text1"/>
                      <w:szCs w:val="21"/>
                      <w:highlight w:val="none"/>
                      <w:lang w:val="en-US"/>
                    </w:rPr>
                  </w:pPr>
                  <w:r>
                    <w:rPr>
                      <w:rFonts w:hint="eastAsia"/>
                      <w:color w:val="000000" w:themeColor="text1"/>
                      <w:kern w:val="0"/>
                      <w:szCs w:val="21"/>
                      <w:highlight w:val="none"/>
                      <w:lang w:val="en-US"/>
                    </w:rPr>
                    <w:t>Ⅳ</w:t>
                  </w:r>
                  <w:r>
                    <w:rPr>
                      <w:rFonts w:ascii="Times New Roman" w:hAnsi="Times New Roman" w:cs="Times New Roman"/>
                      <w:color w:val="000000" w:themeColor="text1"/>
                      <w:kern w:val="0"/>
                      <w:szCs w:val="21"/>
                      <w:highlight w:val="none"/>
                      <w:lang w:val="en-US"/>
                    </w:rPr>
                    <w:t>+</w:t>
                  </w:r>
                  <w:r>
                    <w:rPr>
                      <w:rFonts w:hint="eastAsia"/>
                      <w:color w:val="000000" w:themeColor="text1"/>
                      <w:kern w:val="0"/>
                      <w:szCs w:val="21"/>
                      <w:highlight w:val="none"/>
                      <w:lang w:val="en-US"/>
                    </w:rPr>
                    <w:t>、Ⅳ</w:t>
                  </w:r>
                </w:p>
              </w:tc>
              <w:tc>
                <w:tcPr>
                  <w:tcW w:w="1629" w:type="dxa"/>
                  <w:vAlign w:val="center"/>
                </w:tcPr>
                <w:p w14:paraId="288204CA">
                  <w:pPr>
                    <w:pStyle w:val="61"/>
                    <w:rPr>
                      <w:rFonts w:ascii="Times New Roman" w:hAnsi="Times New Roman" w:cs="Times New Roman"/>
                      <w:color w:val="000000" w:themeColor="text1"/>
                      <w:szCs w:val="21"/>
                      <w:highlight w:val="none"/>
                      <w:lang w:val="en-US"/>
                    </w:rPr>
                  </w:pPr>
                  <w:r>
                    <w:rPr>
                      <w:rFonts w:hint="eastAsia"/>
                      <w:color w:val="000000" w:themeColor="text1"/>
                      <w:kern w:val="0"/>
                      <w:szCs w:val="21"/>
                      <w:highlight w:val="none"/>
                      <w:lang w:val="en-US"/>
                    </w:rPr>
                    <w:t>Ⅲ</w:t>
                  </w:r>
                </w:p>
              </w:tc>
              <w:tc>
                <w:tcPr>
                  <w:tcW w:w="1630" w:type="dxa"/>
                  <w:vAlign w:val="center"/>
                </w:tcPr>
                <w:p w14:paraId="1C5E4732">
                  <w:pPr>
                    <w:pStyle w:val="61"/>
                    <w:rPr>
                      <w:rFonts w:ascii="Times New Roman" w:hAnsi="Times New Roman" w:cs="Times New Roman"/>
                      <w:color w:val="000000" w:themeColor="text1"/>
                      <w:szCs w:val="21"/>
                      <w:highlight w:val="none"/>
                      <w:lang w:val="en-US"/>
                    </w:rPr>
                  </w:pPr>
                  <w:r>
                    <w:rPr>
                      <w:rFonts w:hint="eastAsia"/>
                      <w:color w:val="000000" w:themeColor="text1"/>
                      <w:kern w:val="0"/>
                      <w:szCs w:val="21"/>
                      <w:highlight w:val="none"/>
                      <w:lang w:val="en-US"/>
                    </w:rPr>
                    <w:t>Ⅱ</w:t>
                  </w:r>
                </w:p>
              </w:tc>
              <w:tc>
                <w:tcPr>
                  <w:tcW w:w="1630" w:type="dxa"/>
                  <w:vAlign w:val="center"/>
                </w:tcPr>
                <w:p w14:paraId="0E8FEE88">
                  <w:pPr>
                    <w:pStyle w:val="61"/>
                    <w:rPr>
                      <w:rFonts w:ascii="Times New Roman" w:hAnsi="Times New Roman" w:cs="Times New Roman"/>
                      <w:color w:val="000000" w:themeColor="text1"/>
                      <w:szCs w:val="21"/>
                      <w:highlight w:val="none"/>
                      <w:lang w:val="en-US"/>
                    </w:rPr>
                  </w:pPr>
                  <w:r>
                    <w:rPr>
                      <w:rFonts w:hint="eastAsia"/>
                      <w:color w:val="000000" w:themeColor="text1"/>
                      <w:kern w:val="0"/>
                      <w:szCs w:val="21"/>
                      <w:highlight w:val="none"/>
                      <w:lang w:val="en-US"/>
                    </w:rPr>
                    <w:t>Ⅰ</w:t>
                  </w:r>
                </w:p>
              </w:tc>
            </w:tr>
            <w:tr w14:paraId="1DDD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9" w:type="dxa"/>
                  <w:vAlign w:val="center"/>
                </w:tcPr>
                <w:p w14:paraId="3474D35D">
                  <w:pPr>
                    <w:widowControl/>
                    <w:jc w:val="center"/>
                    <w:rPr>
                      <w:color w:val="000000" w:themeColor="text1"/>
                      <w:szCs w:val="21"/>
                      <w:highlight w:val="none"/>
                    </w:rPr>
                  </w:pPr>
                  <w:r>
                    <w:rPr>
                      <w:rFonts w:hint="eastAsia" w:ascii="宋体" w:hAnsi="宋体" w:cs="宋体"/>
                      <w:color w:val="000000" w:themeColor="text1"/>
                      <w:kern w:val="0"/>
                      <w:szCs w:val="21"/>
                      <w:highlight w:val="none"/>
                    </w:rPr>
                    <w:t>评价工作等级</w:t>
                  </w:r>
                </w:p>
              </w:tc>
              <w:tc>
                <w:tcPr>
                  <w:tcW w:w="1629" w:type="dxa"/>
                  <w:vAlign w:val="center"/>
                </w:tcPr>
                <w:p w14:paraId="6010524D">
                  <w:pPr>
                    <w:widowControl/>
                    <w:jc w:val="center"/>
                    <w:rPr>
                      <w:color w:val="000000" w:themeColor="text1"/>
                      <w:szCs w:val="21"/>
                      <w:highlight w:val="none"/>
                    </w:rPr>
                  </w:pPr>
                  <w:r>
                    <w:rPr>
                      <w:rFonts w:hint="eastAsia" w:ascii="宋体" w:hAnsi="宋体" w:cs="宋体"/>
                      <w:color w:val="000000" w:themeColor="text1"/>
                      <w:kern w:val="0"/>
                      <w:szCs w:val="21"/>
                      <w:highlight w:val="none"/>
                    </w:rPr>
                    <w:t>一</w:t>
                  </w:r>
                </w:p>
              </w:tc>
              <w:tc>
                <w:tcPr>
                  <w:tcW w:w="1629" w:type="dxa"/>
                  <w:vAlign w:val="center"/>
                </w:tcPr>
                <w:p w14:paraId="00E325D5">
                  <w:pPr>
                    <w:widowControl/>
                    <w:jc w:val="center"/>
                    <w:rPr>
                      <w:color w:val="000000" w:themeColor="text1"/>
                      <w:szCs w:val="21"/>
                      <w:highlight w:val="none"/>
                    </w:rPr>
                  </w:pPr>
                  <w:r>
                    <w:rPr>
                      <w:rFonts w:hint="eastAsia" w:ascii="宋体" w:hAnsi="宋体" w:cs="宋体"/>
                      <w:color w:val="000000" w:themeColor="text1"/>
                      <w:kern w:val="0"/>
                      <w:szCs w:val="21"/>
                      <w:highlight w:val="none"/>
                    </w:rPr>
                    <w:t>二</w:t>
                  </w:r>
                </w:p>
              </w:tc>
              <w:tc>
                <w:tcPr>
                  <w:tcW w:w="1630" w:type="dxa"/>
                  <w:vAlign w:val="center"/>
                </w:tcPr>
                <w:p w14:paraId="48B1944F">
                  <w:pPr>
                    <w:widowControl/>
                    <w:jc w:val="center"/>
                    <w:rPr>
                      <w:color w:val="000000" w:themeColor="text1"/>
                      <w:szCs w:val="21"/>
                      <w:highlight w:val="none"/>
                    </w:rPr>
                  </w:pPr>
                  <w:r>
                    <w:rPr>
                      <w:rFonts w:hint="eastAsia" w:ascii="宋体" w:hAnsi="宋体" w:cs="宋体"/>
                      <w:color w:val="000000" w:themeColor="text1"/>
                      <w:kern w:val="0"/>
                      <w:szCs w:val="21"/>
                      <w:highlight w:val="none"/>
                    </w:rPr>
                    <w:t>三</w:t>
                  </w:r>
                </w:p>
              </w:tc>
              <w:tc>
                <w:tcPr>
                  <w:tcW w:w="1630" w:type="dxa"/>
                  <w:vAlign w:val="center"/>
                </w:tcPr>
                <w:p w14:paraId="1CA6013B">
                  <w:pPr>
                    <w:widowControl/>
                    <w:jc w:val="center"/>
                    <w:rPr>
                      <w:color w:val="000000" w:themeColor="text1"/>
                      <w:szCs w:val="21"/>
                      <w:highlight w:val="none"/>
                    </w:rPr>
                  </w:pPr>
                  <w:r>
                    <w:rPr>
                      <w:rFonts w:hint="eastAsia" w:ascii="宋体" w:hAnsi="宋体" w:cs="宋体"/>
                      <w:color w:val="000000" w:themeColor="text1"/>
                      <w:kern w:val="0"/>
                      <w:szCs w:val="21"/>
                      <w:highlight w:val="none"/>
                    </w:rPr>
                    <w:t>简单分析</w:t>
                  </w:r>
                </w:p>
              </w:tc>
            </w:tr>
          </w:tbl>
          <w:p w14:paraId="1CF17DE7">
            <w:pPr>
              <w:widowControl/>
              <w:spacing w:line="360" w:lineRule="auto"/>
              <w:ind w:firstLine="480" w:firstLineChars="200"/>
              <w:rPr>
                <w:color w:val="000000" w:themeColor="text1"/>
                <w:sz w:val="24"/>
                <w:highlight w:val="none"/>
              </w:rPr>
            </w:pPr>
            <w:r>
              <w:rPr>
                <w:color w:val="000000" w:themeColor="text1"/>
                <w:kern w:val="0"/>
                <w:sz w:val="24"/>
                <w:highlight w:val="none"/>
              </w:rPr>
              <w:t>本项目风险潜势为Ⅰ，根据《建设项目环境风险评价技术导则》</w:t>
            </w:r>
            <w:r>
              <w:rPr>
                <w:rFonts w:hint="eastAsia"/>
                <w:color w:val="000000" w:themeColor="text1"/>
                <w:kern w:val="0"/>
                <w:sz w:val="24"/>
                <w:highlight w:val="none"/>
              </w:rPr>
              <w:t>（</w:t>
            </w:r>
            <w:r>
              <w:rPr>
                <w:color w:val="000000" w:themeColor="text1"/>
                <w:kern w:val="0"/>
                <w:sz w:val="24"/>
                <w:highlight w:val="none"/>
              </w:rPr>
              <w:t>HJ/T169</w:t>
            </w:r>
            <w:r>
              <w:rPr>
                <w:rFonts w:hint="eastAsia"/>
                <w:color w:val="000000" w:themeColor="text1"/>
                <w:kern w:val="0"/>
                <w:sz w:val="24"/>
                <w:highlight w:val="none"/>
              </w:rPr>
              <w:t>-</w:t>
            </w:r>
            <w:r>
              <w:rPr>
                <w:color w:val="000000" w:themeColor="text1"/>
                <w:kern w:val="0"/>
                <w:sz w:val="24"/>
                <w:highlight w:val="none"/>
              </w:rPr>
              <w:t>2018</w:t>
            </w:r>
            <w:r>
              <w:rPr>
                <w:rFonts w:hint="eastAsia"/>
                <w:color w:val="000000" w:themeColor="text1"/>
                <w:kern w:val="0"/>
                <w:sz w:val="24"/>
                <w:highlight w:val="none"/>
              </w:rPr>
              <w:t>）</w:t>
            </w:r>
            <w:r>
              <w:rPr>
                <w:color w:val="000000" w:themeColor="text1"/>
                <w:kern w:val="0"/>
                <w:sz w:val="24"/>
                <w:highlight w:val="none"/>
              </w:rPr>
              <w:t>中的有关规定，本项目风险评价只需简单分析。</w:t>
            </w:r>
          </w:p>
          <w:p w14:paraId="65F95F86">
            <w:pPr>
              <w:widowControl/>
              <w:spacing w:line="360" w:lineRule="auto"/>
              <w:ind w:firstLine="480" w:firstLineChars="200"/>
              <w:jc w:val="left"/>
              <w:rPr>
                <w:color w:val="000000" w:themeColor="text1"/>
                <w:sz w:val="24"/>
                <w:highlight w:val="none"/>
              </w:rPr>
            </w:pPr>
            <w:r>
              <w:rPr>
                <w:rFonts w:hint="eastAsia"/>
                <w:color w:val="000000" w:themeColor="text1"/>
                <w:kern w:val="0"/>
                <w:sz w:val="24"/>
                <w:highlight w:val="none"/>
              </w:rPr>
              <w:t>（</w:t>
            </w:r>
            <w:r>
              <w:rPr>
                <w:color w:val="000000" w:themeColor="text1"/>
                <w:kern w:val="0"/>
                <w:sz w:val="24"/>
                <w:highlight w:val="none"/>
              </w:rPr>
              <w:t>3）环境风险识别</w:t>
            </w:r>
          </w:p>
          <w:p w14:paraId="0ABE1966">
            <w:pPr>
              <w:widowControl/>
              <w:spacing w:line="360" w:lineRule="auto"/>
              <w:ind w:firstLine="480" w:firstLineChars="200"/>
              <w:rPr>
                <w:color w:val="000000" w:themeColor="text1"/>
                <w:sz w:val="24"/>
                <w:highlight w:val="none"/>
              </w:rPr>
            </w:pPr>
            <w:r>
              <w:rPr>
                <w:color w:val="000000" w:themeColor="text1"/>
                <w:kern w:val="0"/>
                <w:sz w:val="24"/>
                <w:highlight w:val="none"/>
              </w:rPr>
              <w:t>本项目</w:t>
            </w:r>
            <w:r>
              <w:rPr>
                <w:rFonts w:hint="eastAsia"/>
                <w:color w:val="000000" w:themeColor="text1"/>
                <w:kern w:val="0"/>
                <w:sz w:val="24"/>
                <w:highlight w:val="none"/>
              </w:rPr>
              <w:t>设备发生火灾会对周围环境造成污染及瓦斯引燃、爆炸风险</w:t>
            </w:r>
            <w:r>
              <w:rPr>
                <w:color w:val="000000" w:themeColor="text1"/>
                <w:kern w:val="0"/>
                <w:sz w:val="24"/>
                <w:highlight w:val="none"/>
              </w:rPr>
              <w:t>。</w:t>
            </w:r>
          </w:p>
          <w:p w14:paraId="4E4EB97B">
            <w:pPr>
              <w:widowControl/>
              <w:spacing w:line="360" w:lineRule="auto"/>
              <w:ind w:firstLine="480" w:firstLineChars="200"/>
              <w:jc w:val="left"/>
              <w:rPr>
                <w:color w:val="000000" w:themeColor="text1"/>
                <w:sz w:val="24"/>
                <w:highlight w:val="none"/>
              </w:rPr>
            </w:pPr>
            <w:r>
              <w:rPr>
                <w:rFonts w:hint="eastAsia"/>
                <w:color w:val="000000" w:themeColor="text1"/>
                <w:kern w:val="0"/>
                <w:sz w:val="24"/>
                <w:highlight w:val="none"/>
              </w:rPr>
              <w:t>（</w:t>
            </w:r>
            <w:r>
              <w:rPr>
                <w:color w:val="000000" w:themeColor="text1"/>
                <w:kern w:val="0"/>
                <w:sz w:val="24"/>
                <w:highlight w:val="none"/>
              </w:rPr>
              <w:t>4）环境影响途径</w:t>
            </w:r>
          </w:p>
          <w:p w14:paraId="69FBCF89">
            <w:pPr>
              <w:widowControl/>
              <w:spacing w:line="360" w:lineRule="auto"/>
              <w:ind w:firstLine="480" w:firstLineChars="200"/>
              <w:jc w:val="left"/>
              <w:rPr>
                <w:color w:val="000000" w:themeColor="text1"/>
                <w:kern w:val="0"/>
                <w:sz w:val="24"/>
                <w:highlight w:val="none"/>
              </w:rPr>
            </w:pPr>
            <w:r>
              <w:rPr>
                <w:rFonts w:hint="eastAsia"/>
                <w:color w:val="000000" w:themeColor="text1"/>
                <w:kern w:val="0"/>
                <w:sz w:val="24"/>
                <w:highlight w:val="none"/>
              </w:rPr>
              <w:t>1）火灾</w:t>
            </w:r>
          </w:p>
          <w:p w14:paraId="2AD85E4C">
            <w:pPr>
              <w:widowControl/>
              <w:spacing w:line="360" w:lineRule="auto"/>
              <w:ind w:firstLine="480" w:firstLineChars="200"/>
              <w:jc w:val="left"/>
              <w:rPr>
                <w:color w:val="000000" w:themeColor="text1"/>
                <w:sz w:val="24"/>
                <w:highlight w:val="none"/>
              </w:rPr>
            </w:pPr>
            <w:r>
              <w:rPr>
                <w:color w:val="000000" w:themeColor="text1"/>
                <w:kern w:val="0"/>
                <w:sz w:val="24"/>
                <w:highlight w:val="none"/>
              </w:rPr>
              <w:t>本项目</w:t>
            </w:r>
            <w:r>
              <w:rPr>
                <w:rFonts w:hint="eastAsia"/>
                <w:color w:val="000000" w:themeColor="text1"/>
                <w:kern w:val="0"/>
                <w:sz w:val="24"/>
                <w:highlight w:val="none"/>
              </w:rPr>
              <w:t>如发生设备火灾时会导致大气环境、水环境、土壤环境受到不同程度的污染，例如：</w:t>
            </w:r>
          </w:p>
          <w:p w14:paraId="1496C587">
            <w:pPr>
              <w:widowControl/>
              <w:spacing w:line="360" w:lineRule="auto"/>
              <w:ind w:firstLine="480" w:firstLineChars="200"/>
              <w:jc w:val="left"/>
              <w:rPr>
                <w:b/>
                <w:bCs/>
                <w:color w:val="000000" w:themeColor="text1"/>
                <w:sz w:val="24"/>
                <w:highlight w:val="none"/>
              </w:rPr>
            </w:pPr>
            <w:r>
              <w:rPr>
                <w:rFonts w:hint="eastAsia"/>
                <w:color w:val="000000" w:themeColor="text1"/>
                <w:sz w:val="24"/>
                <w:highlight w:val="none"/>
              </w:rPr>
              <w:t>①</w:t>
            </w:r>
            <w:r>
              <w:rPr>
                <w:color w:val="000000" w:themeColor="text1"/>
                <w:sz w:val="24"/>
                <w:highlight w:val="none"/>
              </w:rPr>
              <w:t>火灾引起的大气污染：燃烧过程中产生的有害气体，如氯化氢、二</w:t>
            </w:r>
            <w:r>
              <w:rPr>
                <w:rFonts w:hint="eastAsia"/>
                <w:color w:val="000000" w:themeColor="text1"/>
                <w:sz w:val="24"/>
                <w:highlight w:val="none"/>
                <w:lang w:eastAsia="zh-CN"/>
              </w:rPr>
              <w:t>噁</w:t>
            </w:r>
            <w:r>
              <w:rPr>
                <w:color w:val="000000" w:themeColor="text1"/>
                <w:sz w:val="24"/>
                <w:highlight w:val="none"/>
              </w:rPr>
              <w:t>英和苯并芘，不仅对火场人员有害，还会污染大气。不同材料的燃烧会产生不同类型的污染物。</w:t>
            </w:r>
          </w:p>
          <w:p w14:paraId="6359A4A4">
            <w:pPr>
              <w:widowControl/>
              <w:spacing w:line="360" w:lineRule="auto"/>
              <w:ind w:firstLine="480" w:firstLineChars="200"/>
              <w:jc w:val="left"/>
              <w:rPr>
                <w:rFonts w:ascii="宋体" w:hAnsi="宋体" w:cs="宋体"/>
                <w:color w:val="000000" w:themeColor="text1"/>
                <w:sz w:val="24"/>
                <w:highlight w:val="none"/>
              </w:rPr>
            </w:pPr>
            <w:r>
              <w:rPr>
                <w:rFonts w:hint="eastAsia" w:ascii="宋体" w:hAnsi="宋体" w:cs="宋体"/>
                <w:color w:val="000000" w:themeColor="text1"/>
                <w:sz w:val="24"/>
                <w:highlight w:val="none"/>
              </w:rPr>
              <w:t>②火灾导致的水体污染：火灾产生的含有致癌物质的烟雾沉降于土壤和河流，造成水质污染，进而影响食物链中的生物。</w:t>
            </w:r>
          </w:p>
          <w:p w14:paraId="7E893684">
            <w:pPr>
              <w:widowControl/>
              <w:spacing w:line="360" w:lineRule="auto"/>
              <w:ind w:firstLine="480" w:firstLineChars="200"/>
              <w:jc w:val="left"/>
              <w:rPr>
                <w:color w:val="000000" w:themeColor="text1"/>
                <w:sz w:val="24"/>
                <w:highlight w:val="none"/>
              </w:rPr>
            </w:pPr>
            <w:r>
              <w:rPr>
                <w:rFonts w:hint="eastAsia" w:ascii="宋体" w:hAnsi="宋体" w:cs="宋体"/>
                <w:color w:val="000000" w:themeColor="text1"/>
                <w:sz w:val="24"/>
                <w:highlight w:val="none"/>
              </w:rPr>
              <w:t>③火</w:t>
            </w:r>
            <w:r>
              <w:rPr>
                <w:color w:val="000000" w:themeColor="text1"/>
                <w:sz w:val="24"/>
                <w:highlight w:val="none"/>
              </w:rPr>
              <w:t>灾引起的土壤污染：烟雾中的有害物质落入土壤，导致土壤污染，影响土壤质量和植物生长。</w:t>
            </w:r>
          </w:p>
          <w:p w14:paraId="71F7C901">
            <w:pPr>
              <w:pStyle w:val="32"/>
              <w:spacing w:line="360" w:lineRule="auto"/>
              <w:ind w:firstLine="480" w:firstLineChars="200"/>
              <w:rPr>
                <w:rFonts w:cs="Times New Roman"/>
                <w:color w:val="000000" w:themeColor="text1"/>
                <w:kern w:val="0"/>
                <w:highlight w:val="none"/>
              </w:rPr>
            </w:pPr>
            <w:r>
              <w:rPr>
                <w:rFonts w:ascii="Times New Roman" w:cs="Times New Roman"/>
                <w:color w:val="000000" w:themeColor="text1"/>
                <w:highlight w:val="none"/>
              </w:rPr>
              <w:t>2</w:t>
            </w:r>
            <w:r>
              <w:rPr>
                <w:rFonts w:hint="eastAsia" w:cs="Times New Roman"/>
                <w:color w:val="000000" w:themeColor="text1"/>
                <w:kern w:val="0"/>
                <w:highlight w:val="none"/>
              </w:rPr>
              <w:t>）瓦斯火灾及爆炸风险</w:t>
            </w:r>
          </w:p>
          <w:p w14:paraId="01092508">
            <w:pPr>
              <w:pStyle w:val="32"/>
              <w:spacing w:line="360" w:lineRule="auto"/>
              <w:ind w:firstLine="480" w:firstLineChars="200"/>
              <w:rPr>
                <w:rFonts w:cs="Times New Roman"/>
                <w:color w:val="000000" w:themeColor="text1"/>
                <w:kern w:val="0"/>
                <w:highlight w:val="none"/>
              </w:rPr>
            </w:pPr>
            <w:r>
              <w:rPr>
                <w:rFonts w:cs="Times New Roman"/>
                <w:color w:val="000000" w:themeColor="text1"/>
                <w:kern w:val="0"/>
                <w:highlight w:val="none"/>
              </w:rPr>
              <w:t>瓦斯引燃的风险主要来自各种高温火源，如煤炭自燃、电气火花、爆破火焰、吸烟、电焊等。点燃瓦斯的最低温度一般为650～750℃。这些火源一旦与高浓度的瓦斯接触，就会引发爆炸。此外，瓦斯的扩散性很强，能迅速扩散至全部空间，对人体造成危害</w:t>
            </w:r>
            <w:r>
              <w:rPr>
                <w:rFonts w:hint="eastAsia" w:cs="Times New Roman"/>
                <w:color w:val="000000" w:themeColor="text1"/>
                <w:kern w:val="0"/>
                <w:highlight w:val="none"/>
              </w:rPr>
              <w:t>，富民煤矿为低瓦斯煤矿，瓦斯含量较少，且本项目为通风项目，有利于瓦斯逸散，降低浓度。</w:t>
            </w:r>
            <w:r>
              <w:rPr>
                <w:rFonts w:cs="Times New Roman"/>
                <w:color w:val="000000" w:themeColor="text1"/>
                <w:kern w:val="0"/>
                <w:highlight w:val="none"/>
              </w:rPr>
              <w:t>‌</w:t>
            </w:r>
          </w:p>
          <w:p w14:paraId="5EFC2A63">
            <w:pPr>
              <w:widowControl/>
              <w:spacing w:line="360" w:lineRule="auto"/>
              <w:ind w:firstLine="480" w:firstLineChars="200"/>
              <w:jc w:val="left"/>
              <w:rPr>
                <w:color w:val="000000" w:themeColor="text1"/>
                <w:sz w:val="24"/>
                <w:highlight w:val="none"/>
              </w:rPr>
            </w:pPr>
            <w:r>
              <w:rPr>
                <w:rFonts w:hint="eastAsia"/>
                <w:color w:val="000000" w:themeColor="text1"/>
                <w:kern w:val="0"/>
                <w:sz w:val="24"/>
                <w:highlight w:val="none"/>
              </w:rPr>
              <w:t>（</w:t>
            </w:r>
            <w:r>
              <w:rPr>
                <w:color w:val="000000" w:themeColor="text1"/>
                <w:kern w:val="0"/>
                <w:sz w:val="24"/>
                <w:highlight w:val="none"/>
              </w:rPr>
              <w:t>5）风险防范措施</w:t>
            </w:r>
          </w:p>
          <w:p w14:paraId="77826956">
            <w:pPr>
              <w:widowControl/>
              <w:spacing w:line="360" w:lineRule="auto"/>
              <w:ind w:firstLine="482" w:firstLineChars="200"/>
              <w:jc w:val="left"/>
              <w:rPr>
                <w:color w:val="000000" w:themeColor="text1"/>
                <w:kern w:val="0"/>
                <w:sz w:val="24"/>
                <w:highlight w:val="none"/>
              </w:rPr>
            </w:pPr>
            <w:r>
              <w:rPr>
                <w:rFonts w:hint="eastAsia"/>
                <w:b/>
                <w:bCs/>
                <w:color w:val="000000" w:themeColor="text1"/>
                <w:kern w:val="0"/>
                <w:sz w:val="24"/>
                <w:highlight w:val="none"/>
              </w:rPr>
              <w:t>火灾措施</w:t>
            </w:r>
          </w:p>
          <w:p w14:paraId="09A97A5A">
            <w:pPr>
              <w:widowControl/>
              <w:spacing w:line="360" w:lineRule="auto"/>
              <w:ind w:firstLine="480" w:firstLineChars="200"/>
              <w:jc w:val="left"/>
              <w:rPr>
                <w:color w:val="000000" w:themeColor="text1"/>
                <w:kern w:val="0"/>
                <w:sz w:val="24"/>
                <w:highlight w:val="none"/>
              </w:rPr>
            </w:pPr>
            <w:r>
              <w:rPr>
                <w:color w:val="000000" w:themeColor="text1"/>
                <w:kern w:val="0"/>
                <w:sz w:val="24"/>
                <w:highlight w:val="none"/>
              </w:rPr>
              <w:t>设备防火的基本原则</w:t>
            </w:r>
          </w:p>
          <w:p w14:paraId="64D8282E">
            <w:pPr>
              <w:widowControl/>
              <w:spacing w:line="360" w:lineRule="auto"/>
              <w:ind w:firstLine="480" w:firstLineChars="200"/>
              <w:jc w:val="left"/>
              <w:rPr>
                <w:color w:val="000000" w:themeColor="text1"/>
                <w:kern w:val="0"/>
                <w:sz w:val="24"/>
                <w:highlight w:val="none"/>
              </w:rPr>
            </w:pPr>
            <w:r>
              <w:rPr>
                <w:rFonts w:hint="eastAsia"/>
                <w:color w:val="000000" w:themeColor="text1"/>
                <w:kern w:val="0"/>
                <w:sz w:val="24"/>
                <w:highlight w:val="none"/>
              </w:rPr>
              <w:t>①</w:t>
            </w:r>
            <w:r>
              <w:rPr>
                <w:color w:val="000000" w:themeColor="text1"/>
                <w:kern w:val="0"/>
                <w:sz w:val="24"/>
                <w:highlight w:val="none"/>
              </w:rPr>
              <w:t>预防为主，防消结合</w:t>
            </w:r>
          </w:p>
          <w:p w14:paraId="74FDE7EA">
            <w:pPr>
              <w:widowControl/>
              <w:spacing w:line="360" w:lineRule="auto"/>
              <w:ind w:firstLine="480" w:firstLineChars="200"/>
              <w:jc w:val="left"/>
              <w:rPr>
                <w:color w:val="000000" w:themeColor="text1"/>
                <w:kern w:val="0"/>
                <w:sz w:val="24"/>
                <w:highlight w:val="none"/>
              </w:rPr>
            </w:pPr>
            <w:r>
              <w:rPr>
                <w:color w:val="000000" w:themeColor="text1"/>
                <w:kern w:val="0"/>
                <w:sz w:val="24"/>
                <w:highlight w:val="none"/>
              </w:rPr>
              <w:t>设备防火工作应始终坚持“预防为主，防消结合”的原则，既要加强设备防火管理又要提高设备防火技术水平。</w:t>
            </w:r>
          </w:p>
          <w:p w14:paraId="0A9C95CB">
            <w:pPr>
              <w:widowControl/>
              <w:spacing w:line="360" w:lineRule="auto"/>
              <w:ind w:firstLine="480" w:firstLineChars="200"/>
              <w:jc w:val="left"/>
              <w:rPr>
                <w:color w:val="000000" w:themeColor="text1"/>
                <w:kern w:val="0"/>
                <w:sz w:val="24"/>
                <w:highlight w:val="none"/>
              </w:rPr>
            </w:pPr>
            <w:r>
              <w:rPr>
                <w:rFonts w:hint="eastAsia"/>
                <w:color w:val="000000" w:themeColor="text1"/>
                <w:kern w:val="0"/>
                <w:sz w:val="24"/>
                <w:highlight w:val="none"/>
              </w:rPr>
              <w:t>②</w:t>
            </w:r>
            <w:r>
              <w:rPr>
                <w:color w:val="000000" w:themeColor="text1"/>
                <w:kern w:val="0"/>
                <w:sz w:val="24"/>
                <w:highlight w:val="none"/>
              </w:rPr>
              <w:t>系统化、科学化</w:t>
            </w:r>
          </w:p>
          <w:p w14:paraId="7366BB1E">
            <w:pPr>
              <w:widowControl/>
              <w:spacing w:line="360" w:lineRule="auto"/>
              <w:ind w:firstLine="480" w:firstLineChars="200"/>
              <w:jc w:val="left"/>
              <w:rPr>
                <w:color w:val="000000" w:themeColor="text1"/>
                <w:kern w:val="0"/>
                <w:sz w:val="24"/>
                <w:highlight w:val="none"/>
              </w:rPr>
            </w:pPr>
            <w:r>
              <w:rPr>
                <w:color w:val="000000" w:themeColor="text1"/>
                <w:kern w:val="0"/>
                <w:sz w:val="24"/>
                <w:highlight w:val="none"/>
              </w:rPr>
              <w:t>设备防火工作应实行系统化、科学化管理，对设备进行全面、细致</w:t>
            </w:r>
            <w:r>
              <w:rPr>
                <w:rFonts w:hint="eastAsia"/>
                <w:color w:val="000000" w:themeColor="text1"/>
                <w:kern w:val="0"/>
                <w:sz w:val="24"/>
                <w:highlight w:val="none"/>
                <w:lang w:eastAsia="zh-CN"/>
              </w:rPr>
              <w:t>地</w:t>
            </w:r>
            <w:r>
              <w:rPr>
                <w:color w:val="000000" w:themeColor="text1"/>
                <w:kern w:val="0"/>
                <w:sz w:val="24"/>
                <w:highlight w:val="none"/>
              </w:rPr>
              <w:t>检查，确保设备防火措施的落实。</w:t>
            </w:r>
          </w:p>
          <w:p w14:paraId="07F254B5">
            <w:pPr>
              <w:widowControl/>
              <w:spacing w:line="360" w:lineRule="auto"/>
              <w:ind w:firstLine="480" w:firstLineChars="200"/>
              <w:jc w:val="left"/>
              <w:rPr>
                <w:color w:val="000000" w:themeColor="text1"/>
                <w:kern w:val="0"/>
                <w:sz w:val="24"/>
                <w:highlight w:val="none"/>
              </w:rPr>
            </w:pPr>
            <w:r>
              <w:rPr>
                <w:rFonts w:hint="eastAsia"/>
                <w:color w:val="000000" w:themeColor="text1"/>
                <w:kern w:val="0"/>
                <w:sz w:val="24"/>
                <w:highlight w:val="none"/>
              </w:rPr>
              <w:t>③</w:t>
            </w:r>
            <w:r>
              <w:rPr>
                <w:color w:val="000000" w:themeColor="text1"/>
                <w:kern w:val="0"/>
                <w:sz w:val="24"/>
                <w:highlight w:val="none"/>
              </w:rPr>
              <w:t>严格执行法规标准</w:t>
            </w:r>
          </w:p>
          <w:p w14:paraId="3FB2EE0A">
            <w:pPr>
              <w:widowControl/>
              <w:spacing w:line="360" w:lineRule="auto"/>
              <w:ind w:firstLine="480" w:firstLineChars="200"/>
              <w:jc w:val="left"/>
              <w:rPr>
                <w:color w:val="000000" w:themeColor="text1"/>
                <w:kern w:val="0"/>
                <w:sz w:val="24"/>
                <w:highlight w:val="none"/>
              </w:rPr>
            </w:pPr>
            <w:r>
              <w:rPr>
                <w:color w:val="000000" w:themeColor="text1"/>
                <w:kern w:val="0"/>
                <w:sz w:val="24"/>
                <w:highlight w:val="none"/>
              </w:rPr>
              <w:t>设备防火工作应严格执行国家有关法律法规和标准，确保设备防火措施的合法性和有效性。</w:t>
            </w:r>
          </w:p>
          <w:p w14:paraId="6697878D">
            <w:pPr>
              <w:widowControl/>
              <w:spacing w:line="360" w:lineRule="auto"/>
              <w:ind w:firstLine="480" w:firstLineChars="200"/>
              <w:jc w:val="left"/>
              <w:rPr>
                <w:color w:val="000000" w:themeColor="text1"/>
                <w:kern w:val="0"/>
                <w:sz w:val="24"/>
                <w:highlight w:val="none"/>
              </w:rPr>
            </w:pPr>
            <w:r>
              <w:rPr>
                <w:rFonts w:hint="eastAsia"/>
                <w:color w:val="000000" w:themeColor="text1"/>
                <w:kern w:val="0"/>
                <w:sz w:val="24"/>
                <w:highlight w:val="none"/>
              </w:rPr>
              <w:t>④</w:t>
            </w:r>
            <w:r>
              <w:rPr>
                <w:color w:val="000000" w:themeColor="text1"/>
                <w:kern w:val="0"/>
                <w:sz w:val="24"/>
                <w:highlight w:val="none"/>
              </w:rPr>
              <w:t>重视教育培训</w:t>
            </w:r>
          </w:p>
          <w:p w14:paraId="2EDB72BD">
            <w:pPr>
              <w:widowControl/>
              <w:spacing w:line="360" w:lineRule="auto"/>
              <w:ind w:firstLine="480" w:firstLineChars="200"/>
              <w:jc w:val="left"/>
              <w:rPr>
                <w:color w:val="000000" w:themeColor="text1"/>
                <w:sz w:val="24"/>
                <w:highlight w:val="none"/>
              </w:rPr>
            </w:pPr>
            <w:r>
              <w:rPr>
                <w:color w:val="000000" w:themeColor="text1"/>
                <w:kern w:val="0"/>
                <w:sz w:val="24"/>
                <w:highlight w:val="none"/>
              </w:rPr>
              <w:t>加强设备防火教育培训，提高员工防火意识和技能，是设备防火工作的重要环节</w:t>
            </w:r>
            <w:r>
              <w:rPr>
                <w:rFonts w:hint="eastAsia"/>
                <w:color w:val="000000" w:themeColor="text1"/>
                <w:kern w:val="0"/>
                <w:sz w:val="24"/>
                <w:highlight w:val="none"/>
              </w:rPr>
              <w:t>。</w:t>
            </w:r>
          </w:p>
          <w:p w14:paraId="6727B45F">
            <w:pPr>
              <w:widowControl/>
              <w:spacing w:line="360" w:lineRule="auto"/>
              <w:ind w:firstLine="480" w:firstLineChars="200"/>
              <w:rPr>
                <w:color w:val="000000" w:themeColor="text1"/>
                <w:kern w:val="0"/>
                <w:sz w:val="24"/>
                <w:highlight w:val="none"/>
              </w:rPr>
            </w:pPr>
            <w:r>
              <w:rPr>
                <w:color w:val="000000" w:themeColor="text1"/>
                <w:kern w:val="0"/>
                <w:sz w:val="24"/>
                <w:highlight w:val="none"/>
              </w:rPr>
              <w:t>设备防火措施</w:t>
            </w:r>
          </w:p>
          <w:p w14:paraId="6B3E60E3">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1）</w:t>
            </w:r>
            <w:r>
              <w:rPr>
                <w:color w:val="000000" w:themeColor="text1"/>
                <w:kern w:val="0"/>
                <w:sz w:val="24"/>
                <w:highlight w:val="none"/>
              </w:rPr>
              <w:t>设备选型与安装</w:t>
            </w:r>
          </w:p>
          <w:p w14:paraId="47F9D5B0">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①</w:t>
            </w:r>
            <w:r>
              <w:rPr>
                <w:color w:val="000000" w:themeColor="text1"/>
                <w:kern w:val="0"/>
                <w:sz w:val="24"/>
                <w:highlight w:val="none"/>
              </w:rPr>
              <w:t>选用符合国家标准的设备，确保设备质量</w:t>
            </w:r>
            <w:r>
              <w:rPr>
                <w:rFonts w:hint="eastAsia"/>
                <w:color w:val="000000" w:themeColor="text1"/>
                <w:kern w:val="0"/>
                <w:sz w:val="24"/>
                <w:highlight w:val="none"/>
              </w:rPr>
              <w:t>；</w:t>
            </w:r>
          </w:p>
          <w:p w14:paraId="5249FB8A">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②</w:t>
            </w:r>
            <w:r>
              <w:rPr>
                <w:color w:val="000000" w:themeColor="text1"/>
                <w:kern w:val="0"/>
                <w:sz w:val="24"/>
                <w:highlight w:val="none"/>
              </w:rPr>
              <w:t>设备安装应符合设计要求，确保设备运行安全</w:t>
            </w:r>
            <w:r>
              <w:rPr>
                <w:rFonts w:hint="eastAsia"/>
                <w:color w:val="000000" w:themeColor="text1"/>
                <w:kern w:val="0"/>
                <w:sz w:val="24"/>
                <w:highlight w:val="none"/>
              </w:rPr>
              <w:t>；</w:t>
            </w:r>
          </w:p>
          <w:p w14:paraId="09B9F645">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③</w:t>
            </w:r>
            <w:r>
              <w:rPr>
                <w:color w:val="000000" w:themeColor="text1"/>
                <w:kern w:val="0"/>
                <w:sz w:val="24"/>
                <w:highlight w:val="none"/>
              </w:rPr>
              <w:t>安装消防设施，如灭火器、消防栓等</w:t>
            </w:r>
            <w:r>
              <w:rPr>
                <w:rFonts w:hint="eastAsia"/>
                <w:color w:val="000000" w:themeColor="text1"/>
                <w:kern w:val="0"/>
                <w:sz w:val="24"/>
                <w:highlight w:val="none"/>
              </w:rPr>
              <w:t>。</w:t>
            </w:r>
          </w:p>
          <w:p w14:paraId="0821BEE8">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2）</w:t>
            </w:r>
            <w:r>
              <w:rPr>
                <w:color w:val="000000" w:themeColor="text1"/>
                <w:kern w:val="0"/>
                <w:sz w:val="24"/>
                <w:highlight w:val="none"/>
              </w:rPr>
              <w:t>设备日常管理</w:t>
            </w:r>
          </w:p>
          <w:p w14:paraId="02596C09">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①</w:t>
            </w:r>
            <w:r>
              <w:rPr>
                <w:color w:val="000000" w:themeColor="text1"/>
                <w:kern w:val="0"/>
                <w:sz w:val="24"/>
                <w:highlight w:val="none"/>
              </w:rPr>
              <w:t>定期检查设备，发现隐患及时整改</w:t>
            </w:r>
            <w:r>
              <w:rPr>
                <w:rFonts w:hint="eastAsia"/>
                <w:color w:val="000000" w:themeColor="text1"/>
                <w:kern w:val="0"/>
                <w:sz w:val="24"/>
                <w:highlight w:val="none"/>
              </w:rPr>
              <w:t>；</w:t>
            </w:r>
          </w:p>
          <w:p w14:paraId="5DC75E1B">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②</w:t>
            </w:r>
            <w:r>
              <w:rPr>
                <w:color w:val="000000" w:themeColor="text1"/>
                <w:kern w:val="0"/>
                <w:sz w:val="24"/>
                <w:highlight w:val="none"/>
              </w:rPr>
              <w:t>对易燃、易爆设备进行特殊管理，如设置隔离区、限制人员进入等</w:t>
            </w:r>
            <w:r>
              <w:rPr>
                <w:rFonts w:hint="eastAsia"/>
                <w:color w:val="000000" w:themeColor="text1"/>
                <w:kern w:val="0"/>
                <w:sz w:val="24"/>
                <w:highlight w:val="none"/>
              </w:rPr>
              <w:t>；</w:t>
            </w:r>
          </w:p>
          <w:p w14:paraId="47574BDC">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③</w:t>
            </w:r>
            <w:r>
              <w:rPr>
                <w:color w:val="000000" w:themeColor="text1"/>
                <w:kern w:val="0"/>
                <w:sz w:val="24"/>
                <w:highlight w:val="none"/>
              </w:rPr>
              <w:t>对设备进行定期维护保养，确保设备正常运行。</w:t>
            </w:r>
          </w:p>
          <w:p w14:paraId="15ACA484">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3）</w:t>
            </w:r>
            <w:r>
              <w:rPr>
                <w:color w:val="000000" w:themeColor="text1"/>
                <w:kern w:val="0"/>
                <w:sz w:val="24"/>
                <w:highlight w:val="none"/>
              </w:rPr>
              <w:t>防火材料与涂料</w:t>
            </w:r>
          </w:p>
          <w:p w14:paraId="235A875D">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①</w:t>
            </w:r>
            <w:r>
              <w:rPr>
                <w:color w:val="000000" w:themeColor="text1"/>
                <w:kern w:val="0"/>
                <w:sz w:val="24"/>
                <w:highlight w:val="none"/>
              </w:rPr>
              <w:t>选用防火性能好的材料，如防火板、防火涂料等</w:t>
            </w:r>
            <w:r>
              <w:rPr>
                <w:rFonts w:hint="eastAsia"/>
                <w:color w:val="000000" w:themeColor="text1"/>
                <w:kern w:val="0"/>
                <w:sz w:val="24"/>
                <w:highlight w:val="none"/>
              </w:rPr>
              <w:t>；</w:t>
            </w:r>
          </w:p>
          <w:p w14:paraId="1E4A79CE">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②</w:t>
            </w:r>
            <w:r>
              <w:rPr>
                <w:color w:val="000000" w:themeColor="text1"/>
                <w:kern w:val="0"/>
                <w:sz w:val="24"/>
                <w:highlight w:val="none"/>
              </w:rPr>
              <w:t>对设备进行防火涂料涂装，提高设备防火性能</w:t>
            </w:r>
            <w:r>
              <w:rPr>
                <w:rFonts w:hint="eastAsia"/>
                <w:color w:val="000000" w:themeColor="text1"/>
                <w:kern w:val="0"/>
                <w:sz w:val="24"/>
                <w:highlight w:val="none"/>
              </w:rPr>
              <w:t>。</w:t>
            </w:r>
          </w:p>
          <w:p w14:paraId="76B43821">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4）</w:t>
            </w:r>
            <w:r>
              <w:rPr>
                <w:color w:val="000000" w:themeColor="text1"/>
                <w:kern w:val="0"/>
                <w:sz w:val="24"/>
                <w:highlight w:val="none"/>
              </w:rPr>
              <w:t>防火分隔与隔离</w:t>
            </w:r>
          </w:p>
          <w:p w14:paraId="32EC74CE">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①</w:t>
            </w:r>
            <w:r>
              <w:rPr>
                <w:color w:val="000000" w:themeColor="text1"/>
                <w:kern w:val="0"/>
                <w:sz w:val="24"/>
                <w:highlight w:val="none"/>
              </w:rPr>
              <w:t>设置防火分隔墙、防火门等，防止火势蔓延</w:t>
            </w:r>
            <w:r>
              <w:rPr>
                <w:rFonts w:hint="eastAsia"/>
                <w:color w:val="000000" w:themeColor="text1"/>
                <w:kern w:val="0"/>
                <w:sz w:val="24"/>
                <w:highlight w:val="none"/>
              </w:rPr>
              <w:t>；</w:t>
            </w:r>
          </w:p>
          <w:p w14:paraId="163416E5">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②</w:t>
            </w:r>
            <w:r>
              <w:rPr>
                <w:color w:val="000000" w:themeColor="text1"/>
                <w:kern w:val="0"/>
                <w:sz w:val="24"/>
                <w:highlight w:val="none"/>
              </w:rPr>
              <w:t>对易燃、易爆设备进行隔离，降低火灾风险。</w:t>
            </w:r>
          </w:p>
          <w:p w14:paraId="2B0C05FA">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5）</w:t>
            </w:r>
            <w:r>
              <w:rPr>
                <w:color w:val="000000" w:themeColor="text1"/>
                <w:kern w:val="0"/>
                <w:sz w:val="24"/>
                <w:highlight w:val="none"/>
              </w:rPr>
              <w:t>消防设施</w:t>
            </w:r>
          </w:p>
          <w:p w14:paraId="5FE9D976">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①</w:t>
            </w:r>
            <w:r>
              <w:rPr>
                <w:color w:val="000000" w:themeColor="text1"/>
                <w:kern w:val="0"/>
                <w:sz w:val="24"/>
                <w:highlight w:val="none"/>
              </w:rPr>
              <w:t>安装灭火器、消防栓等消防设施，确保火灾发生时能够及时扑灭</w:t>
            </w:r>
            <w:r>
              <w:rPr>
                <w:rFonts w:hint="eastAsia"/>
                <w:color w:val="000000" w:themeColor="text1"/>
                <w:kern w:val="0"/>
                <w:sz w:val="24"/>
                <w:highlight w:val="none"/>
              </w:rPr>
              <w:t>；</w:t>
            </w:r>
          </w:p>
          <w:p w14:paraId="726EB58D">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②</w:t>
            </w:r>
            <w:r>
              <w:rPr>
                <w:color w:val="000000" w:themeColor="text1"/>
                <w:kern w:val="0"/>
                <w:sz w:val="24"/>
                <w:highlight w:val="none"/>
              </w:rPr>
              <w:t>定期检查消防设施，确保其完好有效。</w:t>
            </w:r>
          </w:p>
          <w:p w14:paraId="275E4412">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6）防火教育培训</w:t>
            </w:r>
          </w:p>
          <w:p w14:paraId="15FEDCA1">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①加强员工防火意识教育，提高员工防火技能；</w:t>
            </w:r>
          </w:p>
          <w:p w14:paraId="3DEC850B">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②定期组织防火演练，提高员工应对火灾的能力。</w:t>
            </w:r>
          </w:p>
          <w:p w14:paraId="0F03100C">
            <w:pPr>
              <w:pStyle w:val="32"/>
              <w:spacing w:line="360" w:lineRule="auto"/>
              <w:ind w:firstLine="482" w:firstLineChars="200"/>
              <w:rPr>
                <w:rFonts w:cs="Times New Roman"/>
                <w:color w:val="000000" w:themeColor="text1"/>
                <w:kern w:val="0"/>
                <w:highlight w:val="none"/>
              </w:rPr>
            </w:pPr>
            <w:r>
              <w:rPr>
                <w:rFonts w:hint="eastAsia" w:cs="Times New Roman"/>
                <w:b/>
                <w:bCs/>
                <w:color w:val="000000" w:themeColor="text1"/>
                <w:kern w:val="0"/>
                <w:highlight w:val="none"/>
              </w:rPr>
              <w:t>瓦斯火灾及爆炸措施</w:t>
            </w:r>
          </w:p>
          <w:p w14:paraId="6B90C2EB">
            <w:pPr>
              <w:pStyle w:val="32"/>
              <w:spacing w:line="360" w:lineRule="auto"/>
              <w:ind w:firstLine="480" w:firstLineChars="200"/>
              <w:rPr>
                <w:rFonts w:cs="Times New Roman"/>
                <w:color w:val="000000" w:themeColor="text1"/>
                <w:kern w:val="0"/>
                <w:highlight w:val="none"/>
              </w:rPr>
            </w:pPr>
            <w:r>
              <w:rPr>
                <w:rFonts w:hint="eastAsia" w:cs="Times New Roman"/>
                <w:color w:val="000000" w:themeColor="text1"/>
                <w:kern w:val="0"/>
                <w:highlight w:val="none"/>
              </w:rPr>
              <w:t>为了预防瓦斯环境风险，可以采取以下措施：</w:t>
            </w:r>
          </w:p>
          <w:p w14:paraId="772E61B6">
            <w:pPr>
              <w:pStyle w:val="32"/>
              <w:spacing w:line="360" w:lineRule="auto"/>
              <w:ind w:firstLine="480" w:firstLineChars="200"/>
              <w:rPr>
                <w:rFonts w:cs="Times New Roman"/>
                <w:color w:val="000000" w:themeColor="text1"/>
                <w:kern w:val="0"/>
                <w:highlight w:val="none"/>
              </w:rPr>
            </w:pPr>
            <w:r>
              <w:rPr>
                <w:rFonts w:hint="eastAsia" w:cs="Times New Roman"/>
                <w:color w:val="000000" w:themeColor="text1"/>
                <w:kern w:val="0"/>
                <w:highlight w:val="none"/>
              </w:rPr>
              <w:t>‌防止瓦斯积聚‌：加强通风，确保井筒空气流通，减少瓦斯积聚的可能性。</w:t>
            </w:r>
          </w:p>
          <w:p w14:paraId="49872B00">
            <w:pPr>
              <w:pStyle w:val="32"/>
              <w:spacing w:line="360" w:lineRule="auto"/>
              <w:ind w:firstLine="480" w:firstLineChars="200"/>
              <w:rPr>
                <w:rFonts w:cs="Times New Roman"/>
                <w:color w:val="000000" w:themeColor="text1"/>
                <w:kern w:val="0"/>
                <w:highlight w:val="none"/>
              </w:rPr>
            </w:pPr>
            <w:r>
              <w:rPr>
                <w:rFonts w:hint="eastAsia" w:cs="Times New Roman"/>
                <w:color w:val="000000" w:themeColor="text1"/>
                <w:kern w:val="0"/>
                <w:highlight w:val="none"/>
              </w:rPr>
              <w:t>‌防止瓦斯引燃‌：杜绝井下高温热源的产生，如禁止在井下使用明火、电气火花等。</w:t>
            </w:r>
          </w:p>
          <w:p w14:paraId="0718C230">
            <w:pPr>
              <w:widowControl/>
              <w:spacing w:line="360" w:lineRule="auto"/>
              <w:ind w:firstLine="480" w:firstLineChars="200"/>
              <w:jc w:val="left"/>
              <w:rPr>
                <w:color w:val="000000" w:themeColor="text1"/>
                <w:sz w:val="24"/>
                <w:highlight w:val="none"/>
              </w:rPr>
            </w:pPr>
            <w:r>
              <w:rPr>
                <w:rFonts w:hint="eastAsia"/>
                <w:color w:val="000000" w:themeColor="text1"/>
                <w:kern w:val="0"/>
                <w:sz w:val="24"/>
                <w:highlight w:val="none"/>
              </w:rPr>
              <w:t>（</w:t>
            </w:r>
            <w:r>
              <w:rPr>
                <w:color w:val="000000" w:themeColor="text1"/>
                <w:kern w:val="0"/>
                <w:sz w:val="24"/>
                <w:highlight w:val="none"/>
              </w:rPr>
              <w:t>6）</w:t>
            </w:r>
            <w:r>
              <w:rPr>
                <w:rFonts w:hint="eastAsia"/>
                <w:color w:val="000000" w:themeColor="text1"/>
                <w:kern w:val="0"/>
                <w:sz w:val="24"/>
                <w:highlight w:val="none"/>
              </w:rPr>
              <w:t>火灾</w:t>
            </w:r>
            <w:r>
              <w:rPr>
                <w:color w:val="000000" w:themeColor="text1"/>
                <w:kern w:val="0"/>
                <w:sz w:val="24"/>
                <w:highlight w:val="none"/>
              </w:rPr>
              <w:t>风险预案</w:t>
            </w:r>
          </w:p>
          <w:p w14:paraId="6CB9A822">
            <w:pPr>
              <w:widowControl/>
              <w:spacing w:line="360" w:lineRule="auto"/>
              <w:ind w:firstLine="480" w:firstLineChars="200"/>
              <w:jc w:val="left"/>
              <w:rPr>
                <w:color w:val="000000" w:themeColor="text1"/>
                <w:sz w:val="24"/>
                <w:highlight w:val="none"/>
              </w:rPr>
            </w:pPr>
            <w:r>
              <w:rPr>
                <w:rFonts w:hint="eastAsia"/>
                <w:color w:val="000000" w:themeColor="text1"/>
                <w:kern w:val="0"/>
                <w:sz w:val="24"/>
                <w:highlight w:val="none"/>
              </w:rPr>
              <w:t>设备发生火灾</w:t>
            </w:r>
            <w:r>
              <w:rPr>
                <w:color w:val="000000" w:themeColor="text1"/>
                <w:kern w:val="0"/>
                <w:sz w:val="24"/>
                <w:highlight w:val="none"/>
              </w:rPr>
              <w:t>事故后，及时启动事故应急预案，并及时上报通知环保、安全有关部门；迅速撤离工作人员至安全区，并进行隔离，严格限制出入；采取正当的灭火措施灭火。</w:t>
            </w:r>
          </w:p>
          <w:p w14:paraId="19E8FF46">
            <w:pPr>
              <w:widowControl/>
              <w:spacing w:line="360" w:lineRule="auto"/>
              <w:ind w:firstLine="480" w:firstLineChars="200"/>
              <w:jc w:val="left"/>
              <w:rPr>
                <w:color w:val="000000" w:themeColor="text1"/>
                <w:sz w:val="24"/>
                <w:highlight w:val="none"/>
              </w:rPr>
            </w:pPr>
            <w:r>
              <w:rPr>
                <w:color w:val="000000" w:themeColor="text1"/>
                <w:sz w:val="24"/>
                <w:highlight w:val="none"/>
              </w:rPr>
              <w:t>本项目环境风险简单分析内容见表</w:t>
            </w:r>
            <w:r>
              <w:rPr>
                <w:rFonts w:hint="eastAsia"/>
                <w:color w:val="000000" w:themeColor="text1"/>
                <w:sz w:val="24"/>
                <w:highlight w:val="none"/>
              </w:rPr>
              <w:t>4-8</w:t>
            </w:r>
            <w:r>
              <w:rPr>
                <w:color w:val="000000" w:themeColor="text1"/>
                <w:sz w:val="24"/>
                <w:highlight w:val="none"/>
              </w:rPr>
              <w:t>。</w:t>
            </w:r>
          </w:p>
          <w:p w14:paraId="594387CA">
            <w:pPr>
              <w:widowControl/>
              <w:jc w:val="center"/>
              <w:rPr>
                <w:color w:val="000000" w:themeColor="text1"/>
                <w:sz w:val="24"/>
                <w:highlight w:val="none"/>
              </w:rPr>
            </w:pPr>
            <w:r>
              <w:rPr>
                <w:color w:val="000000" w:themeColor="text1"/>
                <w:sz w:val="24"/>
                <w:highlight w:val="none"/>
              </w:rPr>
              <w:t>表</w:t>
            </w:r>
            <w:r>
              <w:rPr>
                <w:rFonts w:hint="eastAsia"/>
                <w:color w:val="000000" w:themeColor="text1"/>
                <w:sz w:val="24"/>
                <w:highlight w:val="none"/>
              </w:rPr>
              <w:t>4-8</w:t>
            </w:r>
            <w:r>
              <w:rPr>
                <w:color w:val="000000" w:themeColor="text1"/>
                <w:sz w:val="24"/>
                <w:highlight w:val="none"/>
              </w:rPr>
              <w:t xml:space="preserve"> 建设项目环境风险简单分析内容表</w:t>
            </w:r>
          </w:p>
          <w:tbl>
            <w:tblPr>
              <w:tblStyle w:val="26"/>
              <w:tblW w:w="799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958"/>
              <w:gridCol w:w="1827"/>
              <w:gridCol w:w="1747"/>
              <w:gridCol w:w="2467"/>
            </w:tblGrid>
            <w:tr w14:paraId="72D896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1958" w:type="dxa"/>
                  <w:tcBorders>
                    <w:tl2br w:val="nil"/>
                    <w:tr2bl w:val="nil"/>
                  </w:tcBorders>
                  <w:vAlign w:val="center"/>
                </w:tcPr>
                <w:p w14:paraId="3CF26613">
                  <w:pPr>
                    <w:widowControl/>
                    <w:jc w:val="center"/>
                    <w:rPr>
                      <w:color w:val="000000" w:themeColor="text1"/>
                      <w:highlight w:val="none"/>
                    </w:rPr>
                  </w:pPr>
                  <w:r>
                    <w:rPr>
                      <w:color w:val="000000" w:themeColor="text1"/>
                      <w:highlight w:val="none"/>
                    </w:rPr>
                    <w:t>建设项目名称</w:t>
                  </w:r>
                </w:p>
              </w:tc>
              <w:tc>
                <w:tcPr>
                  <w:tcW w:w="6041" w:type="dxa"/>
                  <w:gridSpan w:val="3"/>
                  <w:tcBorders>
                    <w:tl2br w:val="nil"/>
                    <w:tr2bl w:val="nil"/>
                  </w:tcBorders>
                  <w:vAlign w:val="center"/>
                </w:tcPr>
                <w:p w14:paraId="76ECE528">
                  <w:pPr>
                    <w:widowControl/>
                    <w:jc w:val="center"/>
                    <w:rPr>
                      <w:color w:val="000000" w:themeColor="text1"/>
                      <w:highlight w:val="none"/>
                    </w:rPr>
                  </w:pPr>
                  <w:r>
                    <w:rPr>
                      <w:rFonts w:hint="eastAsia" w:ascii="宋体" w:hAnsi="宋体" w:cs="宋体"/>
                      <w:color w:val="000000" w:themeColor="text1"/>
                      <w:sz w:val="24"/>
                      <w:highlight w:val="none"/>
                    </w:rPr>
                    <w:t>内蒙古汇能煤电集团富民煤矿有限责任公司煤矿改建项目（新增井筒及三水平延升）</w:t>
                  </w:r>
                </w:p>
              </w:tc>
            </w:tr>
            <w:tr w14:paraId="1C78FD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3" w:hRule="atLeast"/>
                <w:jc w:val="center"/>
              </w:trPr>
              <w:tc>
                <w:tcPr>
                  <w:tcW w:w="1958" w:type="dxa"/>
                  <w:tcBorders>
                    <w:tl2br w:val="nil"/>
                    <w:tr2bl w:val="nil"/>
                  </w:tcBorders>
                  <w:vAlign w:val="center"/>
                </w:tcPr>
                <w:p w14:paraId="2B48CB29">
                  <w:pPr>
                    <w:widowControl/>
                    <w:jc w:val="center"/>
                    <w:rPr>
                      <w:color w:val="000000" w:themeColor="text1"/>
                      <w:highlight w:val="none"/>
                    </w:rPr>
                  </w:pPr>
                  <w:r>
                    <w:rPr>
                      <w:color w:val="000000" w:themeColor="text1"/>
                      <w:highlight w:val="none"/>
                    </w:rPr>
                    <w:t>建设地点</w:t>
                  </w:r>
                </w:p>
              </w:tc>
              <w:tc>
                <w:tcPr>
                  <w:tcW w:w="1827" w:type="dxa"/>
                  <w:tcBorders>
                    <w:tl2br w:val="nil"/>
                    <w:tr2bl w:val="nil"/>
                  </w:tcBorders>
                  <w:vAlign w:val="center"/>
                </w:tcPr>
                <w:p w14:paraId="1F9850F3">
                  <w:pPr>
                    <w:widowControl/>
                    <w:jc w:val="center"/>
                    <w:rPr>
                      <w:color w:val="000000" w:themeColor="text1"/>
                      <w:highlight w:val="none"/>
                    </w:rPr>
                  </w:pPr>
                  <w:r>
                    <w:rPr>
                      <w:color w:val="000000" w:themeColor="text1"/>
                      <w:highlight w:val="none"/>
                    </w:rPr>
                    <w:t>内蒙古自治区</w:t>
                  </w:r>
                </w:p>
              </w:tc>
              <w:tc>
                <w:tcPr>
                  <w:tcW w:w="1747" w:type="dxa"/>
                  <w:tcBorders>
                    <w:tl2br w:val="nil"/>
                    <w:tr2bl w:val="nil"/>
                  </w:tcBorders>
                  <w:vAlign w:val="center"/>
                </w:tcPr>
                <w:p w14:paraId="1D67BA73">
                  <w:pPr>
                    <w:widowControl/>
                    <w:jc w:val="center"/>
                    <w:rPr>
                      <w:color w:val="000000" w:themeColor="text1"/>
                      <w:highlight w:val="none"/>
                    </w:rPr>
                  </w:pPr>
                  <w:r>
                    <w:rPr>
                      <w:color w:val="000000" w:themeColor="text1"/>
                      <w:highlight w:val="none"/>
                    </w:rPr>
                    <w:t>鄂尔多斯市</w:t>
                  </w:r>
                </w:p>
              </w:tc>
              <w:tc>
                <w:tcPr>
                  <w:tcW w:w="2467" w:type="dxa"/>
                  <w:tcBorders>
                    <w:tl2br w:val="nil"/>
                    <w:tr2bl w:val="nil"/>
                  </w:tcBorders>
                  <w:vAlign w:val="center"/>
                </w:tcPr>
                <w:p w14:paraId="684853A9">
                  <w:pPr>
                    <w:widowControl/>
                    <w:jc w:val="center"/>
                    <w:rPr>
                      <w:color w:val="000000" w:themeColor="text1"/>
                      <w:highlight w:val="none"/>
                    </w:rPr>
                  </w:pPr>
                  <w:r>
                    <w:rPr>
                      <w:rFonts w:hint="eastAsia"/>
                      <w:color w:val="000000" w:themeColor="text1"/>
                      <w:highlight w:val="none"/>
                    </w:rPr>
                    <w:t>伊金霍洛旗</w:t>
                  </w:r>
                </w:p>
              </w:tc>
            </w:tr>
            <w:tr w14:paraId="4FAA80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1958" w:type="dxa"/>
                  <w:tcBorders>
                    <w:tl2br w:val="nil"/>
                    <w:tr2bl w:val="nil"/>
                  </w:tcBorders>
                  <w:vAlign w:val="center"/>
                </w:tcPr>
                <w:p w14:paraId="2F53F7EB">
                  <w:pPr>
                    <w:widowControl/>
                    <w:jc w:val="center"/>
                    <w:rPr>
                      <w:color w:val="000000" w:themeColor="text1"/>
                      <w:szCs w:val="21"/>
                      <w:highlight w:val="none"/>
                    </w:rPr>
                  </w:pPr>
                  <w:r>
                    <w:rPr>
                      <w:color w:val="000000" w:themeColor="text1"/>
                      <w:szCs w:val="21"/>
                      <w:highlight w:val="none"/>
                    </w:rPr>
                    <w:t>地理坐标</w:t>
                  </w:r>
                  <w:r>
                    <w:rPr>
                      <w:rFonts w:hint="eastAsia"/>
                      <w:color w:val="000000" w:themeColor="text1"/>
                      <w:szCs w:val="21"/>
                      <w:highlight w:val="none"/>
                    </w:rPr>
                    <w:t>（</w:t>
                  </w:r>
                  <w:r>
                    <w:rPr>
                      <w:color w:val="000000" w:themeColor="text1"/>
                      <w:szCs w:val="21"/>
                      <w:highlight w:val="none"/>
                    </w:rPr>
                    <w:t>WGS84坐标系）</w:t>
                  </w:r>
                </w:p>
              </w:tc>
              <w:tc>
                <w:tcPr>
                  <w:tcW w:w="6041" w:type="dxa"/>
                  <w:gridSpan w:val="3"/>
                  <w:tcBorders>
                    <w:tl2br w:val="nil"/>
                    <w:tr2bl w:val="nil"/>
                  </w:tcBorders>
                  <w:vAlign w:val="center"/>
                </w:tcPr>
                <w:p w14:paraId="19F4E355">
                  <w:pPr>
                    <w:widowControl/>
                    <w:jc w:val="center"/>
                    <w:rPr>
                      <w:color w:val="000000" w:themeColor="text1"/>
                      <w:szCs w:val="21"/>
                      <w:highlight w:val="none"/>
                    </w:rPr>
                  </w:pPr>
                  <w:r>
                    <w:rPr>
                      <w:rFonts w:hint="eastAsia"/>
                      <w:color w:val="000000" w:themeColor="text1"/>
                      <w:kern w:val="0"/>
                      <w:sz w:val="24"/>
                      <w:highlight w:val="none"/>
                    </w:rPr>
                    <w:t>E</w:t>
                  </w:r>
                  <w:r>
                    <w:rPr>
                      <w:color w:val="000000" w:themeColor="text1"/>
                      <w:kern w:val="0"/>
                      <w:sz w:val="24"/>
                      <w:highlight w:val="none"/>
                    </w:rPr>
                    <w:t>110°18′35.277″，</w:t>
                  </w:r>
                  <w:r>
                    <w:rPr>
                      <w:rFonts w:hint="eastAsia"/>
                      <w:color w:val="000000" w:themeColor="text1"/>
                      <w:kern w:val="0"/>
                      <w:sz w:val="24"/>
                      <w:highlight w:val="none"/>
                    </w:rPr>
                    <w:t>N</w:t>
                  </w:r>
                  <w:r>
                    <w:rPr>
                      <w:color w:val="000000" w:themeColor="text1"/>
                      <w:kern w:val="0"/>
                      <w:sz w:val="24"/>
                      <w:highlight w:val="none"/>
                    </w:rPr>
                    <w:t>39°36′57.361″</w:t>
                  </w:r>
                </w:p>
              </w:tc>
            </w:tr>
            <w:tr w14:paraId="7C0588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9" w:hRule="atLeast"/>
                <w:jc w:val="center"/>
              </w:trPr>
              <w:tc>
                <w:tcPr>
                  <w:tcW w:w="1958" w:type="dxa"/>
                  <w:tcBorders>
                    <w:tl2br w:val="nil"/>
                    <w:tr2bl w:val="nil"/>
                  </w:tcBorders>
                  <w:vAlign w:val="center"/>
                </w:tcPr>
                <w:p w14:paraId="5CA4AF14">
                  <w:pPr>
                    <w:widowControl/>
                    <w:jc w:val="center"/>
                    <w:rPr>
                      <w:color w:val="000000" w:themeColor="text1"/>
                      <w:szCs w:val="21"/>
                      <w:highlight w:val="none"/>
                    </w:rPr>
                  </w:pPr>
                  <w:r>
                    <w:rPr>
                      <w:color w:val="000000" w:themeColor="text1"/>
                      <w:szCs w:val="21"/>
                      <w:highlight w:val="none"/>
                    </w:rPr>
                    <w:t>主要危险物质及分布</w:t>
                  </w:r>
                </w:p>
              </w:tc>
              <w:tc>
                <w:tcPr>
                  <w:tcW w:w="6041" w:type="dxa"/>
                  <w:gridSpan w:val="3"/>
                  <w:tcBorders>
                    <w:tl2br w:val="nil"/>
                    <w:tr2bl w:val="nil"/>
                  </w:tcBorders>
                  <w:vAlign w:val="center"/>
                </w:tcPr>
                <w:p w14:paraId="1E9E1632">
                  <w:pPr>
                    <w:pStyle w:val="46"/>
                    <w:jc w:val="center"/>
                    <w:rPr>
                      <w:color w:val="000000" w:themeColor="text1"/>
                      <w:sz w:val="21"/>
                      <w:szCs w:val="21"/>
                      <w:highlight w:val="none"/>
                      <w:lang w:eastAsia="zh-CN"/>
                    </w:rPr>
                  </w:pPr>
                  <w:r>
                    <w:rPr>
                      <w:rFonts w:hint="eastAsia"/>
                      <w:color w:val="000000" w:themeColor="text1"/>
                      <w:spacing w:val="9"/>
                      <w:sz w:val="21"/>
                      <w:szCs w:val="21"/>
                      <w:highlight w:val="none"/>
                      <w:lang w:eastAsia="zh-CN"/>
                    </w:rPr>
                    <w:t>/</w:t>
                  </w:r>
                </w:p>
              </w:tc>
            </w:tr>
            <w:tr w14:paraId="22748A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4" w:hRule="atLeast"/>
                <w:jc w:val="center"/>
              </w:trPr>
              <w:tc>
                <w:tcPr>
                  <w:tcW w:w="1958" w:type="dxa"/>
                  <w:tcBorders>
                    <w:tl2br w:val="nil"/>
                    <w:tr2bl w:val="nil"/>
                  </w:tcBorders>
                  <w:vAlign w:val="center"/>
                </w:tcPr>
                <w:p w14:paraId="6013F4EF">
                  <w:pPr>
                    <w:widowControl/>
                    <w:jc w:val="center"/>
                    <w:rPr>
                      <w:color w:val="000000" w:themeColor="text1"/>
                      <w:szCs w:val="21"/>
                      <w:highlight w:val="none"/>
                    </w:rPr>
                  </w:pPr>
                  <w:r>
                    <w:rPr>
                      <w:color w:val="000000" w:themeColor="text1"/>
                      <w:szCs w:val="21"/>
                      <w:highlight w:val="none"/>
                    </w:rPr>
                    <w:t>环境影响途径及危害后果</w:t>
                  </w:r>
                  <w:r>
                    <w:rPr>
                      <w:rFonts w:hint="eastAsia"/>
                      <w:color w:val="000000" w:themeColor="text1"/>
                      <w:szCs w:val="21"/>
                      <w:highlight w:val="none"/>
                    </w:rPr>
                    <w:t>（</w:t>
                  </w:r>
                  <w:r>
                    <w:rPr>
                      <w:color w:val="000000" w:themeColor="text1"/>
                      <w:szCs w:val="21"/>
                      <w:highlight w:val="none"/>
                    </w:rPr>
                    <w:t>大气、地表水、地下水等）</w:t>
                  </w:r>
                </w:p>
              </w:tc>
              <w:tc>
                <w:tcPr>
                  <w:tcW w:w="6041" w:type="dxa"/>
                  <w:gridSpan w:val="3"/>
                  <w:tcBorders>
                    <w:tl2br w:val="nil"/>
                    <w:tr2bl w:val="nil"/>
                  </w:tcBorders>
                  <w:vAlign w:val="center"/>
                </w:tcPr>
                <w:p w14:paraId="7097C5C3">
                  <w:pPr>
                    <w:pStyle w:val="46"/>
                    <w:jc w:val="center"/>
                    <w:rPr>
                      <w:color w:val="000000" w:themeColor="text1"/>
                      <w:sz w:val="21"/>
                      <w:szCs w:val="21"/>
                      <w:highlight w:val="none"/>
                      <w:lang w:eastAsia="zh-CN"/>
                    </w:rPr>
                  </w:pPr>
                  <w:r>
                    <w:rPr>
                      <w:color w:val="000000" w:themeColor="text1"/>
                      <w:sz w:val="21"/>
                      <w:szCs w:val="21"/>
                      <w:highlight w:val="none"/>
                      <w:lang w:eastAsia="zh-CN"/>
                    </w:rPr>
                    <w:t>①火灾引起的大气污染：燃烧过程中产生的有害气体，如氯化氢、二</w:t>
                  </w:r>
                  <w:r>
                    <w:rPr>
                      <w:rFonts w:hint="eastAsia"/>
                      <w:color w:val="000000" w:themeColor="text1"/>
                      <w:sz w:val="21"/>
                      <w:szCs w:val="21"/>
                      <w:highlight w:val="none"/>
                      <w:lang w:eastAsia="zh-CN"/>
                    </w:rPr>
                    <w:t>噁</w:t>
                  </w:r>
                  <w:r>
                    <w:rPr>
                      <w:color w:val="000000" w:themeColor="text1"/>
                      <w:sz w:val="21"/>
                      <w:szCs w:val="21"/>
                      <w:highlight w:val="none"/>
                      <w:lang w:eastAsia="zh-CN"/>
                    </w:rPr>
                    <w:t>英和苯并芘，不仅对火场人员有害，还会污染大气。不同材料的燃烧会产生不同类型的污染物。</w:t>
                  </w:r>
                </w:p>
                <w:p w14:paraId="4DEE3AA7">
                  <w:pPr>
                    <w:pStyle w:val="46"/>
                    <w:jc w:val="center"/>
                    <w:rPr>
                      <w:color w:val="000000" w:themeColor="text1"/>
                      <w:sz w:val="21"/>
                      <w:szCs w:val="21"/>
                      <w:highlight w:val="none"/>
                      <w:lang w:eastAsia="zh-CN"/>
                    </w:rPr>
                  </w:pPr>
                  <w:r>
                    <w:rPr>
                      <w:color w:val="000000" w:themeColor="text1"/>
                      <w:sz w:val="21"/>
                      <w:szCs w:val="21"/>
                      <w:highlight w:val="none"/>
                      <w:lang w:eastAsia="zh-CN"/>
                    </w:rPr>
                    <w:t>②火灾导致的水体污染：火灾产生的含有致癌物质的烟雾沉降于土壤和河流，造成水质污染，进而影响食物链中的生物。</w:t>
                  </w:r>
                </w:p>
                <w:p w14:paraId="6C0FF9EF">
                  <w:pPr>
                    <w:pStyle w:val="46"/>
                    <w:jc w:val="center"/>
                    <w:rPr>
                      <w:color w:val="000000" w:themeColor="text1"/>
                      <w:sz w:val="21"/>
                      <w:szCs w:val="21"/>
                      <w:highlight w:val="none"/>
                      <w:lang w:eastAsia="zh-CN"/>
                    </w:rPr>
                  </w:pPr>
                  <w:r>
                    <w:rPr>
                      <w:color w:val="000000" w:themeColor="text1"/>
                      <w:sz w:val="21"/>
                      <w:szCs w:val="21"/>
                      <w:highlight w:val="none"/>
                      <w:lang w:eastAsia="zh-CN"/>
                    </w:rPr>
                    <w:t>③火灾引起的土壤污染：烟雾中的有害物质落入土壤，导致土壤污染，影响土壤质量和植物生长。</w:t>
                  </w:r>
                </w:p>
              </w:tc>
            </w:tr>
            <w:tr w14:paraId="5989C8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34" w:hRule="atLeast"/>
                <w:jc w:val="center"/>
              </w:trPr>
              <w:tc>
                <w:tcPr>
                  <w:tcW w:w="1958" w:type="dxa"/>
                  <w:tcBorders>
                    <w:tl2br w:val="nil"/>
                    <w:tr2bl w:val="nil"/>
                  </w:tcBorders>
                  <w:vAlign w:val="center"/>
                </w:tcPr>
                <w:p w14:paraId="08B530A4">
                  <w:pPr>
                    <w:widowControl/>
                    <w:jc w:val="center"/>
                    <w:rPr>
                      <w:color w:val="000000" w:themeColor="text1"/>
                      <w:highlight w:val="none"/>
                    </w:rPr>
                  </w:pPr>
                  <w:r>
                    <w:rPr>
                      <w:color w:val="000000" w:themeColor="text1"/>
                      <w:highlight w:val="none"/>
                    </w:rPr>
                    <w:t>风险防范措施要求</w:t>
                  </w:r>
                </w:p>
              </w:tc>
              <w:tc>
                <w:tcPr>
                  <w:tcW w:w="6041" w:type="dxa"/>
                  <w:gridSpan w:val="3"/>
                  <w:tcBorders>
                    <w:tl2br w:val="nil"/>
                    <w:tr2bl w:val="nil"/>
                  </w:tcBorders>
                  <w:vAlign w:val="center"/>
                </w:tcPr>
                <w:p w14:paraId="514C640D">
                  <w:pPr>
                    <w:rPr>
                      <w:rFonts w:eastAsiaTheme="minorEastAsia"/>
                      <w:color w:val="000000" w:themeColor="text1"/>
                      <w:highlight w:val="none"/>
                    </w:rPr>
                  </w:pPr>
                  <w:r>
                    <w:rPr>
                      <w:rFonts w:hint="eastAsia"/>
                      <w:color w:val="000000" w:themeColor="text1"/>
                      <w:highlight w:val="none"/>
                    </w:rPr>
                    <w:t>①</w:t>
                  </w:r>
                  <w:r>
                    <w:rPr>
                      <w:color w:val="000000" w:themeColor="text1"/>
                      <w:highlight w:val="none"/>
                    </w:rPr>
                    <w:t>‌定期检查和维护设备‌：定期检查</w:t>
                  </w:r>
                  <w:r>
                    <w:rPr>
                      <w:rFonts w:hint="eastAsia"/>
                      <w:color w:val="000000" w:themeColor="text1"/>
                      <w:highlight w:val="none"/>
                      <w:lang w:eastAsia="zh-CN"/>
                    </w:rPr>
                    <w:t>电气设备</w:t>
                  </w:r>
                  <w:r>
                    <w:rPr>
                      <w:color w:val="000000" w:themeColor="text1"/>
                      <w:highlight w:val="none"/>
                    </w:rPr>
                    <w:t>的安全性能，确保电线电缆的绝缘完好，避免电路过载和短路等现象。及时更换老化的电器设备和损坏的部件，避免超负荷使用</w:t>
                  </w:r>
                  <w:r>
                    <w:rPr>
                      <w:rFonts w:hint="eastAsia"/>
                      <w:color w:val="000000" w:themeColor="text1"/>
                      <w:highlight w:val="none"/>
                    </w:rPr>
                    <w:t>；</w:t>
                  </w:r>
                </w:p>
                <w:p w14:paraId="01BCE370">
                  <w:pPr>
                    <w:rPr>
                      <w:rFonts w:eastAsiaTheme="minorEastAsia"/>
                      <w:color w:val="000000" w:themeColor="text1"/>
                      <w:highlight w:val="none"/>
                    </w:rPr>
                  </w:pPr>
                  <w:r>
                    <w:rPr>
                      <w:rFonts w:hint="eastAsia"/>
                      <w:color w:val="000000" w:themeColor="text1"/>
                      <w:highlight w:val="none"/>
                    </w:rPr>
                    <w:t>②</w:t>
                  </w:r>
                  <w:r>
                    <w:rPr>
                      <w:color w:val="000000" w:themeColor="text1"/>
                      <w:highlight w:val="none"/>
                    </w:rPr>
                    <w:t>‌合理使用电器设备‌：在使用电器设备时，要遵循操作规程，避免过载使用或长时间连续使用。注意设备的散热和通风情况，防止因过热而引发火灾</w:t>
                  </w:r>
                  <w:r>
                    <w:rPr>
                      <w:rFonts w:hint="eastAsia"/>
                      <w:color w:val="000000" w:themeColor="text1"/>
                      <w:highlight w:val="none"/>
                    </w:rPr>
                    <w:t>；</w:t>
                  </w:r>
                </w:p>
                <w:p w14:paraId="278D51E7">
                  <w:pPr>
                    <w:rPr>
                      <w:rFonts w:eastAsiaTheme="minorEastAsia"/>
                      <w:color w:val="000000" w:themeColor="text1"/>
                      <w:highlight w:val="none"/>
                    </w:rPr>
                  </w:pPr>
                  <w:r>
                    <w:rPr>
                      <w:rFonts w:hint="eastAsia"/>
                      <w:color w:val="000000" w:themeColor="text1"/>
                      <w:highlight w:val="none"/>
                    </w:rPr>
                    <w:t>③</w:t>
                  </w:r>
                  <w:r>
                    <w:rPr>
                      <w:color w:val="000000" w:themeColor="text1"/>
                      <w:highlight w:val="none"/>
                    </w:rPr>
                    <w:t>‌安装防火设施‌：在电器设备周围安装防火设施，如灭火器、烟雾报警器等。这些设施可以在火灾发生时及时发出警报并控制火势</w:t>
                  </w:r>
                  <w:r>
                    <w:rPr>
                      <w:rFonts w:hint="eastAsia"/>
                      <w:color w:val="000000" w:themeColor="text1"/>
                      <w:highlight w:val="none"/>
                    </w:rPr>
                    <w:t>；</w:t>
                  </w:r>
                </w:p>
                <w:p w14:paraId="0F831399">
                  <w:pPr>
                    <w:rPr>
                      <w:rFonts w:eastAsiaTheme="minorEastAsia"/>
                      <w:color w:val="000000" w:themeColor="text1"/>
                      <w:highlight w:val="none"/>
                    </w:rPr>
                  </w:pPr>
                  <w:r>
                    <w:rPr>
                      <w:rFonts w:hint="eastAsia"/>
                      <w:color w:val="000000" w:themeColor="text1"/>
                      <w:highlight w:val="none"/>
                    </w:rPr>
                    <w:t>④</w:t>
                  </w:r>
                  <w:r>
                    <w:rPr>
                      <w:color w:val="000000" w:themeColor="text1"/>
                      <w:highlight w:val="none"/>
                    </w:rPr>
                    <w:t>‌保持设备清洁‌：保持电气设备的清洁，电缆吊挂整齐，避免灰尘和杂物的积聚。机房内不得存放易燃、易爆物品，确保通风良好，避免设备温升过高</w:t>
                  </w:r>
                  <w:r>
                    <w:rPr>
                      <w:rFonts w:hint="eastAsia"/>
                      <w:color w:val="000000" w:themeColor="text1"/>
                      <w:highlight w:val="none"/>
                    </w:rPr>
                    <w:t>；</w:t>
                  </w:r>
                </w:p>
                <w:p w14:paraId="6F427E8A">
                  <w:pPr>
                    <w:rPr>
                      <w:rFonts w:eastAsiaTheme="minorEastAsia"/>
                      <w:color w:val="000000" w:themeColor="text1"/>
                      <w:highlight w:val="none"/>
                    </w:rPr>
                  </w:pPr>
                  <w:r>
                    <w:rPr>
                      <w:rFonts w:hint="eastAsia"/>
                      <w:color w:val="000000" w:themeColor="text1"/>
                      <w:highlight w:val="none"/>
                    </w:rPr>
                    <w:t>⑤</w:t>
                  </w:r>
                  <w:r>
                    <w:rPr>
                      <w:color w:val="000000" w:themeColor="text1"/>
                      <w:highlight w:val="none"/>
                    </w:rPr>
                    <w:t>‌禁止乱丢烟蒂‌：烟蒂是火灾的常见起因之一，禁止在室内外乱丢烟蒂，特别是在易燃物附近</w:t>
                  </w:r>
                  <w:r>
                    <w:rPr>
                      <w:rFonts w:hint="eastAsia"/>
                      <w:color w:val="000000" w:themeColor="text1"/>
                      <w:highlight w:val="none"/>
                    </w:rPr>
                    <w:t>；</w:t>
                  </w:r>
                </w:p>
                <w:p w14:paraId="155F9E64">
                  <w:pPr>
                    <w:rPr>
                      <w:rFonts w:eastAsiaTheme="minorEastAsia"/>
                      <w:color w:val="000000" w:themeColor="text1"/>
                      <w:highlight w:val="none"/>
                    </w:rPr>
                  </w:pPr>
                  <w:r>
                    <w:rPr>
                      <w:rFonts w:hint="eastAsia"/>
                      <w:color w:val="000000" w:themeColor="text1"/>
                      <w:highlight w:val="none"/>
                    </w:rPr>
                    <w:t>⑥</w:t>
                  </w:r>
                  <w:r>
                    <w:rPr>
                      <w:color w:val="000000" w:themeColor="text1"/>
                      <w:highlight w:val="none"/>
                    </w:rPr>
                    <w:t>‌规范用电‌：不使用违规</w:t>
                  </w:r>
                  <w:r>
                    <w:rPr>
                      <w:rFonts w:hint="eastAsia"/>
                      <w:color w:val="000000" w:themeColor="text1"/>
                      <w:highlight w:val="none"/>
                    </w:rPr>
                    <w:t>设备</w:t>
                  </w:r>
                  <w:r>
                    <w:rPr>
                      <w:color w:val="000000" w:themeColor="text1"/>
                      <w:highlight w:val="none"/>
                    </w:rPr>
                    <w:t>，避免私拉乱接电线，确保插座、开关等用电设施安全可靠</w:t>
                  </w:r>
                  <w:r>
                    <w:rPr>
                      <w:rFonts w:hint="eastAsia"/>
                      <w:color w:val="000000" w:themeColor="text1"/>
                      <w:highlight w:val="none"/>
                    </w:rPr>
                    <w:t>；</w:t>
                  </w:r>
                </w:p>
                <w:p w14:paraId="54B34C09">
                  <w:pPr>
                    <w:widowControl/>
                    <w:jc w:val="left"/>
                    <w:rPr>
                      <w:color w:val="000000" w:themeColor="text1"/>
                      <w:highlight w:val="none"/>
                    </w:rPr>
                  </w:pPr>
                  <w:r>
                    <w:rPr>
                      <w:rFonts w:hint="eastAsia"/>
                      <w:color w:val="000000" w:themeColor="text1"/>
                      <w:highlight w:val="none"/>
                    </w:rPr>
                    <w:t>⑦</w:t>
                  </w:r>
                  <w:r>
                    <w:rPr>
                      <w:color w:val="000000" w:themeColor="text1"/>
                      <w:highlight w:val="none"/>
                    </w:rPr>
                    <w:t>‌员工培训‌：定期对员工进行消防安全知识培训，提高员工的防火意识和应急处理能力。组织员工参加消防演练，熟悉疏散路线和灭火器的使用方法</w:t>
                  </w:r>
                  <w:r>
                    <w:rPr>
                      <w:rFonts w:hint="eastAsia"/>
                      <w:color w:val="000000" w:themeColor="text1"/>
                      <w:highlight w:val="none"/>
                    </w:rPr>
                    <w:t>。</w:t>
                  </w:r>
                  <w:r>
                    <w:rPr>
                      <w:color w:val="000000" w:themeColor="text1"/>
                      <w:highlight w:val="none"/>
                    </w:rPr>
                    <w:t xml:space="preserve"> </w:t>
                  </w:r>
                </w:p>
              </w:tc>
            </w:tr>
            <w:tr w14:paraId="69E9E0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999" w:type="dxa"/>
                  <w:gridSpan w:val="4"/>
                  <w:tcBorders>
                    <w:tl2br w:val="nil"/>
                    <w:tr2bl w:val="nil"/>
                  </w:tcBorders>
                  <w:vAlign w:val="center"/>
                </w:tcPr>
                <w:p w14:paraId="6E558A5B">
                  <w:pPr>
                    <w:widowControl/>
                    <w:jc w:val="center"/>
                    <w:rPr>
                      <w:color w:val="000000" w:themeColor="text1"/>
                      <w:highlight w:val="none"/>
                    </w:rPr>
                  </w:pPr>
                  <w:r>
                    <w:rPr>
                      <w:color w:val="000000" w:themeColor="text1"/>
                      <w:highlight w:val="none"/>
                    </w:rPr>
                    <w:t>填表说明</w:t>
                  </w:r>
                  <w:r>
                    <w:rPr>
                      <w:rFonts w:hint="eastAsia"/>
                      <w:color w:val="000000" w:themeColor="text1"/>
                      <w:highlight w:val="none"/>
                    </w:rPr>
                    <w:t>：</w:t>
                  </w:r>
                  <w:r>
                    <w:rPr>
                      <w:color w:val="000000" w:themeColor="text1"/>
                      <w:highlight w:val="none"/>
                    </w:rPr>
                    <w:t>本项目环境风险潜势按照Ⅰ考虑，判定项目风险评价级别为“简单分析”。</w:t>
                  </w:r>
                </w:p>
              </w:tc>
            </w:tr>
          </w:tbl>
          <w:p w14:paraId="6D146B6B">
            <w:pPr>
              <w:widowControl/>
              <w:spacing w:line="360" w:lineRule="auto"/>
              <w:ind w:firstLine="420" w:firstLineChars="200"/>
              <w:jc w:val="left"/>
              <w:rPr>
                <w:color w:val="000000" w:themeColor="text1"/>
                <w:highlight w:val="none"/>
              </w:rPr>
            </w:pPr>
          </w:p>
          <w:p w14:paraId="347BEDE5">
            <w:pPr>
              <w:adjustRightInd w:val="0"/>
              <w:snapToGrid w:val="0"/>
              <w:spacing w:line="360" w:lineRule="auto"/>
              <w:rPr>
                <w:rFonts w:ascii="宋体" w:hAnsi="宋体" w:cs="宋体"/>
                <w:bCs/>
                <w:color w:val="000000" w:themeColor="text1"/>
                <w:szCs w:val="21"/>
                <w:highlight w:val="none"/>
              </w:rPr>
            </w:pPr>
          </w:p>
        </w:tc>
      </w:tr>
      <w:tr w14:paraId="6A0C7F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434" w:hRule="atLeast"/>
          <w:jc w:val="center"/>
        </w:trPr>
        <w:tc>
          <w:tcPr>
            <w:tcW w:w="879" w:type="dxa"/>
            <w:vAlign w:val="center"/>
          </w:tcPr>
          <w:p w14:paraId="57871AB5">
            <w:pPr>
              <w:pStyle w:val="23"/>
              <w:adjustRightInd w:val="0"/>
              <w:snapToGrid w:val="0"/>
              <w:spacing w:before="0" w:beforeAutospacing="0" w:after="0" w:afterAutospacing="0"/>
              <w:jc w:val="center"/>
              <w:rPr>
                <w:rFonts w:cs="宋体"/>
                <w:bCs/>
                <w:color w:val="000000" w:themeColor="text1"/>
                <w:kern w:val="2"/>
                <w:sz w:val="21"/>
                <w:szCs w:val="21"/>
                <w:highlight w:val="none"/>
              </w:rPr>
            </w:pPr>
            <w:r>
              <w:rPr>
                <w:rFonts w:hint="eastAsia" w:cs="宋体"/>
                <w:bCs/>
                <w:color w:val="000000" w:themeColor="text1"/>
                <w:kern w:val="2"/>
                <w:highlight w:val="none"/>
              </w:rPr>
              <w:t>选址选线环境合理性分析</w:t>
            </w:r>
          </w:p>
        </w:tc>
        <w:tc>
          <w:tcPr>
            <w:tcW w:w="8363" w:type="dxa"/>
          </w:tcPr>
          <w:p w14:paraId="1F0A2B6E">
            <w:pPr>
              <w:adjustRightInd w:val="0"/>
              <w:snapToGrid w:val="0"/>
              <w:spacing w:line="360" w:lineRule="auto"/>
              <w:ind w:firstLine="480" w:firstLineChars="200"/>
              <w:rPr>
                <w:rFonts w:ascii="宋体" w:hAnsi="宋体" w:cs="宋体"/>
                <w:color w:val="000000" w:themeColor="text1"/>
                <w:sz w:val="24"/>
                <w:highlight w:val="none"/>
              </w:rPr>
            </w:pPr>
            <w:r>
              <w:rPr>
                <w:rFonts w:hint="eastAsia" w:ascii="宋体" w:hAnsi="宋体" w:cs="宋体"/>
                <w:bCs/>
                <w:color w:val="000000" w:themeColor="text1"/>
                <w:sz w:val="24"/>
                <w:highlight w:val="none"/>
              </w:rPr>
              <w:t>本项目位于</w:t>
            </w:r>
            <w:r>
              <w:rPr>
                <w:rFonts w:hint="eastAsia" w:ascii="宋体" w:hAnsi="宋体" w:cs="宋体"/>
                <w:color w:val="000000" w:themeColor="text1"/>
                <w:sz w:val="24"/>
                <w:highlight w:val="none"/>
              </w:rPr>
              <w:t>伊金霍洛旗纳林陶亥镇朱日根沟村三社，项目为富民煤矿附属工程，主要建设风井场</w:t>
            </w:r>
            <w:r>
              <w:rPr>
                <w:rFonts w:hint="eastAsia" w:ascii="宋体" w:hAnsi="宋体" w:cs="宋体"/>
                <w:color w:val="000000" w:themeColor="text1"/>
                <w:sz w:val="24"/>
                <w:highlight w:val="none"/>
                <w:lang w:eastAsia="zh-CN"/>
              </w:rPr>
              <w:t>地及</w:t>
            </w:r>
            <w:r>
              <w:rPr>
                <w:rFonts w:hint="eastAsia" w:ascii="宋体" w:hAnsi="宋体" w:cs="宋体"/>
                <w:color w:val="000000" w:themeColor="text1"/>
                <w:sz w:val="24"/>
                <w:highlight w:val="none"/>
              </w:rPr>
              <w:t>其配套工程。</w:t>
            </w:r>
          </w:p>
          <w:p w14:paraId="3B97DD9F">
            <w:pPr>
              <w:adjustRightInd w:val="0"/>
              <w:snapToGrid w:val="0"/>
              <w:spacing w:line="360" w:lineRule="auto"/>
              <w:ind w:firstLine="480" w:firstLineChars="200"/>
              <w:rPr>
                <w:rFonts w:ascii="宋体" w:hAnsi="宋体" w:cs="宋体"/>
                <w:bCs/>
                <w:color w:val="000000" w:themeColor="text1"/>
                <w:sz w:val="24"/>
                <w:highlight w:val="none"/>
              </w:rPr>
            </w:pPr>
            <w:r>
              <w:rPr>
                <w:rFonts w:hint="eastAsia" w:ascii="宋体" w:hAnsi="宋体" w:cs="宋体"/>
                <w:color w:val="000000" w:themeColor="text1"/>
                <w:sz w:val="24"/>
                <w:highlight w:val="none"/>
              </w:rPr>
              <w:t>建设单位委托内蒙古煤矿设计研究院有限责任公司编制完成了《内蒙古汇能煤电集团富民煤炭有限责任公司煤矿改建项目(新增井筒及三水平延深)初步设计》，目前已通过评审，鄂尔多斯市能源局正在拟批复阶段。</w:t>
            </w:r>
          </w:p>
          <w:p w14:paraId="6D062256">
            <w:pPr>
              <w:adjustRightInd w:val="0"/>
              <w:snapToGrid w:val="0"/>
              <w:spacing w:line="360" w:lineRule="auto"/>
              <w:ind w:firstLine="480" w:firstLineChars="200"/>
              <w:rPr>
                <w:rFonts w:ascii="宋体" w:hAnsi="宋体" w:cs="宋体"/>
                <w:color w:val="000000" w:themeColor="text1"/>
                <w:kern w:val="0"/>
                <w:sz w:val="24"/>
                <w:highlight w:val="none"/>
              </w:rPr>
            </w:pPr>
            <w:r>
              <w:rPr>
                <w:rFonts w:hint="eastAsia"/>
                <w:color w:val="000000" w:themeColor="text1"/>
                <w:sz w:val="24"/>
                <w:highlight w:val="none"/>
              </w:rPr>
              <w:t>本项目位于富民煤矿矿界范围内，项目正在同步办理建设用地手续，根据《伊金霍洛旗自然资源局关于</w:t>
            </w:r>
            <w:r>
              <w:rPr>
                <w:rFonts w:hint="eastAsia" w:ascii="宋体" w:hAnsi="宋体" w:cs="宋体"/>
                <w:color w:val="000000" w:themeColor="text1"/>
                <w:sz w:val="24"/>
                <w:highlight w:val="none"/>
              </w:rPr>
              <w:t>内蒙古汇能煤电集团富民煤矿有限责任公司煤矿改建项目（新增井筒及三水平延升）</w:t>
            </w:r>
            <w:r>
              <w:rPr>
                <w:rFonts w:hint="eastAsia"/>
                <w:color w:val="000000" w:themeColor="text1"/>
                <w:sz w:val="24"/>
                <w:highlight w:val="none"/>
              </w:rPr>
              <w:t>用地的情况说明》、《鄂尔多斯市生态环境局伊金霍洛旗分局关于</w:t>
            </w:r>
            <w:r>
              <w:rPr>
                <w:rFonts w:hint="eastAsia" w:ascii="宋体" w:hAnsi="宋体" w:cs="宋体"/>
                <w:color w:val="000000" w:themeColor="text1"/>
                <w:sz w:val="24"/>
                <w:highlight w:val="none"/>
              </w:rPr>
              <w:t>内蒙古汇能煤电集团富民煤矿有限责任公司煤矿改建项目（新增井筒及三水平延升）</w:t>
            </w:r>
            <w:r>
              <w:rPr>
                <w:rFonts w:hint="eastAsia"/>
                <w:color w:val="000000" w:themeColor="text1"/>
                <w:sz w:val="24"/>
                <w:highlight w:val="none"/>
              </w:rPr>
              <w:t>用地范围有无集中饮用水水源地保护区的函》（鄂环伊核字〔2025〕77号）、《伊金霍洛旗农牧和水利局关于</w:t>
            </w:r>
            <w:r>
              <w:rPr>
                <w:rFonts w:hint="eastAsia" w:ascii="宋体" w:hAnsi="宋体" w:cs="宋体"/>
                <w:color w:val="000000" w:themeColor="text1"/>
                <w:sz w:val="24"/>
                <w:highlight w:val="none"/>
              </w:rPr>
              <w:t>内蒙古汇能煤电集团富民煤矿有限责任公司煤矿改建项目（新增井筒及三水平延升）</w:t>
            </w:r>
            <w:r>
              <w:rPr>
                <w:rFonts w:hint="eastAsia"/>
                <w:color w:val="000000" w:themeColor="text1"/>
                <w:sz w:val="24"/>
                <w:highlight w:val="none"/>
              </w:rPr>
              <w:t>用地范围的回复意见》（伊农牧水函〔2025〕98号）、《伊金霍洛旗林业和草原局关于</w:t>
            </w:r>
            <w:r>
              <w:rPr>
                <w:rFonts w:hint="eastAsia" w:ascii="宋体" w:hAnsi="宋体" w:cs="宋体"/>
                <w:color w:val="000000" w:themeColor="text1"/>
                <w:sz w:val="24"/>
                <w:highlight w:val="none"/>
              </w:rPr>
              <w:t>内蒙古汇能煤电集团富民煤矿有限责任公司煤矿改建项目（新增井筒及三水平延升）</w:t>
            </w:r>
            <w:r>
              <w:rPr>
                <w:rFonts w:hint="eastAsia"/>
                <w:color w:val="000000" w:themeColor="text1"/>
                <w:sz w:val="24"/>
                <w:highlight w:val="none"/>
              </w:rPr>
              <w:t>用地范围是否占用林草地等相关情况答复意见的函》（伊林草审函〔2025〕109号）、《伊金霍洛旗国防动员委员会联合办公室关于回复</w:t>
            </w:r>
            <w:r>
              <w:rPr>
                <w:rFonts w:hint="eastAsia" w:ascii="宋体" w:hAnsi="宋体" w:cs="宋体"/>
                <w:color w:val="000000" w:themeColor="text1"/>
                <w:sz w:val="24"/>
                <w:highlight w:val="none"/>
              </w:rPr>
              <w:t>内蒙古汇能煤电集团富民煤矿有限责任公司煤矿改建项目（新增井筒及三水平延升）</w:t>
            </w:r>
            <w:r>
              <w:rPr>
                <w:rFonts w:hint="eastAsia"/>
                <w:color w:val="000000" w:themeColor="text1"/>
                <w:sz w:val="24"/>
                <w:highlight w:val="none"/>
              </w:rPr>
              <w:t>用地范围内有无军事设施的函》（伊国动联合办函〔2025〕1号）、《鄂尔多斯市文物局关于</w:t>
            </w:r>
            <w:r>
              <w:rPr>
                <w:rFonts w:hint="eastAsia" w:ascii="宋体" w:hAnsi="宋体" w:cs="宋体"/>
                <w:color w:val="000000" w:themeColor="text1"/>
                <w:sz w:val="24"/>
                <w:highlight w:val="none"/>
              </w:rPr>
              <w:t>内蒙古汇能煤电集团富民煤矿有限责任公司煤矿改建项目（新增井筒及三水平延升）</w:t>
            </w:r>
            <w:r>
              <w:rPr>
                <w:rFonts w:hint="eastAsia"/>
                <w:color w:val="000000" w:themeColor="text1"/>
                <w:sz w:val="24"/>
                <w:highlight w:val="none"/>
              </w:rPr>
              <w:t>用地范围有关文物保护事宜的意见》（鄂文物行审函〔2025〕95号）及《伊金霍洛旗文物局关于富民煤矿改建项目</w:t>
            </w:r>
            <w:r>
              <w:rPr>
                <w:rFonts w:hint="eastAsia" w:ascii="宋体" w:hAnsi="宋体" w:cs="宋体"/>
                <w:color w:val="000000" w:themeColor="text1"/>
                <w:sz w:val="24"/>
                <w:highlight w:val="none"/>
              </w:rPr>
              <w:t>（新增井筒及三水平延升）用地范围有无文物事宜的请示</w:t>
            </w:r>
            <w:r>
              <w:rPr>
                <w:rFonts w:hint="eastAsia"/>
                <w:color w:val="000000" w:themeColor="text1"/>
                <w:sz w:val="24"/>
                <w:highlight w:val="none"/>
              </w:rPr>
              <w:t>》（伊文物报〔2025〕116号）等，项目占地</w:t>
            </w:r>
            <w:r>
              <w:rPr>
                <w:color w:val="000000" w:themeColor="text1"/>
                <w:sz w:val="24"/>
                <w:highlight w:val="none"/>
              </w:rPr>
              <w:t>不</w:t>
            </w:r>
            <w:r>
              <w:rPr>
                <w:rFonts w:hint="eastAsia"/>
                <w:color w:val="000000" w:themeColor="text1"/>
                <w:sz w:val="24"/>
                <w:highlight w:val="none"/>
              </w:rPr>
              <w:t>涉及永久基本农田、不在生态保护红线范围内、用地范围内无饮用水水源地保护区、未占用已划界河湖岸线、不涉及基本草原、不占用内蒙古成吉思汗国家森林公园、伊金霍洛旗草原核心保护区、项目范围内无林业和草原部门管理的各级自然保护地、风景名胜区、用地范围内无军事设施，项目用地范围内未发现古代文化遗迹，鄂尔多斯市文物局原则同意该项目建设。</w:t>
            </w:r>
          </w:p>
          <w:p w14:paraId="1EBD796D">
            <w:pPr>
              <w:adjustRightInd w:val="0"/>
              <w:snapToGrid w:val="0"/>
              <w:spacing w:line="360" w:lineRule="auto"/>
              <w:ind w:firstLine="480" w:firstLineChars="200"/>
              <w:rPr>
                <w:rFonts w:ascii="宋体" w:hAnsi="宋体" w:cs="宋体"/>
                <w:color w:val="000000" w:themeColor="text1"/>
                <w:sz w:val="24"/>
                <w:highlight w:val="none"/>
              </w:rPr>
            </w:pPr>
            <w:r>
              <w:rPr>
                <w:rFonts w:hint="eastAsia"/>
                <w:color w:val="000000" w:themeColor="text1"/>
                <w:sz w:val="24"/>
                <w:highlight w:val="none"/>
              </w:rPr>
              <w:t>项目运营期产生的废气、废水、噪声采取相应环保措施后，</w:t>
            </w:r>
            <w:r>
              <w:rPr>
                <w:rFonts w:hint="eastAsia" w:ascii="宋体" w:hAnsi="宋体" w:cs="宋体"/>
                <w:color w:val="000000" w:themeColor="text1"/>
                <w:kern w:val="0"/>
                <w:sz w:val="24"/>
                <w:highlight w:val="none"/>
              </w:rPr>
              <w:t>可实现达标排放，</w:t>
            </w:r>
            <w:r>
              <w:rPr>
                <w:rFonts w:hint="eastAsia"/>
                <w:color w:val="000000" w:themeColor="text1"/>
                <w:sz w:val="24"/>
                <w:highlight w:val="none"/>
              </w:rPr>
              <w:t>固废均</w:t>
            </w:r>
            <w:r>
              <w:rPr>
                <w:rFonts w:hint="eastAsia" w:ascii="宋体" w:hAnsi="宋体" w:cs="宋体"/>
                <w:color w:val="000000" w:themeColor="text1"/>
                <w:kern w:val="0"/>
                <w:sz w:val="24"/>
                <w:highlight w:val="none"/>
              </w:rPr>
              <w:t>妥善处置</w:t>
            </w:r>
            <w:r>
              <w:rPr>
                <w:rFonts w:hint="eastAsia"/>
                <w:color w:val="000000" w:themeColor="text1"/>
                <w:highlight w:val="none"/>
              </w:rPr>
              <w:t>。</w:t>
            </w:r>
            <w:r>
              <w:rPr>
                <w:rFonts w:hint="eastAsia"/>
                <w:color w:val="000000" w:themeColor="text1"/>
                <w:sz w:val="24"/>
                <w:highlight w:val="none"/>
              </w:rPr>
              <w:t>本项目风井场地周边500m范围内不涉及居民区</w:t>
            </w:r>
            <w:r>
              <w:rPr>
                <w:rFonts w:hint="eastAsia" w:ascii="宋体" w:hAnsi="宋体" w:cs="宋体"/>
                <w:color w:val="000000" w:themeColor="text1"/>
                <w:sz w:val="24"/>
                <w:highlight w:val="none"/>
              </w:rPr>
              <w:t>，项目对周边环境影响较小。</w:t>
            </w:r>
          </w:p>
          <w:p w14:paraId="654C2FF8">
            <w:pPr>
              <w:adjustRightInd w:val="0"/>
              <w:snapToGrid w:val="0"/>
              <w:spacing w:line="360" w:lineRule="auto"/>
              <w:ind w:firstLine="480" w:firstLineChars="200"/>
              <w:rPr>
                <w:rFonts w:ascii="宋体" w:hAnsi="宋体" w:cs="宋体"/>
                <w:bCs/>
                <w:color w:val="000000" w:themeColor="text1"/>
                <w:sz w:val="24"/>
                <w:highlight w:val="none"/>
              </w:rPr>
            </w:pPr>
            <w:r>
              <w:rPr>
                <w:rFonts w:hint="eastAsia" w:ascii="宋体" w:hAnsi="宋体" w:cs="宋体"/>
                <w:bCs/>
                <w:color w:val="000000" w:themeColor="text1"/>
                <w:sz w:val="24"/>
                <w:highlight w:val="none"/>
              </w:rPr>
              <w:t>综上所述，从环保角度分析，本项目选址选线合理。</w:t>
            </w:r>
          </w:p>
          <w:p w14:paraId="731B7C70">
            <w:pPr>
              <w:adjustRightInd w:val="0"/>
              <w:snapToGrid w:val="0"/>
              <w:spacing w:line="360" w:lineRule="auto"/>
              <w:ind w:firstLine="480" w:firstLineChars="200"/>
              <w:rPr>
                <w:rFonts w:ascii="宋体" w:hAnsi="宋体" w:cs="宋体"/>
                <w:bCs/>
                <w:color w:val="000000" w:themeColor="text1"/>
                <w:sz w:val="24"/>
                <w:highlight w:val="none"/>
              </w:rPr>
            </w:pPr>
          </w:p>
        </w:tc>
      </w:tr>
    </w:tbl>
    <w:p w14:paraId="44B2E538">
      <w:pPr>
        <w:pStyle w:val="23"/>
        <w:jc w:val="center"/>
        <w:rPr>
          <w:rFonts w:ascii="黑体" w:hAnsi="黑体" w:eastAsia="黑体"/>
          <w:snapToGrid w:val="0"/>
          <w:color w:val="000000" w:themeColor="text1"/>
          <w:sz w:val="36"/>
          <w:szCs w:val="36"/>
          <w:highlight w:val="none"/>
        </w:rPr>
        <w:sectPr>
          <w:pgSz w:w="11906" w:h="16838"/>
          <w:pgMar w:top="1440" w:right="1800" w:bottom="1440" w:left="1800" w:header="851" w:footer="1077" w:gutter="0"/>
          <w:cols w:space="720" w:num="1"/>
          <w:docGrid w:linePitch="312" w:charSpace="0"/>
        </w:sectPr>
      </w:pPr>
    </w:p>
    <w:p w14:paraId="321C632D">
      <w:pPr>
        <w:pStyle w:val="23"/>
        <w:adjustRightInd w:val="0"/>
        <w:snapToGrid w:val="0"/>
        <w:spacing w:before="0" w:beforeAutospacing="0" w:after="0" w:afterAutospacing="0" w:line="14" w:lineRule="auto"/>
        <w:jc w:val="center"/>
        <w:rPr>
          <w:rFonts w:ascii="黑体" w:hAnsi="黑体" w:eastAsia="黑体"/>
          <w:snapToGrid w:val="0"/>
          <w:color w:val="000000" w:themeColor="text1"/>
          <w:sz w:val="30"/>
          <w:szCs w:val="30"/>
          <w:highlight w:val="none"/>
        </w:rPr>
      </w:pPr>
    </w:p>
    <w:p w14:paraId="338F44E9">
      <w:pPr>
        <w:pStyle w:val="23"/>
        <w:spacing w:before="0" w:beforeAutospacing="0" w:after="0" w:afterAutospacing="0"/>
        <w:jc w:val="center"/>
        <w:outlineLvl w:val="0"/>
        <w:rPr>
          <w:rFonts w:ascii="黑体" w:hAnsi="黑体" w:eastAsia="黑体"/>
          <w:snapToGrid w:val="0"/>
          <w:color w:val="000000" w:themeColor="text1"/>
          <w:sz w:val="30"/>
          <w:szCs w:val="30"/>
          <w:highlight w:val="none"/>
        </w:rPr>
      </w:pPr>
      <w:r>
        <w:rPr>
          <w:rFonts w:hint="eastAsia" w:ascii="黑体" w:hAnsi="黑体" w:eastAsia="黑体"/>
          <w:snapToGrid w:val="0"/>
          <w:color w:val="000000" w:themeColor="text1"/>
          <w:sz w:val="30"/>
          <w:szCs w:val="30"/>
          <w:highlight w:val="none"/>
        </w:rPr>
        <w:t>五、主要生态环境保护措施</w:t>
      </w:r>
    </w:p>
    <w:tbl>
      <w:tblPr>
        <w:tblStyle w:val="26"/>
        <w:tblW w:w="921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3"/>
        <w:gridCol w:w="8457"/>
      </w:tblGrid>
      <w:tr w14:paraId="7FF8BE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53" w:type="dxa"/>
            <w:tcMar>
              <w:left w:w="28" w:type="dxa"/>
              <w:right w:w="28" w:type="dxa"/>
            </w:tcMar>
            <w:vAlign w:val="center"/>
          </w:tcPr>
          <w:p w14:paraId="1DF6E629">
            <w:pPr>
              <w:adjustRightInd w:val="0"/>
              <w:snapToGrid w:val="0"/>
              <w:jc w:val="center"/>
              <w:rPr>
                <w:rFonts w:ascii="宋体" w:hAnsi="宋体"/>
                <w:bCs/>
                <w:color w:val="000000" w:themeColor="text1"/>
                <w:szCs w:val="21"/>
                <w:highlight w:val="none"/>
              </w:rPr>
            </w:pPr>
            <w:r>
              <w:rPr>
                <w:rFonts w:hint="eastAsia" w:ascii="宋体" w:hAnsi="宋体" w:cs="宋体"/>
                <w:bCs/>
                <w:color w:val="000000" w:themeColor="text1"/>
                <w:spacing w:val="10"/>
                <w:sz w:val="24"/>
                <w:highlight w:val="none"/>
              </w:rPr>
              <w:t>施工期生态环境保护措施</w:t>
            </w:r>
          </w:p>
        </w:tc>
        <w:tc>
          <w:tcPr>
            <w:tcW w:w="8457" w:type="dxa"/>
          </w:tcPr>
          <w:p w14:paraId="57147BC4">
            <w:pPr>
              <w:widowControl/>
              <w:spacing w:line="360" w:lineRule="auto"/>
              <w:ind w:firstLine="482" w:firstLineChars="200"/>
              <w:rPr>
                <w:b/>
                <w:bCs/>
                <w:color w:val="000000" w:themeColor="text1"/>
                <w:sz w:val="24"/>
                <w:highlight w:val="none"/>
              </w:rPr>
            </w:pPr>
            <w:r>
              <w:rPr>
                <w:b/>
                <w:bCs/>
                <w:color w:val="000000" w:themeColor="text1"/>
                <w:kern w:val="0"/>
                <w:sz w:val="24"/>
                <w:highlight w:val="none"/>
              </w:rPr>
              <w:t>一、生态环境保护措施</w:t>
            </w:r>
          </w:p>
          <w:p w14:paraId="0EF39109">
            <w:pPr>
              <w:spacing w:line="360" w:lineRule="auto"/>
              <w:ind w:firstLine="480" w:firstLineChars="200"/>
              <w:rPr>
                <w:color w:val="000000" w:themeColor="text1"/>
                <w:sz w:val="24"/>
                <w:highlight w:val="none"/>
              </w:rPr>
            </w:pPr>
            <w:r>
              <w:rPr>
                <w:color w:val="000000" w:themeColor="text1"/>
                <w:sz w:val="24"/>
                <w:highlight w:val="none"/>
              </w:rPr>
              <w:t>1</w:t>
            </w:r>
            <w:r>
              <w:rPr>
                <w:rFonts w:hint="eastAsia"/>
                <w:color w:val="000000" w:themeColor="text1"/>
                <w:sz w:val="24"/>
                <w:highlight w:val="none"/>
              </w:rPr>
              <w:t>.</w:t>
            </w:r>
            <w:r>
              <w:rPr>
                <w:color w:val="000000" w:themeColor="text1"/>
                <w:sz w:val="24"/>
                <w:highlight w:val="none"/>
              </w:rPr>
              <w:t>陆生生态保护措施</w:t>
            </w:r>
          </w:p>
          <w:p w14:paraId="3FF9AA16">
            <w:pPr>
              <w:spacing w:line="360" w:lineRule="auto"/>
              <w:ind w:firstLine="480" w:firstLineChars="200"/>
              <w:rPr>
                <w:color w:val="000000" w:themeColor="text1"/>
                <w:sz w:val="24"/>
                <w:highlight w:val="none"/>
              </w:rPr>
            </w:pPr>
            <w:r>
              <w:rPr>
                <w:rFonts w:hint="eastAsia"/>
                <w:color w:val="000000" w:themeColor="text1"/>
                <w:sz w:val="24"/>
                <w:highlight w:val="none"/>
              </w:rPr>
              <w:t>（</w:t>
            </w:r>
            <w:r>
              <w:rPr>
                <w:color w:val="000000" w:themeColor="text1"/>
                <w:sz w:val="24"/>
                <w:highlight w:val="none"/>
              </w:rPr>
              <w:t>1）植被保护措施</w:t>
            </w:r>
          </w:p>
          <w:p w14:paraId="6E6648BA">
            <w:pPr>
              <w:pStyle w:val="35"/>
              <w:rPr>
                <w:color w:val="000000" w:themeColor="text1"/>
                <w:sz w:val="24"/>
                <w:highlight w:val="none"/>
              </w:rPr>
            </w:pPr>
            <w:r>
              <w:rPr>
                <w:color w:val="000000" w:themeColor="text1"/>
                <w:sz w:val="24"/>
                <w:highlight w:val="none"/>
              </w:rPr>
              <w:t>①加强生态环境保护宣传教育。施工</w:t>
            </w:r>
            <w:r>
              <w:rPr>
                <w:rFonts w:hint="eastAsia"/>
                <w:color w:val="000000" w:themeColor="text1"/>
                <w:sz w:val="24"/>
                <w:highlight w:val="none"/>
              </w:rPr>
              <w:t>期间</w:t>
            </w:r>
            <w:r>
              <w:rPr>
                <w:color w:val="000000" w:themeColor="text1"/>
                <w:sz w:val="24"/>
                <w:highlight w:val="none"/>
              </w:rPr>
              <w:t>，大量施工人员进驻施工场地，施工前对施工人员进行环境保护教育培训，让施工人员认识到在施工过程中保护环境的重要性。主要内容包括在施工过程中不乱丢工程材料、废弃物、弃方等，要注意严格保护好施工用地范围以外的林木植被，禁止乱砍滥伐、肆意践踏植被。</w:t>
            </w:r>
          </w:p>
          <w:p w14:paraId="59932CB4">
            <w:pPr>
              <w:pStyle w:val="35"/>
              <w:rPr>
                <w:color w:val="000000" w:themeColor="text1"/>
                <w:sz w:val="24"/>
                <w:highlight w:val="none"/>
              </w:rPr>
            </w:pPr>
            <w:r>
              <w:rPr>
                <w:color w:val="000000" w:themeColor="text1"/>
                <w:sz w:val="24"/>
                <w:highlight w:val="none"/>
              </w:rPr>
              <w:t>②场地平整过程中，</w:t>
            </w:r>
            <w:r>
              <w:rPr>
                <w:rStyle w:val="59"/>
                <w:rFonts w:hint="eastAsia"/>
                <w:color w:val="000000" w:themeColor="text1"/>
                <w:highlight w:val="none"/>
              </w:rPr>
              <w:t>土方</w:t>
            </w:r>
            <w:r>
              <w:rPr>
                <w:rStyle w:val="59"/>
                <w:rFonts w:ascii="Times New Roman" w:hAnsi="Times New Roman"/>
                <w:color w:val="000000" w:themeColor="text1"/>
                <w:highlight w:val="none"/>
              </w:rPr>
              <w:t>剥离1.3万</w:t>
            </w:r>
            <w:r>
              <w:rPr>
                <w:color w:val="000000" w:themeColor="text1"/>
                <w:sz w:val="24"/>
                <w:highlight w:val="none"/>
              </w:rPr>
              <w:t>m</w:t>
            </w:r>
            <w:r>
              <w:rPr>
                <w:color w:val="000000" w:themeColor="text1"/>
                <w:sz w:val="24"/>
                <w:highlight w:val="none"/>
                <w:vertAlign w:val="superscript"/>
              </w:rPr>
              <w:t>3</w:t>
            </w:r>
            <w:r>
              <w:rPr>
                <w:rFonts w:hint="eastAsia"/>
                <w:color w:val="000000" w:themeColor="text1"/>
                <w:sz w:val="24"/>
                <w:highlight w:val="none"/>
              </w:rPr>
              <w:t>，其中表土剥离1800</w:t>
            </w:r>
            <w:r>
              <w:rPr>
                <w:color w:val="000000" w:themeColor="text1"/>
                <w:sz w:val="24"/>
                <w:highlight w:val="none"/>
              </w:rPr>
              <w:t>m</w:t>
            </w:r>
            <w:r>
              <w:rPr>
                <w:color w:val="000000" w:themeColor="text1"/>
                <w:sz w:val="24"/>
                <w:highlight w:val="none"/>
                <w:vertAlign w:val="superscript"/>
              </w:rPr>
              <w:t>3</w:t>
            </w:r>
            <w:r>
              <w:rPr>
                <w:color w:val="000000" w:themeColor="text1"/>
                <w:sz w:val="24"/>
                <w:highlight w:val="none"/>
              </w:rPr>
              <w:t>、</w:t>
            </w:r>
            <w:r>
              <w:rPr>
                <w:rStyle w:val="59"/>
                <w:rFonts w:ascii="Times New Roman" w:hAnsi="Times New Roman"/>
                <w:color w:val="000000" w:themeColor="text1"/>
                <w:highlight w:val="none"/>
              </w:rPr>
              <w:t>表土回覆0.</w:t>
            </w:r>
            <w:r>
              <w:rPr>
                <w:rStyle w:val="59"/>
                <w:rFonts w:hint="default" w:ascii="Times New Roman" w:hAnsi="Times New Roman" w:cs="Times New Roman"/>
                <w:color w:val="000000" w:themeColor="text1"/>
                <w:highlight w:val="none"/>
                <w:lang w:val="en-US"/>
              </w:rPr>
              <w:t>18</w:t>
            </w:r>
            <w:r>
              <w:rPr>
                <w:rStyle w:val="59"/>
                <w:rFonts w:ascii="Times New Roman" w:hAnsi="Times New Roman"/>
                <w:color w:val="000000" w:themeColor="text1"/>
                <w:highlight w:val="none"/>
              </w:rPr>
              <w:t>万</w:t>
            </w:r>
            <w:r>
              <w:rPr>
                <w:color w:val="000000" w:themeColor="text1"/>
                <w:sz w:val="24"/>
                <w:highlight w:val="none"/>
              </w:rPr>
              <w:t>m</w:t>
            </w:r>
            <w:r>
              <w:rPr>
                <w:color w:val="000000" w:themeColor="text1"/>
                <w:sz w:val="24"/>
                <w:highlight w:val="none"/>
                <w:vertAlign w:val="superscript"/>
              </w:rPr>
              <w:t>3</w:t>
            </w:r>
            <w:r>
              <w:rPr>
                <w:rFonts w:hint="eastAsia"/>
                <w:color w:val="000000" w:themeColor="text1"/>
                <w:sz w:val="24"/>
                <w:highlight w:val="none"/>
              </w:rPr>
              <w:t>，表土剥离深度为0.3m，风井场地剥离表土就近集中堆放于附近绿化硬化空地，表土堆存采取密目网苫盖防护，表土</w:t>
            </w:r>
            <w:r>
              <w:rPr>
                <w:rFonts w:hint="eastAsia"/>
                <w:color w:val="000000" w:themeColor="text1"/>
                <w:sz w:val="24"/>
                <w:highlight w:val="none"/>
                <w:lang w:val="en-US" w:eastAsia="zh-CN"/>
              </w:rPr>
              <w:t>全部</w:t>
            </w:r>
            <w:r>
              <w:rPr>
                <w:rStyle w:val="59"/>
                <w:rFonts w:hint="eastAsia"/>
                <w:color w:val="000000" w:themeColor="text1"/>
                <w:highlight w:val="none"/>
              </w:rPr>
              <w:t>用</w:t>
            </w:r>
            <w:r>
              <w:rPr>
                <w:rStyle w:val="59"/>
                <w:rFonts w:hint="eastAsia" w:ascii="Times New Roman" w:hAnsi="Times New Roman"/>
                <w:color w:val="000000" w:themeColor="text1"/>
                <w:highlight w:val="none"/>
              </w:rPr>
              <w:t>于风井场地以及道路</w:t>
            </w:r>
            <w:r>
              <w:rPr>
                <w:rFonts w:hint="eastAsia"/>
                <w:color w:val="000000" w:themeColor="text1"/>
                <w:sz w:val="24"/>
                <w:highlight w:val="none"/>
              </w:rPr>
              <w:t>绿化工程使用</w:t>
            </w:r>
            <w:r>
              <w:rPr>
                <w:color w:val="000000" w:themeColor="text1"/>
                <w:sz w:val="24"/>
                <w:highlight w:val="none"/>
              </w:rPr>
              <w:t>。在工程施工中要加强管理，必须划定施工范围，各种施工活动应严格控制在施工区域内，尽可能地不破坏原有的地表植被和土壤，严禁乱砍滥伐灌木等植物。</w:t>
            </w:r>
          </w:p>
          <w:p w14:paraId="23BF8FF0">
            <w:pPr>
              <w:pStyle w:val="35"/>
              <w:rPr>
                <w:color w:val="000000" w:themeColor="text1"/>
                <w:sz w:val="24"/>
                <w:highlight w:val="none"/>
              </w:rPr>
            </w:pPr>
            <w:r>
              <w:rPr>
                <w:color w:val="000000" w:themeColor="text1"/>
                <w:sz w:val="24"/>
                <w:highlight w:val="none"/>
              </w:rPr>
              <w:t>③</w:t>
            </w:r>
            <w:r>
              <w:rPr>
                <w:color w:val="000000" w:themeColor="text1"/>
                <w:spacing w:val="-1"/>
                <w:sz w:val="24"/>
                <w:highlight w:val="none"/>
              </w:rPr>
              <w:t>施工期间严格控制施工作业带宽度，</w:t>
            </w:r>
            <w:r>
              <w:rPr>
                <w:color w:val="000000" w:themeColor="text1"/>
                <w:sz w:val="24"/>
                <w:highlight w:val="none"/>
              </w:rPr>
              <w:t>施工前作业带场地清理，应注意土壤的堆放及防护问题，</w:t>
            </w:r>
            <w:r>
              <w:rPr>
                <w:color w:val="000000" w:themeColor="text1"/>
                <w:spacing w:val="-3"/>
                <w:sz w:val="24"/>
                <w:highlight w:val="none"/>
              </w:rPr>
              <w:t>施工过程中对临时堆土进行覆盖防尘网防护和洒水降尘；</w:t>
            </w:r>
            <w:r>
              <w:rPr>
                <w:color w:val="000000" w:themeColor="text1"/>
                <w:sz w:val="24"/>
                <w:highlight w:val="none"/>
              </w:rPr>
              <w:t>避免雨天施工，造成水土流失危害。</w:t>
            </w:r>
          </w:p>
          <w:p w14:paraId="5CD3898A">
            <w:pPr>
              <w:spacing w:line="360" w:lineRule="auto"/>
              <w:ind w:firstLine="480" w:firstLineChars="200"/>
              <w:rPr>
                <w:color w:val="000000" w:themeColor="text1"/>
                <w:sz w:val="24"/>
                <w:highlight w:val="none"/>
              </w:rPr>
            </w:pPr>
            <w:r>
              <w:rPr>
                <w:color w:val="000000" w:themeColor="text1"/>
                <w:sz w:val="24"/>
                <w:highlight w:val="none"/>
              </w:rPr>
              <w:t>④</w:t>
            </w:r>
            <w:r>
              <w:rPr>
                <w:color w:val="000000" w:themeColor="text1"/>
                <w:spacing w:val="-3"/>
                <w:sz w:val="24"/>
                <w:highlight w:val="none"/>
              </w:rPr>
              <w:t>施工前进行表土剥离，对施工期内的风井场地内道路初期用碎石压盖，临时堆土采用彩钢板进行拦挡，覆盖防尘网，洒水降尘。施工结束后，对施工扰动区域进行土地整治</w:t>
            </w:r>
            <w:r>
              <w:rPr>
                <w:rFonts w:hint="eastAsia"/>
                <w:color w:val="000000" w:themeColor="text1"/>
                <w:spacing w:val="-3"/>
                <w:sz w:val="24"/>
                <w:highlight w:val="none"/>
              </w:rPr>
              <w:t>，</w:t>
            </w:r>
            <w:r>
              <w:rPr>
                <w:rFonts w:hint="eastAsia"/>
                <w:color w:val="000000" w:themeColor="text1"/>
                <w:sz w:val="24"/>
                <w:highlight w:val="none"/>
              </w:rPr>
              <w:t>风井场地外围撒播草籽栽植杨树恢复植被，恢复面积为1000m</w:t>
            </w:r>
            <w:r>
              <w:rPr>
                <w:rFonts w:hint="eastAsia"/>
                <w:color w:val="000000" w:themeColor="text1"/>
                <w:sz w:val="24"/>
                <w:highlight w:val="none"/>
                <w:vertAlign w:val="superscript"/>
              </w:rPr>
              <w:t>2</w:t>
            </w:r>
            <w:r>
              <w:rPr>
                <w:rFonts w:hint="eastAsia"/>
                <w:color w:val="000000" w:themeColor="text1"/>
                <w:sz w:val="24"/>
                <w:highlight w:val="none"/>
              </w:rPr>
              <w:t>，其中栽植杨树20株，撒播百里香草籽30kg；风井场地进行植树种草绿化，绿化面积</w:t>
            </w:r>
            <w:r>
              <w:rPr>
                <w:rFonts w:hint="eastAsia"/>
                <w:color w:val="000000" w:themeColor="text1"/>
                <w:spacing w:val="-3"/>
                <w:sz w:val="24"/>
                <w:highlight w:val="none"/>
              </w:rPr>
              <w:t>为3000m</w:t>
            </w:r>
            <w:r>
              <w:rPr>
                <w:rFonts w:hint="eastAsia"/>
                <w:color w:val="000000" w:themeColor="text1"/>
                <w:spacing w:val="-3"/>
                <w:sz w:val="24"/>
                <w:highlight w:val="none"/>
                <w:vertAlign w:val="superscript"/>
              </w:rPr>
              <w:t>2</w:t>
            </w:r>
            <w:r>
              <w:rPr>
                <w:rFonts w:hint="eastAsia"/>
                <w:color w:val="000000" w:themeColor="text1"/>
                <w:spacing w:val="-3"/>
                <w:sz w:val="24"/>
                <w:highlight w:val="none"/>
              </w:rPr>
              <w:t>；</w:t>
            </w:r>
            <w:r>
              <w:rPr>
                <w:color w:val="000000" w:themeColor="text1"/>
                <w:sz w:val="24"/>
                <w:highlight w:val="none"/>
              </w:rPr>
              <w:t>其中栽植</w:t>
            </w:r>
            <w:r>
              <w:rPr>
                <w:rFonts w:hint="eastAsia"/>
                <w:color w:val="000000" w:themeColor="text1"/>
                <w:sz w:val="24"/>
                <w:highlight w:val="none"/>
              </w:rPr>
              <w:t>松树100</w:t>
            </w:r>
            <w:r>
              <w:rPr>
                <w:color w:val="000000" w:themeColor="text1"/>
                <w:sz w:val="24"/>
                <w:highlight w:val="none"/>
              </w:rPr>
              <w:t>株，</w:t>
            </w:r>
            <w:r>
              <w:rPr>
                <w:color w:val="000000" w:themeColor="text1"/>
                <w:spacing w:val="-3"/>
                <w:sz w:val="24"/>
                <w:highlight w:val="none"/>
              </w:rPr>
              <w:t>撒播</w:t>
            </w:r>
            <w:bookmarkStart w:id="17" w:name="OLE_LINK2"/>
            <w:r>
              <w:rPr>
                <w:color w:val="000000" w:themeColor="text1"/>
                <w:spacing w:val="-3"/>
                <w:sz w:val="24"/>
                <w:highlight w:val="none"/>
              </w:rPr>
              <w:t>高羊茅草</w:t>
            </w:r>
            <w:bookmarkEnd w:id="17"/>
            <w:r>
              <w:rPr>
                <w:rFonts w:hint="eastAsia"/>
                <w:color w:val="000000" w:themeColor="text1"/>
                <w:spacing w:val="-3"/>
                <w:sz w:val="24"/>
                <w:highlight w:val="none"/>
              </w:rPr>
              <w:t>草籽10</w:t>
            </w:r>
            <w:r>
              <w:rPr>
                <w:color w:val="000000" w:themeColor="text1"/>
                <w:spacing w:val="-3"/>
                <w:sz w:val="24"/>
                <w:highlight w:val="none"/>
              </w:rPr>
              <w:t>kg</w:t>
            </w:r>
            <w:r>
              <w:rPr>
                <w:rFonts w:hint="eastAsia"/>
                <w:color w:val="000000" w:themeColor="text1"/>
                <w:spacing w:val="-3"/>
                <w:sz w:val="24"/>
                <w:highlight w:val="none"/>
              </w:rPr>
              <w:t>。</w:t>
            </w:r>
          </w:p>
          <w:p w14:paraId="21D9112F">
            <w:pPr>
              <w:spacing w:line="360" w:lineRule="auto"/>
              <w:ind w:firstLine="480" w:firstLineChars="200"/>
              <w:rPr>
                <w:color w:val="000000" w:themeColor="text1"/>
                <w:sz w:val="24"/>
                <w:highlight w:val="none"/>
              </w:rPr>
            </w:pPr>
            <w:r>
              <w:rPr>
                <w:rFonts w:hint="eastAsia"/>
                <w:color w:val="000000" w:themeColor="text1"/>
                <w:sz w:val="24"/>
                <w:highlight w:val="none"/>
              </w:rPr>
              <w:t>（</w:t>
            </w:r>
            <w:r>
              <w:rPr>
                <w:color w:val="000000" w:themeColor="text1"/>
                <w:sz w:val="24"/>
                <w:highlight w:val="none"/>
              </w:rPr>
              <w:t>2）陆生动物保护措施</w:t>
            </w:r>
          </w:p>
          <w:p w14:paraId="2D4ACE4E">
            <w:pPr>
              <w:spacing w:line="360" w:lineRule="auto"/>
              <w:ind w:firstLine="480" w:firstLineChars="200"/>
              <w:rPr>
                <w:color w:val="000000" w:themeColor="text1"/>
                <w:sz w:val="24"/>
                <w:highlight w:val="none"/>
              </w:rPr>
            </w:pPr>
            <w:r>
              <w:rPr>
                <w:color w:val="000000" w:themeColor="text1"/>
                <w:sz w:val="24"/>
                <w:highlight w:val="none"/>
              </w:rPr>
              <w:t>①施工期应加强对施工人员生态环境保护意识的教育，严禁对周围草地乱碾压，破坏生态及动物的生境、栖息地；严禁对野生动物的滥捕滥杀。</w:t>
            </w:r>
          </w:p>
          <w:p w14:paraId="672EFE20">
            <w:pPr>
              <w:spacing w:line="360" w:lineRule="auto"/>
              <w:ind w:firstLine="480" w:firstLineChars="200"/>
              <w:rPr>
                <w:color w:val="000000" w:themeColor="text1"/>
                <w:sz w:val="24"/>
                <w:highlight w:val="none"/>
              </w:rPr>
            </w:pPr>
            <w:r>
              <w:rPr>
                <w:color w:val="000000" w:themeColor="text1"/>
                <w:sz w:val="24"/>
                <w:highlight w:val="none"/>
              </w:rPr>
              <w:t>②工程施工前应划定施工范围，施工必须限制在划定范围内，并且在工程施工区设置警示牌，禁止施工人员和车辆进入施工范围以外区域，避免施工人员的非施工活动惊扰影响动物的栖息</w:t>
            </w:r>
            <w:r>
              <w:rPr>
                <w:rFonts w:hint="eastAsia"/>
                <w:color w:val="000000" w:themeColor="text1"/>
                <w:sz w:val="24"/>
                <w:highlight w:val="none"/>
              </w:rPr>
              <w:t>。</w:t>
            </w:r>
          </w:p>
          <w:p w14:paraId="47EF601E">
            <w:pPr>
              <w:spacing w:line="360" w:lineRule="auto"/>
              <w:ind w:firstLine="480" w:firstLineChars="200"/>
              <w:rPr>
                <w:color w:val="000000" w:themeColor="text1"/>
                <w:sz w:val="24"/>
                <w:highlight w:val="none"/>
              </w:rPr>
            </w:pPr>
            <w:r>
              <w:rPr>
                <w:color w:val="000000" w:themeColor="text1"/>
                <w:sz w:val="24"/>
                <w:highlight w:val="none"/>
              </w:rPr>
              <w:t>③项目建设中，各种施工作业，尤其是噪声较高的施工活动等应避开野生动物的栖息地，避免对其产生干扰。</w:t>
            </w:r>
          </w:p>
          <w:p w14:paraId="470416E0">
            <w:pPr>
              <w:spacing w:line="360" w:lineRule="auto"/>
              <w:ind w:firstLine="480" w:firstLineChars="200"/>
              <w:rPr>
                <w:color w:val="000000" w:themeColor="text1"/>
                <w:sz w:val="24"/>
                <w:highlight w:val="none"/>
              </w:rPr>
            </w:pPr>
            <w:r>
              <w:rPr>
                <w:color w:val="000000" w:themeColor="text1"/>
                <w:sz w:val="24"/>
                <w:highlight w:val="none"/>
              </w:rPr>
              <w:t>④优化施工路线，工程物料运输路线以已建道路为主，避免车辆惊扰栖息的动物。</w:t>
            </w:r>
          </w:p>
          <w:p w14:paraId="1188CFAF">
            <w:pPr>
              <w:spacing w:line="360" w:lineRule="auto"/>
              <w:ind w:firstLine="480" w:firstLineChars="200"/>
              <w:rPr>
                <w:color w:val="000000" w:themeColor="text1"/>
                <w:sz w:val="24"/>
                <w:highlight w:val="none"/>
              </w:rPr>
            </w:pPr>
            <w:r>
              <w:rPr>
                <w:color w:val="000000" w:themeColor="text1"/>
                <w:sz w:val="24"/>
                <w:highlight w:val="none"/>
              </w:rPr>
              <w:t>⑤施工结束后，尽快恢复和完善工程周边的绿化工作，</w:t>
            </w:r>
            <w:r>
              <w:rPr>
                <w:rFonts w:hint="eastAsia"/>
                <w:color w:val="000000" w:themeColor="text1"/>
                <w:sz w:val="24"/>
                <w:highlight w:val="none"/>
              </w:rPr>
              <w:t>植树种草后需及时进行灌溉，灌溉用水为富民煤矿工业场地矿井水处理站深度处理后的井下排水，由水车从富民煤矿工业场地拉水。</w:t>
            </w:r>
          </w:p>
          <w:p w14:paraId="1682ED29">
            <w:pPr>
              <w:spacing w:line="360" w:lineRule="auto"/>
              <w:ind w:firstLine="480" w:firstLineChars="200"/>
              <w:rPr>
                <w:color w:val="000000" w:themeColor="text1"/>
                <w:sz w:val="24"/>
                <w:highlight w:val="none"/>
              </w:rPr>
            </w:pPr>
            <w:r>
              <w:rPr>
                <w:rFonts w:hint="eastAsia"/>
                <w:color w:val="000000" w:themeColor="text1"/>
                <w:sz w:val="24"/>
                <w:highlight w:val="none"/>
              </w:rPr>
              <w:t>2.</w:t>
            </w:r>
            <w:r>
              <w:rPr>
                <w:color w:val="000000" w:themeColor="text1"/>
                <w:sz w:val="24"/>
                <w:highlight w:val="none"/>
              </w:rPr>
              <w:t xml:space="preserve">水土流失防治措施 </w:t>
            </w:r>
          </w:p>
          <w:p w14:paraId="6D77A454">
            <w:pPr>
              <w:spacing w:line="360" w:lineRule="auto"/>
              <w:ind w:firstLine="480" w:firstLineChars="200"/>
              <w:rPr>
                <w:color w:val="000000" w:themeColor="text1"/>
                <w:sz w:val="24"/>
                <w:highlight w:val="none"/>
              </w:rPr>
            </w:pPr>
            <w:r>
              <w:rPr>
                <w:color w:val="000000" w:themeColor="text1"/>
                <w:sz w:val="24"/>
                <w:highlight w:val="none"/>
              </w:rPr>
              <w:t>优化单项工程的施工时序，避免暴雨天气进行场地、道路的平整、地基开挖；遭遇大风和暴雨时，应在其来临之前分别采取洒水、土袋拦挡和草垫覆盖等临时防护措施，防止风蚀和雨滴溅蚀。严控施工作业带和施工红线，禁止越线开挖，禁止将临时堆土堆放于施工作业带外。</w:t>
            </w:r>
          </w:p>
          <w:p w14:paraId="61241B29">
            <w:pPr>
              <w:spacing w:line="360" w:lineRule="auto"/>
              <w:ind w:firstLine="482" w:firstLineChars="200"/>
              <w:rPr>
                <w:b/>
                <w:bCs/>
                <w:color w:val="000000" w:themeColor="text1"/>
                <w:sz w:val="24"/>
                <w:highlight w:val="none"/>
              </w:rPr>
            </w:pPr>
            <w:r>
              <w:rPr>
                <w:rFonts w:hint="eastAsia"/>
                <w:b/>
                <w:bCs/>
                <w:color w:val="000000" w:themeColor="text1"/>
                <w:sz w:val="24"/>
                <w:highlight w:val="none"/>
              </w:rPr>
              <w:t>二、大气环境保护措施</w:t>
            </w:r>
          </w:p>
          <w:p w14:paraId="63827A10">
            <w:pPr>
              <w:snapToGrid w:val="0"/>
              <w:spacing w:line="360" w:lineRule="auto"/>
              <w:ind w:firstLine="480" w:firstLineChars="200"/>
              <w:rPr>
                <w:color w:val="000000" w:themeColor="text1"/>
                <w:sz w:val="24"/>
                <w:highlight w:val="none"/>
              </w:rPr>
            </w:pPr>
            <w:r>
              <w:rPr>
                <w:rFonts w:hint="eastAsia"/>
                <w:color w:val="000000" w:themeColor="text1"/>
                <w:sz w:val="24"/>
                <w:highlight w:val="none"/>
              </w:rPr>
              <w:t>（</w:t>
            </w:r>
            <w:r>
              <w:rPr>
                <w:color w:val="000000" w:themeColor="text1"/>
                <w:sz w:val="24"/>
                <w:highlight w:val="none"/>
              </w:rPr>
              <w:t>1）施工扬尘治理措施</w:t>
            </w:r>
          </w:p>
          <w:p w14:paraId="41C15DE4">
            <w:pPr>
              <w:snapToGrid w:val="0"/>
              <w:spacing w:line="360" w:lineRule="auto"/>
              <w:ind w:firstLine="480" w:firstLineChars="200"/>
              <w:rPr>
                <w:color w:val="000000" w:themeColor="text1"/>
                <w:spacing w:val="-1"/>
                <w:sz w:val="24"/>
                <w:highlight w:val="none"/>
              </w:rPr>
            </w:pPr>
            <w:r>
              <w:rPr>
                <w:color w:val="000000" w:themeColor="text1"/>
                <w:sz w:val="24"/>
                <w:highlight w:val="none"/>
              </w:rPr>
              <w:t>①</w:t>
            </w:r>
            <w:r>
              <w:rPr>
                <w:color w:val="000000" w:themeColor="text1"/>
                <w:spacing w:val="-1"/>
                <w:sz w:val="24"/>
                <w:highlight w:val="none"/>
              </w:rPr>
              <w:t>施工工地周围应当按照有关规定设置连续、密闭的围挡</w:t>
            </w:r>
            <w:r>
              <w:rPr>
                <w:rFonts w:hint="eastAsia"/>
                <w:color w:val="000000" w:themeColor="text1"/>
                <w:highlight w:val="none"/>
              </w:rPr>
              <w:t>，</w:t>
            </w:r>
            <w:r>
              <w:rPr>
                <w:rFonts w:hint="eastAsia"/>
                <w:color w:val="000000" w:themeColor="text1"/>
                <w:spacing w:val="-1"/>
                <w:sz w:val="24"/>
                <w:highlight w:val="none"/>
              </w:rPr>
              <w:t>围挡高度不低于2.5m。</w:t>
            </w:r>
          </w:p>
          <w:p w14:paraId="08B66C6C">
            <w:pPr>
              <w:snapToGrid w:val="0"/>
              <w:spacing w:line="360" w:lineRule="auto"/>
              <w:ind w:firstLine="480" w:firstLineChars="200"/>
              <w:rPr>
                <w:color w:val="000000" w:themeColor="text1"/>
                <w:sz w:val="24"/>
                <w:highlight w:val="none"/>
              </w:rPr>
            </w:pPr>
            <w:r>
              <w:rPr>
                <w:color w:val="000000" w:themeColor="text1"/>
                <w:sz w:val="24"/>
                <w:highlight w:val="none"/>
              </w:rPr>
              <w:t xml:space="preserve">②施工现场裸露场地采用抑尘网覆盖，并随时洒水抑尘； </w:t>
            </w:r>
          </w:p>
          <w:p w14:paraId="15C8A916">
            <w:pPr>
              <w:snapToGrid w:val="0"/>
              <w:spacing w:line="360" w:lineRule="auto"/>
              <w:ind w:firstLine="480" w:firstLineChars="200"/>
              <w:rPr>
                <w:color w:val="000000" w:themeColor="text1"/>
                <w:sz w:val="24"/>
                <w:highlight w:val="none"/>
              </w:rPr>
            </w:pPr>
            <w:r>
              <w:rPr>
                <w:color w:val="000000" w:themeColor="text1"/>
                <w:sz w:val="24"/>
                <w:highlight w:val="none"/>
              </w:rPr>
              <w:t xml:space="preserve">③运输建筑材料的车辆严禁超载，运输颗粒物料沙土等车辆必须采取加盖篷布等防尘措施，防止物料沿途抛撒导致二次扬尘。车辆应按照批准的路线和时间进行物料等的运输；施工现场设置洒水车，对施工现场和进场道路进行定期洒水，保持地面湿度，在无雨日的上下午各洒水两次，减少二次扬尘产生。 </w:t>
            </w:r>
          </w:p>
          <w:p w14:paraId="7B2489E2">
            <w:pPr>
              <w:snapToGrid w:val="0"/>
              <w:spacing w:line="360" w:lineRule="auto"/>
              <w:ind w:firstLine="480" w:firstLineChars="200"/>
              <w:rPr>
                <w:color w:val="000000" w:themeColor="text1"/>
                <w:sz w:val="24"/>
                <w:highlight w:val="none"/>
              </w:rPr>
            </w:pPr>
            <w:r>
              <w:rPr>
                <w:color w:val="000000" w:themeColor="text1"/>
                <w:sz w:val="24"/>
                <w:highlight w:val="none"/>
              </w:rPr>
              <w:t>④土方作业，采取洒水抑尘措施，缩短起尘操作时间；气象预报风速达到四级以上或者出现重污染天气状况时，应停止土石方作业工程施工；在施工中要加强管理、切实落实好以上措施，施工场地产生的扬尘，经过减少或延缓对其影响较小，同时该环境影响将随施工的结束而消失。</w:t>
            </w:r>
          </w:p>
          <w:p w14:paraId="5AD83D42">
            <w:pPr>
              <w:snapToGrid w:val="0"/>
              <w:spacing w:line="360" w:lineRule="auto"/>
              <w:ind w:firstLine="480" w:firstLineChars="200"/>
              <w:rPr>
                <w:color w:val="000000" w:themeColor="text1"/>
                <w:sz w:val="24"/>
                <w:highlight w:val="none"/>
              </w:rPr>
            </w:pPr>
            <w:r>
              <w:rPr>
                <w:color w:val="000000" w:themeColor="text1"/>
                <w:sz w:val="24"/>
                <w:highlight w:val="none"/>
              </w:rPr>
              <w:t>⑤施工现场各类建材应进料有序，原则上不超过一周的施工用料。建材堆放应设置标牌，实现分类堆放。建材堆放应当整齐有序，无场外和占道</w:t>
            </w:r>
            <w:r>
              <w:rPr>
                <w:rFonts w:hint="eastAsia"/>
                <w:color w:val="000000" w:themeColor="text1"/>
                <w:sz w:val="24"/>
                <w:highlight w:val="none"/>
              </w:rPr>
              <w:t>（</w:t>
            </w:r>
            <w:r>
              <w:rPr>
                <w:color w:val="000000" w:themeColor="text1"/>
                <w:sz w:val="24"/>
                <w:highlight w:val="none"/>
              </w:rPr>
              <w:t>绿地）堆放物料现象，禁止露天敞开堆放易扬尘性建筑施工材料。施工工地内堆放的粉状物料堆场采取封闭措施，其他工程材料、砂石、土方等易产生扬尘的物料应当采取覆盖防尘网或者防尘布等措施</w:t>
            </w:r>
            <w:r>
              <w:rPr>
                <w:rFonts w:hint="eastAsia"/>
                <w:color w:val="000000" w:themeColor="text1"/>
                <w:sz w:val="24"/>
                <w:highlight w:val="none"/>
              </w:rPr>
              <w:t>。</w:t>
            </w:r>
          </w:p>
          <w:p w14:paraId="36AF502F">
            <w:pPr>
              <w:snapToGrid w:val="0"/>
              <w:spacing w:line="360" w:lineRule="auto"/>
              <w:ind w:firstLine="480" w:firstLineChars="200"/>
              <w:rPr>
                <w:color w:val="000000" w:themeColor="text1"/>
                <w:sz w:val="24"/>
                <w:highlight w:val="none"/>
              </w:rPr>
            </w:pPr>
            <w:r>
              <w:rPr>
                <w:color w:val="000000" w:themeColor="text1"/>
                <w:sz w:val="24"/>
                <w:highlight w:val="none"/>
              </w:rPr>
              <w:t>⑥施工期开挖土方集中堆存，临时堆土进行拦挡、苫盖防护，减少堆存量、</w:t>
            </w:r>
            <w:r>
              <w:rPr>
                <w:rFonts w:hint="eastAsia"/>
                <w:color w:val="000000" w:themeColor="text1"/>
                <w:sz w:val="24"/>
                <w:highlight w:val="none"/>
                <w:lang w:eastAsia="zh-CN"/>
              </w:rPr>
              <w:t>缩短</w:t>
            </w:r>
            <w:r>
              <w:rPr>
                <w:color w:val="000000" w:themeColor="text1"/>
                <w:sz w:val="24"/>
                <w:highlight w:val="none"/>
              </w:rPr>
              <w:t>堆存时间，施工期对表土进行剥离，堆放于</w:t>
            </w:r>
            <w:r>
              <w:rPr>
                <w:rFonts w:hint="eastAsia"/>
                <w:color w:val="000000" w:themeColor="text1"/>
                <w:sz w:val="24"/>
                <w:highlight w:val="none"/>
              </w:rPr>
              <w:t>堆场</w:t>
            </w:r>
            <w:r>
              <w:rPr>
                <w:color w:val="000000" w:themeColor="text1"/>
                <w:sz w:val="24"/>
                <w:highlight w:val="none"/>
              </w:rPr>
              <w:t>，最终用于植被恢复用土。施工结束后及时进行土地平整及植被恢复。</w:t>
            </w:r>
          </w:p>
          <w:p w14:paraId="74A5B4E3">
            <w:pPr>
              <w:snapToGrid w:val="0"/>
              <w:spacing w:line="360" w:lineRule="auto"/>
              <w:ind w:firstLine="480" w:firstLineChars="200"/>
              <w:rPr>
                <w:color w:val="000000" w:themeColor="text1"/>
                <w:sz w:val="24"/>
                <w:highlight w:val="none"/>
              </w:rPr>
            </w:pPr>
            <w:r>
              <w:rPr>
                <w:rFonts w:hint="eastAsia"/>
                <w:color w:val="000000" w:themeColor="text1"/>
                <w:sz w:val="24"/>
                <w:highlight w:val="none"/>
              </w:rPr>
              <w:t>⑦施工单位文明施工，做好洒水抑尘工作，对撒落在路面的渣土及时清除，清理阶段做到先洒水后清扫，确保不会对周围居民造成影响。</w:t>
            </w:r>
          </w:p>
          <w:p w14:paraId="1CF8734F">
            <w:pPr>
              <w:widowControl/>
              <w:spacing w:line="360" w:lineRule="auto"/>
              <w:ind w:firstLine="480" w:firstLineChars="200"/>
              <w:rPr>
                <w:color w:val="000000" w:themeColor="text1"/>
                <w:kern w:val="0"/>
                <w:sz w:val="24"/>
                <w:highlight w:val="none"/>
              </w:rPr>
            </w:pPr>
            <w:r>
              <w:rPr>
                <w:rFonts w:hint="eastAsia"/>
                <w:color w:val="000000" w:themeColor="text1"/>
                <w:kern w:val="0"/>
                <w:sz w:val="24"/>
                <w:highlight w:val="none"/>
              </w:rPr>
              <w:t>（</w:t>
            </w:r>
            <w:r>
              <w:rPr>
                <w:color w:val="000000" w:themeColor="text1"/>
                <w:kern w:val="0"/>
                <w:sz w:val="24"/>
                <w:highlight w:val="none"/>
              </w:rPr>
              <w:t>2）施工机械与运输车辆</w:t>
            </w:r>
            <w:r>
              <w:rPr>
                <w:color w:val="000000" w:themeColor="text1"/>
                <w:sz w:val="24"/>
                <w:highlight w:val="none"/>
              </w:rPr>
              <w:t>尾气</w:t>
            </w:r>
          </w:p>
          <w:p w14:paraId="150664CF">
            <w:pPr>
              <w:widowControl/>
              <w:spacing w:line="360" w:lineRule="auto"/>
              <w:ind w:firstLine="480" w:firstLineChars="200"/>
              <w:rPr>
                <w:color w:val="000000" w:themeColor="text1"/>
                <w:kern w:val="0"/>
                <w:sz w:val="24"/>
                <w:highlight w:val="none"/>
              </w:rPr>
            </w:pPr>
            <w:r>
              <w:rPr>
                <w:color w:val="000000" w:themeColor="text1"/>
                <w:kern w:val="0"/>
                <w:sz w:val="24"/>
                <w:highlight w:val="none"/>
              </w:rPr>
              <w:t>对于施工机械与车辆产生的</w:t>
            </w:r>
            <w:r>
              <w:rPr>
                <w:color w:val="000000" w:themeColor="text1"/>
                <w:sz w:val="24"/>
                <w:highlight w:val="none"/>
              </w:rPr>
              <w:t>尾气采取以下措施，</w:t>
            </w:r>
            <w:r>
              <w:rPr>
                <w:color w:val="000000" w:themeColor="text1"/>
                <w:kern w:val="0"/>
                <w:sz w:val="24"/>
                <w:highlight w:val="none"/>
              </w:rPr>
              <w:t>施工期</w:t>
            </w:r>
            <w:r>
              <w:rPr>
                <w:rFonts w:hint="eastAsia"/>
                <w:color w:val="000000" w:themeColor="text1"/>
                <w:kern w:val="0"/>
                <w:sz w:val="24"/>
                <w:highlight w:val="none"/>
              </w:rPr>
              <w:t>间</w:t>
            </w:r>
            <w:r>
              <w:rPr>
                <w:color w:val="000000" w:themeColor="text1"/>
                <w:kern w:val="0"/>
                <w:sz w:val="24"/>
                <w:highlight w:val="none"/>
              </w:rPr>
              <w:t>各机械设备必须使用满足标准的油品，不得使用低于国家阶段性排放标准的汽油和柴油；在施工过程中采取控制速度，缩短怠速、减速和加速的时间；加强车辆及施工机械的维护保养，保证不排放黑烟；做好车辆疏导，减轻塞车或车速减低带来的尾气污染；在加强施工机械和运输车辆管理和合理安排调度作业的前提下，燃油废气对环境空气质量基本无影响。</w:t>
            </w:r>
          </w:p>
          <w:p w14:paraId="5345D379">
            <w:pPr>
              <w:widowControl/>
              <w:spacing w:line="360" w:lineRule="auto"/>
              <w:ind w:firstLine="480" w:firstLineChars="200"/>
              <w:rPr>
                <w:color w:val="000000" w:themeColor="text1"/>
                <w:sz w:val="24"/>
                <w:highlight w:val="none"/>
              </w:rPr>
            </w:pPr>
            <w:r>
              <w:rPr>
                <w:color w:val="000000" w:themeColor="text1"/>
                <w:sz w:val="24"/>
                <w:highlight w:val="none"/>
              </w:rPr>
              <w:t>总之，项目施工期扬尘对周围空气环境有一定的影响，但是由于施工期是暂时的，影响也是短暂的，随着项目施工的竣工，施工期大气环境影响也将随之消失。</w:t>
            </w:r>
          </w:p>
          <w:p w14:paraId="345CDF4B">
            <w:pPr>
              <w:pStyle w:val="43"/>
              <w:tabs>
                <w:tab w:val="left" w:pos="425"/>
              </w:tabs>
              <w:spacing w:line="360" w:lineRule="auto"/>
              <w:ind w:firstLine="482"/>
              <w:rPr>
                <w:b/>
                <w:color w:val="000000" w:themeColor="text1"/>
                <w:highlight w:val="none"/>
              </w:rPr>
            </w:pPr>
            <w:r>
              <w:rPr>
                <w:b/>
                <w:color w:val="000000" w:themeColor="text1"/>
                <w:highlight w:val="none"/>
              </w:rPr>
              <w:t>三、水环境保护措施</w:t>
            </w:r>
          </w:p>
          <w:p w14:paraId="4CE41A33">
            <w:pPr>
              <w:snapToGrid w:val="0"/>
              <w:spacing w:line="360" w:lineRule="auto"/>
              <w:ind w:firstLine="480" w:firstLineChars="200"/>
              <w:rPr>
                <w:bCs/>
                <w:color w:val="000000" w:themeColor="text1"/>
                <w:sz w:val="24"/>
                <w:highlight w:val="none"/>
              </w:rPr>
            </w:pPr>
            <w:r>
              <w:rPr>
                <w:bCs/>
                <w:color w:val="000000" w:themeColor="text1"/>
                <w:sz w:val="24"/>
                <w:highlight w:val="none"/>
              </w:rPr>
              <w:t>本项目施工期施工人员</w:t>
            </w:r>
            <w:r>
              <w:rPr>
                <w:rFonts w:hint="eastAsia"/>
                <w:bCs/>
                <w:color w:val="000000" w:themeColor="text1"/>
                <w:sz w:val="24"/>
                <w:highlight w:val="none"/>
              </w:rPr>
              <w:t>生活污水依托煤矿办公生活区现有污水处理设施</w:t>
            </w:r>
            <w:r>
              <w:rPr>
                <w:color w:val="000000" w:themeColor="text1"/>
                <w:sz w:val="24"/>
                <w:highlight w:val="none"/>
              </w:rPr>
              <w:t>，</w:t>
            </w:r>
            <w:r>
              <w:rPr>
                <w:rFonts w:hint="eastAsia"/>
                <w:color w:val="000000" w:themeColor="text1"/>
                <w:sz w:val="24"/>
                <w:highlight w:val="none"/>
              </w:rPr>
              <w:t>不外排</w:t>
            </w:r>
            <w:r>
              <w:rPr>
                <w:rFonts w:hint="eastAsia"/>
                <w:color w:val="000000" w:themeColor="text1"/>
                <w:sz w:val="24"/>
                <w:highlight w:val="none"/>
                <w:lang w:eastAsia="zh-CN"/>
              </w:rPr>
              <w:t>，</w:t>
            </w:r>
            <w:r>
              <w:rPr>
                <w:rFonts w:hint="eastAsia"/>
                <w:color w:val="000000" w:themeColor="text1"/>
                <w:sz w:val="24"/>
                <w:highlight w:val="none"/>
                <w:lang w:val="en-US" w:eastAsia="zh-CN"/>
              </w:rPr>
              <w:t>场地设置临时化粪池，收集的污水定期由吸污车拉运至工业场地污水处理设施处理</w:t>
            </w:r>
            <w:r>
              <w:rPr>
                <w:bCs/>
                <w:color w:val="000000" w:themeColor="text1"/>
                <w:sz w:val="24"/>
                <w:highlight w:val="none"/>
              </w:rPr>
              <w:t>，对环境影响较小</w:t>
            </w:r>
            <w:r>
              <w:rPr>
                <w:rFonts w:hint="eastAsia"/>
                <w:bCs/>
                <w:color w:val="000000" w:themeColor="text1"/>
                <w:sz w:val="24"/>
                <w:highlight w:val="none"/>
              </w:rPr>
              <w:t>。</w:t>
            </w:r>
          </w:p>
          <w:p w14:paraId="3B76D134">
            <w:pPr>
              <w:snapToGrid w:val="0"/>
              <w:spacing w:line="360" w:lineRule="auto"/>
              <w:ind w:firstLine="480" w:firstLineChars="200"/>
              <w:rPr>
                <w:bCs/>
                <w:color w:val="000000" w:themeColor="text1"/>
                <w:sz w:val="24"/>
                <w:highlight w:val="none"/>
              </w:rPr>
            </w:pPr>
            <w:r>
              <w:rPr>
                <w:bCs/>
                <w:color w:val="000000" w:themeColor="text1"/>
                <w:sz w:val="24"/>
                <w:highlight w:val="none"/>
              </w:rPr>
              <w:t>施工期废水主要污染物为SS，施工场地内设置沉淀池，施工生产废水经沉淀池处理后循环利用，对地表水环境影响小。</w:t>
            </w:r>
          </w:p>
          <w:p w14:paraId="65AA6AF7">
            <w:pPr>
              <w:pStyle w:val="54"/>
              <w:spacing w:line="360" w:lineRule="auto"/>
              <w:ind w:firstLine="480"/>
              <w:rPr>
                <w:rFonts w:ascii="Times New Roman" w:hAnsi="Times New Roman" w:eastAsia="宋体" w:cs="Times New Roman"/>
                <w:color w:val="000000" w:themeColor="text1"/>
                <w:szCs w:val="24"/>
                <w:highlight w:val="none"/>
              </w:rPr>
            </w:pPr>
            <w:r>
              <w:rPr>
                <w:rFonts w:ascii="Times New Roman" w:hAnsi="Times New Roman" w:eastAsia="宋体" w:cs="Times New Roman"/>
                <w:color w:val="000000" w:themeColor="text1"/>
                <w:szCs w:val="24"/>
                <w:highlight w:val="none"/>
              </w:rPr>
              <w:t>风井场地井筒掘进过程中产生的废水</w:t>
            </w:r>
            <w:r>
              <w:rPr>
                <w:rFonts w:hint="eastAsia" w:ascii="Times New Roman" w:hAnsi="Times New Roman" w:eastAsia="宋体" w:cs="Times New Roman"/>
                <w:color w:val="000000" w:themeColor="text1"/>
                <w:szCs w:val="24"/>
                <w:highlight w:val="none"/>
              </w:rPr>
              <w:t>量较少，</w:t>
            </w:r>
            <w:r>
              <w:rPr>
                <w:rFonts w:ascii="Times New Roman" w:hAnsi="Times New Roman" w:eastAsia="宋体" w:cs="Times New Roman"/>
                <w:color w:val="000000" w:themeColor="text1"/>
                <w:szCs w:val="24"/>
                <w:highlight w:val="none"/>
              </w:rPr>
              <w:t>由抽水车定期集中抽排，运送至工业场地既有矿井水处理站处理后回用；</w:t>
            </w:r>
          </w:p>
          <w:p w14:paraId="190B3A56">
            <w:pPr>
              <w:snapToGrid w:val="0"/>
              <w:spacing w:line="360" w:lineRule="auto"/>
              <w:ind w:firstLine="480" w:firstLineChars="200"/>
              <w:rPr>
                <w:bCs/>
                <w:color w:val="000000" w:themeColor="text1"/>
                <w:sz w:val="24"/>
                <w:highlight w:val="none"/>
              </w:rPr>
            </w:pPr>
            <w:r>
              <w:rPr>
                <w:bCs/>
                <w:color w:val="000000" w:themeColor="text1"/>
                <w:sz w:val="24"/>
                <w:highlight w:val="none"/>
              </w:rPr>
              <w:t>经过采取上述措施后，施工期废水对当地地表水体产生影响小。</w:t>
            </w:r>
          </w:p>
          <w:p w14:paraId="42E4B335">
            <w:pPr>
              <w:snapToGrid w:val="0"/>
              <w:spacing w:line="360" w:lineRule="auto"/>
              <w:ind w:firstLine="482" w:firstLineChars="200"/>
              <w:rPr>
                <w:b/>
                <w:color w:val="000000" w:themeColor="text1"/>
                <w:sz w:val="24"/>
                <w:highlight w:val="none"/>
              </w:rPr>
            </w:pPr>
            <w:r>
              <w:rPr>
                <w:b/>
                <w:color w:val="000000" w:themeColor="text1"/>
                <w:sz w:val="24"/>
                <w:highlight w:val="none"/>
              </w:rPr>
              <w:t>四、声环境保护措施</w:t>
            </w:r>
          </w:p>
          <w:p w14:paraId="0F1E03E4">
            <w:pPr>
              <w:spacing w:line="360" w:lineRule="auto"/>
              <w:ind w:firstLine="480" w:firstLineChars="200"/>
              <w:rPr>
                <w:bCs/>
                <w:color w:val="000000" w:themeColor="text1"/>
                <w:sz w:val="24"/>
                <w:highlight w:val="none"/>
              </w:rPr>
            </w:pPr>
            <w:r>
              <w:rPr>
                <w:bCs/>
                <w:color w:val="000000" w:themeColor="text1"/>
                <w:sz w:val="24"/>
                <w:highlight w:val="none"/>
              </w:rPr>
              <w:t>①施工单位要合理安排施工作业时间，</w:t>
            </w:r>
            <w:r>
              <w:rPr>
                <w:rFonts w:hint="eastAsia"/>
                <w:bCs/>
                <w:color w:val="000000" w:themeColor="text1"/>
                <w:sz w:val="24"/>
                <w:highlight w:val="none"/>
              </w:rPr>
              <w:t>夜间</w:t>
            </w:r>
            <w:r>
              <w:rPr>
                <w:bCs/>
                <w:color w:val="000000" w:themeColor="text1"/>
                <w:sz w:val="24"/>
                <w:highlight w:val="none"/>
              </w:rPr>
              <w:t>严禁施工。为进一步确保周围人员不受影响，施工单位应合理安排施工机械的作业位置；</w:t>
            </w:r>
          </w:p>
          <w:p w14:paraId="65425C27">
            <w:pPr>
              <w:spacing w:line="360" w:lineRule="auto"/>
              <w:ind w:firstLine="480" w:firstLineChars="200"/>
              <w:rPr>
                <w:color w:val="000000" w:themeColor="text1"/>
                <w:highlight w:val="none"/>
              </w:rPr>
            </w:pPr>
            <w:r>
              <w:rPr>
                <w:bCs/>
                <w:color w:val="000000" w:themeColor="text1"/>
                <w:sz w:val="24"/>
                <w:highlight w:val="none"/>
              </w:rPr>
              <w:t>②施工机械产生的噪声往往具有突发、无规则、不连续和高强度等特点，改进施工方式，选择低噪声施工机械，对高噪声机械要严格控制运行时段，并减少同时作业的高噪声施工机械数量，以减轻声源叠加造成的影响。</w:t>
            </w:r>
          </w:p>
          <w:p w14:paraId="757E5284">
            <w:pPr>
              <w:spacing w:line="360" w:lineRule="auto"/>
              <w:ind w:firstLine="480" w:firstLineChars="200"/>
              <w:rPr>
                <w:bCs/>
                <w:color w:val="000000" w:themeColor="text1"/>
                <w:sz w:val="24"/>
                <w:highlight w:val="none"/>
              </w:rPr>
            </w:pPr>
            <w:r>
              <w:rPr>
                <w:rFonts w:hint="eastAsia"/>
                <w:bCs/>
                <w:color w:val="000000" w:themeColor="text1"/>
                <w:sz w:val="24"/>
                <w:highlight w:val="none"/>
              </w:rPr>
              <w:t>③加强施工组织管理，提高施工机械化程度，缩短施工工期。在满足施工作业前提下，对位置相对固定的机械设备，如电锯等，必须设置在工棚内；</w:t>
            </w:r>
          </w:p>
          <w:p w14:paraId="51D4E46A">
            <w:pPr>
              <w:spacing w:line="360" w:lineRule="auto"/>
              <w:ind w:firstLine="480" w:firstLineChars="200"/>
              <w:rPr>
                <w:bCs/>
                <w:color w:val="000000" w:themeColor="text1"/>
                <w:sz w:val="24"/>
                <w:highlight w:val="none"/>
              </w:rPr>
            </w:pPr>
            <w:r>
              <w:rPr>
                <w:rFonts w:hint="eastAsia"/>
                <w:bCs/>
                <w:color w:val="000000" w:themeColor="text1"/>
                <w:sz w:val="24"/>
                <w:highlight w:val="none"/>
              </w:rPr>
              <w:t>④对机械操作人员采取轮流工作制，减少工人接触高噪声时间、并佩戴防护耳塞等措施；</w:t>
            </w:r>
          </w:p>
          <w:p w14:paraId="246F9239">
            <w:pPr>
              <w:spacing w:line="360" w:lineRule="auto"/>
              <w:ind w:firstLine="480" w:firstLineChars="200"/>
              <w:rPr>
                <w:bCs/>
                <w:color w:val="000000" w:themeColor="text1"/>
                <w:sz w:val="24"/>
                <w:highlight w:val="none"/>
              </w:rPr>
            </w:pPr>
            <w:r>
              <w:rPr>
                <w:rFonts w:hint="eastAsia"/>
                <w:bCs/>
                <w:color w:val="000000" w:themeColor="text1"/>
                <w:sz w:val="24"/>
                <w:highlight w:val="none"/>
              </w:rPr>
              <w:t>⑤运输车辆路经城镇、村庄和进入工地减速，减少鸣笛。</w:t>
            </w:r>
          </w:p>
          <w:p w14:paraId="179161FA">
            <w:pPr>
              <w:spacing w:line="360" w:lineRule="auto"/>
              <w:ind w:firstLine="480" w:firstLineChars="200"/>
              <w:rPr>
                <w:bCs/>
                <w:color w:val="000000" w:themeColor="text1"/>
                <w:sz w:val="24"/>
                <w:highlight w:val="none"/>
              </w:rPr>
            </w:pPr>
            <w:r>
              <w:rPr>
                <w:bCs/>
                <w:color w:val="000000" w:themeColor="text1"/>
                <w:sz w:val="24"/>
                <w:highlight w:val="none"/>
              </w:rPr>
              <w:t>随着施工期的结束，施工噪声的影响将消失，所以施工噪声对环境的不利影响是暂时的，短期的行为。对周围环境影响不大。</w:t>
            </w:r>
          </w:p>
          <w:p w14:paraId="5720C62C">
            <w:pPr>
              <w:spacing w:line="360" w:lineRule="auto"/>
              <w:ind w:firstLine="482" w:firstLineChars="200"/>
              <w:rPr>
                <w:b/>
                <w:color w:val="000000" w:themeColor="text1"/>
                <w:sz w:val="24"/>
                <w:highlight w:val="none"/>
              </w:rPr>
            </w:pPr>
            <w:r>
              <w:rPr>
                <w:rFonts w:hint="eastAsia"/>
                <w:b/>
                <w:color w:val="000000" w:themeColor="text1"/>
                <w:sz w:val="24"/>
                <w:highlight w:val="none"/>
              </w:rPr>
              <w:t>五、</w:t>
            </w:r>
            <w:r>
              <w:rPr>
                <w:b/>
                <w:color w:val="000000" w:themeColor="text1"/>
                <w:sz w:val="24"/>
                <w:highlight w:val="none"/>
              </w:rPr>
              <w:t>固体废物</w:t>
            </w:r>
          </w:p>
          <w:p w14:paraId="7B90FFD1">
            <w:pPr>
              <w:spacing w:line="360" w:lineRule="auto"/>
              <w:ind w:firstLine="480" w:firstLineChars="200"/>
              <w:rPr>
                <w:color w:val="000000" w:themeColor="text1"/>
                <w:sz w:val="24"/>
                <w:highlight w:val="none"/>
              </w:rPr>
            </w:pPr>
            <w:r>
              <w:rPr>
                <w:rFonts w:hint="eastAsia"/>
                <w:color w:val="000000" w:themeColor="text1"/>
                <w:sz w:val="24"/>
                <w:highlight w:val="none"/>
              </w:rPr>
              <w:t>（1）弃土：本项目</w:t>
            </w:r>
            <w:r>
              <w:rPr>
                <w:color w:val="000000" w:themeColor="text1"/>
                <w:sz w:val="24"/>
                <w:highlight w:val="none"/>
              </w:rPr>
              <w:t>多余土方量为</w:t>
            </w:r>
            <w:r>
              <w:rPr>
                <w:rFonts w:hint="eastAsia"/>
                <w:color w:val="000000" w:themeColor="text1"/>
                <w:sz w:val="24"/>
                <w:highlight w:val="none"/>
              </w:rPr>
              <w:t>1.3</w:t>
            </w:r>
            <w:r>
              <w:rPr>
                <w:color w:val="000000" w:themeColor="text1"/>
                <w:kern w:val="0"/>
                <w:sz w:val="24"/>
                <w:highlight w:val="none"/>
              </w:rPr>
              <w:t>万</w:t>
            </w:r>
            <w:r>
              <w:rPr>
                <w:color w:val="000000" w:themeColor="text1"/>
                <w:sz w:val="24"/>
                <w:highlight w:val="none"/>
              </w:rPr>
              <w:t>m</w:t>
            </w:r>
            <w:r>
              <w:rPr>
                <w:color w:val="000000" w:themeColor="text1"/>
                <w:sz w:val="24"/>
                <w:highlight w:val="none"/>
                <w:vertAlign w:val="superscript"/>
              </w:rPr>
              <w:t>3</w:t>
            </w:r>
            <w:r>
              <w:rPr>
                <w:color w:val="000000" w:themeColor="text1"/>
                <w:sz w:val="24"/>
                <w:highlight w:val="none"/>
              </w:rPr>
              <w:t>，</w:t>
            </w:r>
            <w:r>
              <w:rPr>
                <w:rFonts w:hint="eastAsia"/>
                <w:color w:val="000000" w:themeColor="text1"/>
                <w:sz w:val="24"/>
                <w:highlight w:val="none"/>
                <w:lang w:val="en-US" w:eastAsia="zh-CN"/>
              </w:rPr>
              <w:t>表土</w:t>
            </w:r>
            <w:r>
              <w:rPr>
                <w:rFonts w:hint="eastAsia"/>
                <w:color w:val="000000" w:themeColor="text1"/>
                <w:sz w:val="24"/>
                <w:highlight w:val="none"/>
              </w:rPr>
              <w:t>用于</w:t>
            </w:r>
            <w:r>
              <w:rPr>
                <w:color w:val="000000" w:themeColor="text1"/>
                <w:sz w:val="24"/>
                <w:highlight w:val="none"/>
              </w:rPr>
              <w:t>场地范围线内平整绿化</w:t>
            </w:r>
            <w:r>
              <w:rPr>
                <w:rFonts w:hint="eastAsia"/>
                <w:color w:val="000000" w:themeColor="text1"/>
                <w:sz w:val="24"/>
                <w:highlight w:val="none"/>
              </w:rPr>
              <w:t>，剩余</w:t>
            </w:r>
            <w:r>
              <w:rPr>
                <w:rFonts w:hint="eastAsia"/>
                <w:color w:val="000000" w:themeColor="text1"/>
                <w:sz w:val="24"/>
                <w:highlight w:val="none"/>
                <w:lang w:val="en-US" w:eastAsia="zh-CN"/>
              </w:rPr>
              <w:t>土方</w:t>
            </w:r>
            <w:r>
              <w:rPr>
                <w:rFonts w:hint="eastAsia"/>
                <w:color w:val="000000" w:themeColor="text1"/>
                <w:sz w:val="24"/>
                <w:highlight w:val="none"/>
              </w:rPr>
              <w:t>全部拉运至公沟煤矿外排土场</w:t>
            </w:r>
            <w:r>
              <w:rPr>
                <w:color w:val="000000" w:themeColor="text1"/>
                <w:sz w:val="24"/>
                <w:highlight w:val="none"/>
              </w:rPr>
              <w:t>。</w:t>
            </w:r>
          </w:p>
          <w:p w14:paraId="3775A8D1">
            <w:pPr>
              <w:spacing w:line="360" w:lineRule="auto"/>
              <w:ind w:firstLine="480" w:firstLineChars="200"/>
              <w:rPr>
                <w:bCs/>
                <w:color w:val="000000" w:themeColor="text1"/>
                <w:sz w:val="24"/>
                <w:highlight w:val="none"/>
              </w:rPr>
            </w:pPr>
            <w:r>
              <w:rPr>
                <w:rFonts w:hint="eastAsia"/>
                <w:color w:val="000000" w:themeColor="text1"/>
                <w:sz w:val="24"/>
                <w:highlight w:val="none"/>
              </w:rPr>
              <w:t>（2）</w:t>
            </w:r>
            <w:r>
              <w:rPr>
                <w:color w:val="000000" w:themeColor="text1"/>
                <w:sz w:val="24"/>
                <w:highlight w:val="none"/>
              </w:rPr>
              <w:t>井筒掘进产生的岩石</w:t>
            </w:r>
            <w:r>
              <w:rPr>
                <w:rFonts w:hint="eastAsia"/>
                <w:color w:val="000000" w:themeColor="text1"/>
                <w:sz w:val="24"/>
                <w:highlight w:val="none"/>
              </w:rPr>
              <w:t>：</w:t>
            </w:r>
            <w:r>
              <w:rPr>
                <w:color w:val="000000" w:themeColor="text1"/>
                <w:sz w:val="24"/>
                <w:highlight w:val="none"/>
              </w:rPr>
              <w:t>井筒掘进产生的岩石量约</w:t>
            </w:r>
            <w:r>
              <w:rPr>
                <w:rFonts w:hint="eastAsia"/>
                <w:color w:val="000000" w:themeColor="text1"/>
                <w:sz w:val="24"/>
                <w:highlight w:val="none"/>
              </w:rPr>
              <w:t>2.62</w:t>
            </w:r>
            <w:r>
              <w:rPr>
                <w:color w:val="000000" w:themeColor="text1"/>
                <w:sz w:val="24"/>
                <w:highlight w:val="none"/>
              </w:rPr>
              <w:t>万m³，</w:t>
            </w:r>
            <w:r>
              <w:rPr>
                <w:rFonts w:hint="eastAsia"/>
                <w:color w:val="000000" w:themeColor="text1"/>
                <w:sz w:val="24"/>
                <w:highlight w:val="none"/>
              </w:rPr>
              <w:t>全部拉运至公沟煤矿外排土场</w:t>
            </w:r>
            <w:r>
              <w:rPr>
                <w:color w:val="000000" w:themeColor="text1"/>
                <w:sz w:val="24"/>
                <w:highlight w:val="none"/>
              </w:rPr>
              <w:t>；</w:t>
            </w:r>
          </w:p>
          <w:p w14:paraId="457BB7AF">
            <w:pPr>
              <w:spacing w:line="360" w:lineRule="auto"/>
              <w:ind w:firstLine="480" w:firstLineChars="200"/>
              <w:rPr>
                <w:bCs/>
                <w:color w:val="000000" w:themeColor="text1"/>
                <w:sz w:val="24"/>
                <w:highlight w:val="none"/>
              </w:rPr>
            </w:pPr>
            <w:r>
              <w:rPr>
                <w:rFonts w:hint="eastAsia"/>
                <w:bCs/>
                <w:color w:val="000000" w:themeColor="text1"/>
                <w:sz w:val="24"/>
                <w:highlight w:val="none"/>
              </w:rPr>
              <w:t>（3）</w:t>
            </w:r>
            <w:r>
              <w:rPr>
                <w:bCs/>
                <w:color w:val="000000" w:themeColor="text1"/>
                <w:sz w:val="24"/>
                <w:highlight w:val="none"/>
              </w:rPr>
              <w:t>施工人员生活垃圾</w:t>
            </w:r>
            <w:r>
              <w:rPr>
                <w:rFonts w:hint="eastAsia"/>
                <w:bCs/>
                <w:color w:val="000000" w:themeColor="text1"/>
                <w:sz w:val="24"/>
                <w:highlight w:val="none"/>
              </w:rPr>
              <w:t>：</w:t>
            </w:r>
            <w:r>
              <w:rPr>
                <w:color w:val="000000" w:themeColor="text1"/>
                <w:sz w:val="24"/>
                <w:highlight w:val="none"/>
              </w:rPr>
              <w:t>本工程施工期生活垃圾的产生量为</w:t>
            </w:r>
            <w:r>
              <w:rPr>
                <w:rFonts w:hint="eastAsia"/>
                <w:color w:val="000000" w:themeColor="text1"/>
                <w:sz w:val="24"/>
                <w:highlight w:val="none"/>
              </w:rPr>
              <w:t>10</w:t>
            </w:r>
            <w:r>
              <w:rPr>
                <w:color w:val="000000" w:themeColor="text1"/>
                <w:sz w:val="24"/>
                <w:highlight w:val="none"/>
              </w:rPr>
              <w:t>kg/d。施工人员生活垃圾集中收集后交当地环卫部门处置。</w:t>
            </w:r>
          </w:p>
          <w:p w14:paraId="057DAD9B">
            <w:pPr>
              <w:pStyle w:val="14"/>
              <w:spacing w:before="153" w:line="220" w:lineRule="auto"/>
              <w:ind w:left="495"/>
              <w:rPr>
                <w:bCs/>
                <w:color w:val="000000" w:themeColor="text1"/>
                <w:sz w:val="24"/>
                <w:highlight w:val="none"/>
              </w:rPr>
            </w:pPr>
            <w:r>
              <w:rPr>
                <w:rFonts w:hint="eastAsia"/>
                <w:bCs/>
                <w:color w:val="000000" w:themeColor="text1"/>
                <w:sz w:val="24"/>
                <w:highlight w:val="none"/>
              </w:rPr>
              <w:t>（4）</w:t>
            </w:r>
            <w:r>
              <w:rPr>
                <w:color w:val="000000" w:themeColor="text1"/>
                <w:spacing w:val="-3"/>
                <w:sz w:val="24"/>
                <w:szCs w:val="24"/>
                <w:highlight w:val="none"/>
              </w:rPr>
              <w:t>建筑垃圾</w:t>
            </w:r>
            <w:r>
              <w:rPr>
                <w:rFonts w:hint="eastAsia"/>
                <w:color w:val="000000" w:themeColor="text1"/>
                <w:sz w:val="24"/>
                <w:szCs w:val="24"/>
                <w:highlight w:val="none"/>
              </w:rPr>
              <w:t>：</w:t>
            </w:r>
            <w:r>
              <w:rPr>
                <w:rFonts w:hint="eastAsia"/>
                <w:color w:val="000000" w:themeColor="text1"/>
                <w:spacing w:val="-3"/>
                <w:sz w:val="24"/>
                <w:szCs w:val="24"/>
                <w:highlight w:val="none"/>
              </w:rPr>
              <w:t>送至当地建筑垃圾填埋场处置，不得随意丢弃</w:t>
            </w:r>
          </w:p>
          <w:p w14:paraId="7F9B334A">
            <w:pPr>
              <w:adjustRightInd w:val="0"/>
              <w:snapToGrid w:val="0"/>
              <w:spacing w:line="360" w:lineRule="auto"/>
              <w:ind w:firstLine="480" w:firstLineChars="200"/>
              <w:rPr>
                <w:color w:val="000000" w:themeColor="text1"/>
                <w:sz w:val="24"/>
                <w:highlight w:val="none"/>
              </w:rPr>
            </w:pPr>
            <w:r>
              <w:rPr>
                <w:bCs/>
                <w:color w:val="000000" w:themeColor="text1"/>
                <w:sz w:val="24"/>
                <w:highlight w:val="none"/>
              </w:rPr>
              <w:t>采取以上措施之后，施工期固体废弃物对周围环境产生的影响不大。</w:t>
            </w:r>
          </w:p>
        </w:tc>
      </w:tr>
      <w:tr w14:paraId="5BE270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93" w:hRule="atLeast"/>
          <w:jc w:val="center"/>
        </w:trPr>
        <w:tc>
          <w:tcPr>
            <w:tcW w:w="753" w:type="dxa"/>
            <w:tcMar>
              <w:left w:w="28" w:type="dxa"/>
              <w:right w:w="28" w:type="dxa"/>
            </w:tcMar>
            <w:vAlign w:val="center"/>
          </w:tcPr>
          <w:p w14:paraId="4F9582A6">
            <w:pPr>
              <w:adjustRightInd w:val="0"/>
              <w:snapToGrid w:val="0"/>
              <w:jc w:val="center"/>
              <w:rPr>
                <w:rFonts w:ascii="宋体" w:hAnsi="宋体" w:cs="宋体"/>
                <w:bCs/>
                <w:color w:val="000000" w:themeColor="text1"/>
                <w:spacing w:val="10"/>
                <w:szCs w:val="21"/>
                <w:highlight w:val="none"/>
              </w:rPr>
            </w:pPr>
            <w:r>
              <w:rPr>
                <w:rFonts w:hint="eastAsia" w:ascii="宋体" w:hAnsi="宋体" w:cs="宋体"/>
                <w:bCs/>
                <w:color w:val="000000" w:themeColor="text1"/>
                <w:spacing w:val="10"/>
                <w:sz w:val="24"/>
                <w:highlight w:val="none"/>
              </w:rPr>
              <w:t>运营期生态环境保护措施</w:t>
            </w:r>
          </w:p>
        </w:tc>
        <w:tc>
          <w:tcPr>
            <w:tcW w:w="8457" w:type="dxa"/>
          </w:tcPr>
          <w:p w14:paraId="67EEC7A4">
            <w:pPr>
              <w:adjustRightInd w:val="0"/>
              <w:snapToGrid w:val="0"/>
              <w:spacing w:line="360" w:lineRule="auto"/>
              <w:ind w:firstLine="482" w:firstLineChars="200"/>
              <w:rPr>
                <w:b/>
                <w:bCs/>
                <w:color w:val="000000" w:themeColor="text1"/>
                <w:sz w:val="24"/>
                <w:highlight w:val="none"/>
              </w:rPr>
            </w:pPr>
            <w:r>
              <w:rPr>
                <w:rFonts w:hint="eastAsia"/>
                <w:b/>
                <w:bCs/>
                <w:color w:val="000000" w:themeColor="text1"/>
                <w:sz w:val="24"/>
                <w:highlight w:val="none"/>
              </w:rPr>
              <w:t>1.大气环境保护措施</w:t>
            </w:r>
          </w:p>
          <w:p w14:paraId="67EF566B">
            <w:pPr>
              <w:spacing w:line="360" w:lineRule="auto"/>
              <w:ind w:firstLine="480" w:firstLineChars="200"/>
              <w:rPr>
                <w:bCs/>
                <w:color w:val="000000" w:themeColor="text1"/>
                <w:sz w:val="24"/>
                <w:highlight w:val="none"/>
              </w:rPr>
            </w:pPr>
            <w:r>
              <w:rPr>
                <w:rFonts w:hint="eastAsia"/>
                <w:bCs/>
                <w:color w:val="000000" w:themeColor="text1"/>
                <w:sz w:val="24"/>
                <w:highlight w:val="none"/>
              </w:rPr>
              <w:t>风井场地运营期废气主要是通风过程中带出的粉尘以无组织形式排放，厂区定期洒水抑尘，厂区植树种草绿化，对周边环境影响较小，井筒排出的极少量风排瓦斯中含有甲烷、CO</w:t>
            </w:r>
            <w:r>
              <w:rPr>
                <w:rFonts w:hint="eastAsia"/>
                <w:bCs/>
                <w:color w:val="000000" w:themeColor="text1"/>
                <w:sz w:val="24"/>
                <w:highlight w:val="none"/>
                <w:vertAlign w:val="subscript"/>
              </w:rPr>
              <w:t>2</w:t>
            </w:r>
            <w:r>
              <w:rPr>
                <w:rFonts w:hint="eastAsia"/>
                <w:bCs/>
                <w:color w:val="000000" w:themeColor="text1"/>
                <w:sz w:val="24"/>
                <w:highlight w:val="none"/>
              </w:rPr>
              <w:t>、CO为温室气体，能够直接或间接导致大气温度升高，富民煤矿为低瓦斯煤矿，瓦斯通过自然通风经风井随风排出，根据企业瓦斯检测报告，风井甲烷及CO</w:t>
            </w:r>
            <w:r>
              <w:rPr>
                <w:rFonts w:hint="eastAsia"/>
                <w:bCs/>
                <w:color w:val="000000" w:themeColor="text1"/>
                <w:sz w:val="24"/>
                <w:highlight w:val="none"/>
                <w:vertAlign w:val="subscript"/>
              </w:rPr>
              <w:t>2</w:t>
            </w:r>
            <w:r>
              <w:rPr>
                <w:rFonts w:hint="eastAsia"/>
                <w:bCs/>
                <w:color w:val="000000" w:themeColor="text1"/>
                <w:sz w:val="24"/>
                <w:highlight w:val="none"/>
              </w:rPr>
              <w:t>含量均在0.2%左右，CO低于30ppm，瓦斯量较低，对环境影响较小。</w:t>
            </w:r>
          </w:p>
          <w:p w14:paraId="708192CB">
            <w:pPr>
              <w:spacing w:line="360" w:lineRule="auto"/>
              <w:ind w:firstLine="480" w:firstLineChars="200"/>
              <w:rPr>
                <w:color w:val="000000" w:themeColor="text1"/>
                <w:sz w:val="24"/>
                <w:highlight w:val="none"/>
              </w:rPr>
            </w:pPr>
            <w:r>
              <w:rPr>
                <w:bCs/>
                <w:color w:val="000000" w:themeColor="text1"/>
                <w:sz w:val="24"/>
                <w:highlight w:val="none"/>
              </w:rPr>
              <w:t>风井场地道路</w:t>
            </w:r>
            <w:r>
              <w:rPr>
                <w:color w:val="000000" w:themeColor="text1"/>
                <w:kern w:val="0"/>
                <w:sz w:val="24"/>
                <w:highlight w:val="none"/>
              </w:rPr>
              <w:t>行驶车辆</w:t>
            </w:r>
            <w:r>
              <w:rPr>
                <w:bCs/>
                <w:color w:val="000000" w:themeColor="text1"/>
                <w:sz w:val="24"/>
                <w:highlight w:val="none"/>
              </w:rPr>
              <w:t>所产生的机动车尾气污染物</w:t>
            </w:r>
            <w:r>
              <w:rPr>
                <w:rFonts w:hint="eastAsia"/>
                <w:bCs/>
                <w:color w:val="000000" w:themeColor="text1"/>
                <w:sz w:val="24"/>
                <w:highlight w:val="none"/>
              </w:rPr>
              <w:t>与扬尘</w:t>
            </w:r>
            <w:r>
              <w:rPr>
                <w:bCs/>
                <w:color w:val="000000" w:themeColor="text1"/>
                <w:sz w:val="24"/>
                <w:highlight w:val="none"/>
              </w:rPr>
              <w:t>，运营期加强道路管理及路面养护，保持道路良好运营状态，保持路面平整和清洁，保证路面处于完好状态，平整完好的路面可以大大减少扬尘量</w:t>
            </w:r>
            <w:r>
              <w:rPr>
                <w:rFonts w:hint="eastAsia"/>
                <w:bCs/>
                <w:color w:val="000000" w:themeColor="text1"/>
                <w:sz w:val="24"/>
                <w:highlight w:val="none"/>
              </w:rPr>
              <w:t>；</w:t>
            </w:r>
            <w:r>
              <w:rPr>
                <w:color w:val="000000" w:themeColor="text1"/>
                <w:kern w:val="0"/>
                <w:sz w:val="24"/>
                <w:highlight w:val="none"/>
              </w:rPr>
              <w:t>路面洒水抑尘</w:t>
            </w:r>
            <w:r>
              <w:rPr>
                <w:color w:val="000000" w:themeColor="text1"/>
                <w:sz w:val="24"/>
                <w:highlight w:val="none"/>
              </w:rPr>
              <w:t>，道路两旁进行绿化</w:t>
            </w:r>
            <w:r>
              <w:rPr>
                <w:rFonts w:hint="eastAsia"/>
                <w:color w:val="000000" w:themeColor="text1"/>
                <w:sz w:val="24"/>
                <w:highlight w:val="none"/>
              </w:rPr>
              <w:t>；</w:t>
            </w:r>
            <w:r>
              <w:rPr>
                <w:color w:val="000000" w:themeColor="text1"/>
                <w:spacing w:val="-2"/>
                <w:sz w:val="24"/>
                <w:highlight w:val="none"/>
              </w:rPr>
              <w:t>为控制运输车辆的尾气污染；</w:t>
            </w:r>
            <w:r>
              <w:rPr>
                <w:bCs/>
                <w:color w:val="000000" w:themeColor="text1"/>
                <w:sz w:val="24"/>
                <w:highlight w:val="none"/>
              </w:rPr>
              <w:t>对周围环境空气质量影响较小。</w:t>
            </w:r>
          </w:p>
          <w:p w14:paraId="18E29957">
            <w:pPr>
              <w:adjustRightInd w:val="0"/>
              <w:snapToGrid w:val="0"/>
              <w:spacing w:line="360" w:lineRule="auto"/>
              <w:ind w:firstLine="482" w:firstLineChars="200"/>
              <w:rPr>
                <w:b/>
                <w:bCs/>
                <w:color w:val="000000" w:themeColor="text1"/>
                <w:sz w:val="24"/>
                <w:highlight w:val="none"/>
              </w:rPr>
            </w:pPr>
            <w:r>
              <w:rPr>
                <w:rFonts w:hint="eastAsia"/>
                <w:b/>
                <w:bCs/>
                <w:color w:val="000000" w:themeColor="text1"/>
                <w:sz w:val="24"/>
                <w:highlight w:val="none"/>
              </w:rPr>
              <w:t>2.水环境保护措施</w:t>
            </w:r>
          </w:p>
          <w:p w14:paraId="52BE0A62">
            <w:pPr>
              <w:adjustRightInd w:val="0"/>
              <w:snapToGrid w:val="0"/>
              <w:spacing w:line="360" w:lineRule="auto"/>
              <w:ind w:firstLine="480" w:firstLineChars="200"/>
              <w:rPr>
                <w:bCs/>
                <w:color w:val="000000" w:themeColor="text1"/>
                <w:sz w:val="24"/>
                <w:highlight w:val="none"/>
              </w:rPr>
            </w:pPr>
            <w:r>
              <w:rPr>
                <w:rFonts w:hint="eastAsia"/>
                <w:bCs/>
                <w:color w:val="000000" w:themeColor="text1"/>
                <w:sz w:val="24"/>
                <w:highlight w:val="none"/>
              </w:rPr>
              <w:t>本项目劳动定员为富民煤矿现有员工调配，</w:t>
            </w:r>
            <w:r>
              <w:rPr>
                <w:color w:val="000000" w:themeColor="text1"/>
                <w:sz w:val="24"/>
                <w:highlight w:val="none"/>
              </w:rPr>
              <w:t>不新增劳动定员</w:t>
            </w:r>
            <w:r>
              <w:rPr>
                <w:rFonts w:hint="eastAsia"/>
                <w:color w:val="000000" w:themeColor="text1"/>
                <w:sz w:val="24"/>
                <w:highlight w:val="none"/>
              </w:rPr>
              <w:t>，</w:t>
            </w:r>
            <w:r>
              <w:rPr>
                <w:rFonts w:hint="eastAsia"/>
                <w:bCs/>
                <w:color w:val="000000" w:themeColor="text1"/>
                <w:sz w:val="24"/>
                <w:highlight w:val="none"/>
              </w:rPr>
              <w:t>无新增生活污水，不产生生产废水。</w:t>
            </w:r>
          </w:p>
          <w:p w14:paraId="74DF07BD">
            <w:pPr>
              <w:pStyle w:val="14"/>
              <w:spacing w:before="0" w:after="0" w:line="360" w:lineRule="auto"/>
              <w:ind w:right="0" w:firstLine="482" w:firstLineChars="200"/>
              <w:rPr>
                <w:b/>
                <w:bCs/>
                <w:color w:val="000000" w:themeColor="text1"/>
                <w:kern w:val="2"/>
                <w:sz w:val="24"/>
                <w:szCs w:val="24"/>
                <w:highlight w:val="none"/>
              </w:rPr>
            </w:pPr>
            <w:r>
              <w:rPr>
                <w:rFonts w:hint="eastAsia"/>
                <w:b/>
                <w:bCs/>
                <w:color w:val="000000" w:themeColor="text1"/>
                <w:kern w:val="2"/>
                <w:sz w:val="24"/>
                <w:szCs w:val="24"/>
                <w:highlight w:val="none"/>
              </w:rPr>
              <w:t>3.声环境保护措施</w:t>
            </w:r>
          </w:p>
          <w:p w14:paraId="0DD0FE95">
            <w:pPr>
              <w:pStyle w:val="9"/>
              <w:spacing w:after="0" w:line="360" w:lineRule="auto"/>
              <w:ind w:left="0" w:leftChars="0" w:firstLine="480" w:firstLineChars="200"/>
              <w:rPr>
                <w:color w:val="000000" w:themeColor="text1"/>
                <w:sz w:val="24"/>
                <w:highlight w:val="none"/>
              </w:rPr>
            </w:pPr>
            <w:r>
              <w:rPr>
                <w:rFonts w:hint="eastAsia"/>
                <w:color w:val="000000" w:themeColor="text1"/>
                <w:sz w:val="24"/>
                <w:highlight w:val="none"/>
              </w:rPr>
              <w:t>本项目</w:t>
            </w:r>
            <w:r>
              <w:rPr>
                <w:color w:val="000000" w:themeColor="text1"/>
                <w:sz w:val="24"/>
                <w:highlight w:val="none"/>
              </w:rPr>
              <w:t>运营期噪声源主要来自</w:t>
            </w:r>
            <w:r>
              <w:rPr>
                <w:rFonts w:hint="eastAsia"/>
                <w:color w:val="000000" w:themeColor="text1"/>
                <w:sz w:val="24"/>
                <w:highlight w:val="none"/>
              </w:rPr>
              <w:t>风井场地设备</w:t>
            </w:r>
            <w:r>
              <w:rPr>
                <w:color w:val="000000" w:themeColor="text1"/>
                <w:sz w:val="24"/>
                <w:highlight w:val="none"/>
              </w:rPr>
              <w:t>通风机、</w:t>
            </w:r>
            <w:r>
              <w:rPr>
                <w:rFonts w:hint="eastAsia"/>
                <w:color w:val="000000" w:themeColor="text1"/>
                <w:sz w:val="24"/>
                <w:highlight w:val="none"/>
              </w:rPr>
              <w:t>变压器等设备噪声以及交通噪声，拟采取的措施如下：</w:t>
            </w:r>
          </w:p>
          <w:p w14:paraId="0618F2B0">
            <w:pPr>
              <w:spacing w:line="360" w:lineRule="auto"/>
              <w:ind w:firstLine="480" w:firstLineChars="200"/>
              <w:rPr>
                <w:color w:val="000000" w:themeColor="text1"/>
                <w:sz w:val="24"/>
                <w:highlight w:val="none"/>
              </w:rPr>
            </w:pPr>
            <w:r>
              <w:rPr>
                <w:color w:val="000000" w:themeColor="text1"/>
                <w:sz w:val="24"/>
                <w:highlight w:val="none"/>
              </w:rPr>
              <w:t>选用低噪声设备，通风机进、出气口安装消声器，</w:t>
            </w:r>
            <w:r>
              <w:rPr>
                <w:rFonts w:hint="eastAsia"/>
                <w:color w:val="000000" w:themeColor="text1"/>
                <w:sz w:val="24"/>
                <w:highlight w:val="none"/>
              </w:rPr>
              <w:t>设置隔声罩</w:t>
            </w:r>
            <w:r>
              <w:rPr>
                <w:color w:val="000000" w:themeColor="text1"/>
                <w:sz w:val="24"/>
                <w:highlight w:val="none"/>
              </w:rPr>
              <w:t>。</w:t>
            </w:r>
            <w:r>
              <w:rPr>
                <w:rFonts w:hint="eastAsia"/>
                <w:color w:val="000000" w:themeColor="text1"/>
                <w:sz w:val="24"/>
                <w:highlight w:val="none"/>
              </w:rPr>
              <w:t>变压器建设于室内，各设备</w:t>
            </w:r>
            <w:r>
              <w:rPr>
                <w:color w:val="000000" w:themeColor="text1"/>
                <w:sz w:val="24"/>
                <w:highlight w:val="none"/>
              </w:rPr>
              <w:t>设置减振基础。</w:t>
            </w:r>
          </w:p>
          <w:p w14:paraId="15EDE564">
            <w:pPr>
              <w:pStyle w:val="14"/>
              <w:spacing w:before="0" w:after="0" w:line="360" w:lineRule="auto"/>
              <w:ind w:right="0" w:firstLine="480" w:firstLineChars="200"/>
              <w:rPr>
                <w:color w:val="000000" w:themeColor="text1"/>
                <w:sz w:val="24"/>
                <w:szCs w:val="24"/>
                <w:highlight w:val="none"/>
              </w:rPr>
            </w:pPr>
            <w:r>
              <w:rPr>
                <w:color w:val="000000" w:themeColor="text1"/>
                <w:sz w:val="24"/>
                <w:szCs w:val="24"/>
                <w:highlight w:val="none"/>
              </w:rPr>
              <w:t>道路两旁进行绿化、加强路面管理。</w:t>
            </w:r>
            <w:r>
              <w:rPr>
                <w:rFonts w:hint="eastAsia"/>
                <w:color w:val="000000" w:themeColor="text1"/>
                <w:sz w:val="24"/>
                <w:szCs w:val="24"/>
                <w:highlight w:val="none"/>
              </w:rPr>
              <w:t>加强进入本项目区车辆的运输管理，限速、禁止鸣笛，设置标志牌。</w:t>
            </w:r>
          </w:p>
          <w:p w14:paraId="4C1DD9C6">
            <w:pPr>
              <w:pStyle w:val="14"/>
              <w:spacing w:before="0" w:after="0" w:line="360" w:lineRule="auto"/>
              <w:ind w:right="0" w:firstLine="482" w:firstLineChars="200"/>
              <w:rPr>
                <w:b/>
                <w:bCs/>
                <w:color w:val="000000" w:themeColor="text1"/>
                <w:kern w:val="2"/>
                <w:sz w:val="24"/>
                <w:szCs w:val="24"/>
                <w:highlight w:val="none"/>
              </w:rPr>
            </w:pPr>
            <w:r>
              <w:rPr>
                <w:rFonts w:hint="eastAsia"/>
                <w:b/>
                <w:bCs/>
                <w:color w:val="000000" w:themeColor="text1"/>
                <w:kern w:val="2"/>
                <w:sz w:val="24"/>
                <w:szCs w:val="24"/>
                <w:highlight w:val="none"/>
              </w:rPr>
              <w:t>4.</w:t>
            </w:r>
            <w:r>
              <w:rPr>
                <w:b/>
                <w:bCs/>
                <w:color w:val="000000" w:themeColor="text1"/>
                <w:kern w:val="2"/>
                <w:sz w:val="24"/>
                <w:szCs w:val="24"/>
                <w:highlight w:val="none"/>
              </w:rPr>
              <w:t>固体废物影响保护措施</w:t>
            </w:r>
          </w:p>
          <w:p w14:paraId="47ABD0B6">
            <w:pPr>
              <w:pStyle w:val="14"/>
              <w:spacing w:before="0" w:after="0" w:line="360" w:lineRule="auto"/>
              <w:ind w:right="0" w:firstLine="480" w:firstLineChars="200"/>
              <w:rPr>
                <w:bCs/>
                <w:color w:val="000000" w:themeColor="text1"/>
                <w:kern w:val="21"/>
                <w:sz w:val="24"/>
                <w:szCs w:val="24"/>
                <w:highlight w:val="none"/>
              </w:rPr>
            </w:pPr>
            <w:r>
              <w:rPr>
                <w:rFonts w:hint="eastAsia"/>
                <w:bCs/>
                <w:color w:val="000000" w:themeColor="text1"/>
                <w:kern w:val="21"/>
                <w:sz w:val="24"/>
                <w:szCs w:val="24"/>
                <w:highlight w:val="none"/>
              </w:rPr>
              <w:t>（1）</w:t>
            </w:r>
            <w:r>
              <w:rPr>
                <w:bCs/>
                <w:color w:val="000000" w:themeColor="text1"/>
                <w:kern w:val="21"/>
                <w:sz w:val="24"/>
                <w:szCs w:val="24"/>
                <w:highlight w:val="none"/>
              </w:rPr>
              <w:t>本项目运营期</w:t>
            </w:r>
            <w:r>
              <w:rPr>
                <w:rFonts w:hint="eastAsia"/>
                <w:bCs/>
                <w:color w:val="000000" w:themeColor="text1"/>
                <w:kern w:val="21"/>
                <w:sz w:val="24"/>
                <w:szCs w:val="24"/>
                <w:highlight w:val="none"/>
              </w:rPr>
              <w:t>不</w:t>
            </w:r>
            <w:r>
              <w:rPr>
                <w:bCs/>
                <w:color w:val="000000" w:themeColor="text1"/>
                <w:kern w:val="21"/>
                <w:sz w:val="24"/>
                <w:szCs w:val="24"/>
                <w:highlight w:val="none"/>
              </w:rPr>
              <w:t>新增劳动定员，无新增生活垃圾。</w:t>
            </w:r>
          </w:p>
          <w:p w14:paraId="325D939F">
            <w:pPr>
              <w:pStyle w:val="61"/>
              <w:spacing w:line="360" w:lineRule="auto"/>
              <w:ind w:firstLine="480" w:firstLineChars="200"/>
              <w:jc w:val="both"/>
              <w:rPr>
                <w:rFonts w:ascii="Times New Roman" w:hAnsi="Times New Roman" w:cs="Times New Roman"/>
                <w:color w:val="000000" w:themeColor="text1"/>
                <w:sz w:val="24"/>
                <w:highlight w:val="none"/>
                <w:lang w:val="en-US"/>
              </w:rPr>
            </w:pPr>
            <w:r>
              <w:rPr>
                <w:rFonts w:hint="eastAsia" w:ascii="Times New Roman" w:hAnsi="Times New Roman" w:cs="Times New Roman"/>
                <w:color w:val="000000" w:themeColor="text1"/>
                <w:sz w:val="24"/>
                <w:highlight w:val="none"/>
                <w:lang w:val="en-US"/>
              </w:rPr>
              <w:t>（2）设备维修产生的废矿物油及废油桶暂存于煤矿现有危废库内，不在本项目场内暂存。</w:t>
            </w:r>
          </w:p>
          <w:p w14:paraId="7975142E">
            <w:pPr>
              <w:pStyle w:val="61"/>
              <w:spacing w:line="360" w:lineRule="auto"/>
              <w:ind w:firstLine="480" w:firstLineChars="200"/>
              <w:jc w:val="both"/>
              <w:rPr>
                <w:rFonts w:ascii="Times New Roman" w:hAnsi="Times New Roman" w:cs="Times New Roman"/>
                <w:color w:val="000000" w:themeColor="text1"/>
                <w:sz w:val="24"/>
                <w:highlight w:val="none"/>
                <w:lang w:val="en-US"/>
              </w:rPr>
            </w:pPr>
          </w:p>
        </w:tc>
      </w:tr>
      <w:tr w14:paraId="062AEC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34" w:hRule="atLeast"/>
          <w:jc w:val="center"/>
        </w:trPr>
        <w:tc>
          <w:tcPr>
            <w:tcW w:w="753" w:type="dxa"/>
            <w:vAlign w:val="center"/>
          </w:tcPr>
          <w:p w14:paraId="05235B8A">
            <w:pPr>
              <w:adjustRightInd w:val="0"/>
              <w:snapToGrid w:val="0"/>
              <w:jc w:val="center"/>
              <w:rPr>
                <w:rFonts w:ascii="宋体" w:hAnsi="宋体" w:cs="宋体"/>
                <w:bCs/>
                <w:color w:val="000000" w:themeColor="text1"/>
                <w:spacing w:val="10"/>
                <w:szCs w:val="21"/>
                <w:highlight w:val="none"/>
              </w:rPr>
            </w:pPr>
            <w:r>
              <w:rPr>
                <w:rFonts w:hint="eastAsia" w:ascii="宋体" w:hAnsi="宋体"/>
                <w:bCs/>
                <w:color w:val="000000" w:themeColor="text1"/>
                <w:szCs w:val="21"/>
                <w:highlight w:val="none"/>
              </w:rPr>
              <w:t>其他</w:t>
            </w:r>
          </w:p>
        </w:tc>
        <w:tc>
          <w:tcPr>
            <w:tcW w:w="8457" w:type="dxa"/>
          </w:tcPr>
          <w:p w14:paraId="097B9B44">
            <w:pPr>
              <w:adjustRightInd w:val="0"/>
              <w:snapToGrid w:val="0"/>
              <w:spacing w:line="360" w:lineRule="auto"/>
              <w:ind w:firstLine="482" w:firstLineChars="200"/>
              <w:rPr>
                <w:b/>
                <w:bCs/>
                <w:color w:val="000000" w:themeColor="text1"/>
                <w:sz w:val="24"/>
                <w:highlight w:val="none"/>
              </w:rPr>
            </w:pPr>
            <w:r>
              <w:rPr>
                <w:rFonts w:hint="eastAsia"/>
                <w:b/>
                <w:bCs/>
                <w:color w:val="000000" w:themeColor="text1"/>
                <w:sz w:val="24"/>
                <w:highlight w:val="none"/>
              </w:rPr>
              <w:t>1.环境管理</w:t>
            </w:r>
          </w:p>
          <w:p w14:paraId="6452EFD3">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本项目的环境管理纳入富民煤矿日常环境管理中。</w:t>
            </w:r>
          </w:p>
          <w:p w14:paraId="1650231F">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（1）施工期的环境管理和监督</w:t>
            </w:r>
          </w:p>
          <w:p w14:paraId="08FBF3CE">
            <w:pPr>
              <w:adjustRightInd w:val="0"/>
              <w:snapToGrid w:val="0"/>
              <w:spacing w:line="360" w:lineRule="auto"/>
              <w:ind w:firstLine="480" w:firstLineChars="200"/>
              <w:rPr>
                <w:color w:val="000000" w:themeColor="text1"/>
                <w:sz w:val="24"/>
                <w:highlight w:val="none"/>
              </w:rPr>
            </w:pPr>
            <w:r>
              <w:rPr>
                <w:color w:val="000000" w:themeColor="text1"/>
                <w:sz w:val="24"/>
                <w:highlight w:val="none"/>
              </w:rPr>
              <w:t>施工招标中对投标单位提出建设期间的环保要求。在施工设计文件中详细说明建设期应注意的环保问题，严格要求施工单位按设计文件施工，特别是按环保设计要求施工。建设期环境管理的职责和任务如下：</w:t>
            </w:r>
          </w:p>
          <w:p w14:paraId="53C83BAB">
            <w:pPr>
              <w:adjustRightInd w:val="0"/>
              <w:snapToGrid w:val="0"/>
              <w:spacing w:line="360" w:lineRule="auto"/>
              <w:ind w:firstLine="480" w:firstLineChars="200"/>
              <w:rPr>
                <w:color w:val="000000" w:themeColor="text1"/>
                <w:sz w:val="24"/>
                <w:highlight w:val="none"/>
              </w:rPr>
            </w:pPr>
            <w:r>
              <w:rPr>
                <w:color w:val="000000" w:themeColor="text1"/>
                <w:sz w:val="24"/>
                <w:highlight w:val="none"/>
              </w:rPr>
              <w:t>①贯彻执行国家、地方的各项环保方针、政策、法规和各项规章制度。</w:t>
            </w:r>
          </w:p>
          <w:p w14:paraId="7984CF14">
            <w:pPr>
              <w:adjustRightInd w:val="0"/>
              <w:snapToGrid w:val="0"/>
              <w:spacing w:line="360" w:lineRule="auto"/>
              <w:ind w:firstLine="480" w:firstLineChars="200"/>
              <w:rPr>
                <w:color w:val="000000" w:themeColor="text1"/>
                <w:sz w:val="24"/>
                <w:highlight w:val="none"/>
              </w:rPr>
            </w:pPr>
            <w:r>
              <w:rPr>
                <w:color w:val="000000" w:themeColor="text1"/>
                <w:sz w:val="24"/>
                <w:highlight w:val="none"/>
              </w:rPr>
              <w:t>②制定本工程施工中的环境保护计划，负责工程施工过程中各项环境保护措施实施的监督和日常管理。</w:t>
            </w:r>
          </w:p>
          <w:p w14:paraId="3F15668D">
            <w:pPr>
              <w:adjustRightInd w:val="0"/>
              <w:snapToGrid w:val="0"/>
              <w:spacing w:line="360" w:lineRule="auto"/>
              <w:ind w:firstLine="480" w:firstLineChars="200"/>
              <w:rPr>
                <w:color w:val="000000" w:themeColor="text1"/>
                <w:sz w:val="24"/>
                <w:highlight w:val="none"/>
              </w:rPr>
            </w:pPr>
            <w:r>
              <w:rPr>
                <w:color w:val="000000" w:themeColor="text1"/>
                <w:sz w:val="24"/>
                <w:highlight w:val="none"/>
              </w:rPr>
              <w:t>③组织和开展对施工人员进行施工活动中应遵循的环保法规、知识的培训，提高全体员工文明施工的认识。加强人员教育，严格控制施工范围。施工结束后对施工扰动区及时进行绿化。</w:t>
            </w:r>
          </w:p>
          <w:p w14:paraId="2C6D6FD4">
            <w:pPr>
              <w:adjustRightInd w:val="0"/>
              <w:snapToGrid w:val="0"/>
              <w:spacing w:line="360" w:lineRule="auto"/>
              <w:ind w:firstLine="480" w:firstLineChars="200"/>
              <w:rPr>
                <w:color w:val="000000" w:themeColor="text1"/>
                <w:sz w:val="24"/>
                <w:highlight w:val="none"/>
              </w:rPr>
            </w:pPr>
            <w:r>
              <w:rPr>
                <w:color w:val="000000" w:themeColor="text1"/>
                <w:sz w:val="24"/>
                <w:highlight w:val="none"/>
              </w:rPr>
              <w:t>④做好施工中各种环境问题的收集、记录、建档和处理工作。</w:t>
            </w:r>
          </w:p>
          <w:p w14:paraId="5DD5381E">
            <w:pPr>
              <w:adjustRightInd w:val="0"/>
              <w:snapToGrid w:val="0"/>
              <w:spacing w:line="360" w:lineRule="auto"/>
              <w:ind w:firstLine="480" w:firstLineChars="200"/>
              <w:rPr>
                <w:color w:val="000000" w:themeColor="text1"/>
                <w:sz w:val="24"/>
                <w:highlight w:val="none"/>
              </w:rPr>
            </w:pPr>
            <w:r>
              <w:rPr>
                <w:color w:val="000000" w:themeColor="text1"/>
                <w:sz w:val="24"/>
                <w:highlight w:val="none"/>
              </w:rPr>
              <w:t>⑤监督施工单位，使设计、施工过程的各项环境保护措施与主体工程同步实施。</w:t>
            </w:r>
          </w:p>
          <w:p w14:paraId="023752EE">
            <w:pPr>
              <w:adjustRightInd w:val="0"/>
              <w:snapToGrid w:val="0"/>
              <w:spacing w:line="360" w:lineRule="auto"/>
              <w:ind w:firstLine="480" w:firstLineChars="200"/>
              <w:rPr>
                <w:color w:val="000000" w:themeColor="text1"/>
                <w:sz w:val="24"/>
                <w:highlight w:val="none"/>
              </w:rPr>
            </w:pPr>
            <w:r>
              <w:rPr>
                <w:color w:val="000000" w:themeColor="text1"/>
                <w:sz w:val="24"/>
                <w:highlight w:val="none"/>
              </w:rPr>
              <w:t>⑥在建设过程中，加强环境保护的宣传教育工作，在施工现场</w:t>
            </w:r>
            <w:r>
              <w:rPr>
                <w:rFonts w:hint="eastAsia"/>
                <w:color w:val="000000" w:themeColor="text1"/>
                <w:sz w:val="24"/>
                <w:highlight w:val="none"/>
                <w:lang w:eastAsia="zh-CN"/>
              </w:rPr>
              <w:t>树立</w:t>
            </w:r>
            <w:r>
              <w:rPr>
                <w:color w:val="000000" w:themeColor="text1"/>
                <w:sz w:val="24"/>
                <w:highlight w:val="none"/>
              </w:rPr>
              <w:t>醒目的环保标志，加强施工现场的环境监理、监测，建立环境质量档案，发现问题，及时通知有关部门、单位或企业进行整改，并监督整改措施的实施和验收。</w:t>
            </w:r>
          </w:p>
          <w:p w14:paraId="268E19B0">
            <w:pPr>
              <w:adjustRightInd w:val="0"/>
              <w:snapToGrid w:val="0"/>
              <w:spacing w:line="360" w:lineRule="auto"/>
              <w:ind w:firstLine="480" w:firstLineChars="200"/>
              <w:rPr>
                <w:color w:val="000000" w:themeColor="text1"/>
                <w:sz w:val="24"/>
                <w:highlight w:val="none"/>
              </w:rPr>
            </w:pPr>
            <w:r>
              <w:rPr>
                <w:color w:val="000000" w:themeColor="text1"/>
                <w:sz w:val="24"/>
                <w:highlight w:val="none"/>
              </w:rPr>
              <w:t>（2）运行期的环境管理和监督</w:t>
            </w:r>
          </w:p>
          <w:p w14:paraId="0F56F2B6">
            <w:pPr>
              <w:adjustRightInd w:val="0"/>
              <w:snapToGrid w:val="0"/>
              <w:spacing w:line="360" w:lineRule="auto"/>
              <w:ind w:firstLine="480" w:firstLineChars="200"/>
              <w:rPr>
                <w:color w:val="000000" w:themeColor="text1"/>
                <w:sz w:val="24"/>
                <w:highlight w:val="none"/>
              </w:rPr>
            </w:pPr>
            <w:r>
              <w:rPr>
                <w:color w:val="000000" w:themeColor="text1"/>
                <w:sz w:val="24"/>
                <w:highlight w:val="none"/>
              </w:rPr>
              <w:t>为落实本项目环境保护措施，富民煤矿设置环境管理机构，设有专职环保人员，负责整个项目环境管理和环境监测工作的实施，环境管理机构职责如下：</w:t>
            </w:r>
          </w:p>
          <w:p w14:paraId="60ED3D57">
            <w:pPr>
              <w:adjustRightInd w:val="0"/>
              <w:snapToGrid w:val="0"/>
              <w:spacing w:line="360" w:lineRule="auto"/>
              <w:ind w:firstLine="480" w:firstLineChars="200"/>
              <w:rPr>
                <w:color w:val="000000" w:themeColor="text1"/>
                <w:sz w:val="24"/>
                <w:highlight w:val="none"/>
              </w:rPr>
            </w:pPr>
            <w:r>
              <w:rPr>
                <w:color w:val="000000" w:themeColor="text1"/>
                <w:sz w:val="24"/>
                <w:highlight w:val="none"/>
              </w:rPr>
              <w:t>①贯彻执行环境保护法规和环境标准，制定本单位的环境保护管理的规章制度，并监督执行。</w:t>
            </w:r>
          </w:p>
          <w:p w14:paraId="4D0DEAAC">
            <w:pPr>
              <w:adjustRightInd w:val="0"/>
              <w:snapToGrid w:val="0"/>
              <w:spacing w:line="360" w:lineRule="auto"/>
              <w:ind w:firstLine="480" w:firstLineChars="200"/>
              <w:rPr>
                <w:color w:val="000000" w:themeColor="text1"/>
                <w:sz w:val="24"/>
                <w:highlight w:val="none"/>
              </w:rPr>
            </w:pPr>
            <w:r>
              <w:rPr>
                <w:color w:val="000000" w:themeColor="text1"/>
                <w:sz w:val="24"/>
                <w:highlight w:val="none"/>
              </w:rPr>
              <w:t>②建立健全企业的环境管理制度，并实施检查和监督工作。</w:t>
            </w:r>
          </w:p>
          <w:p w14:paraId="1EF5F22E">
            <w:pPr>
              <w:adjustRightInd w:val="0"/>
              <w:snapToGrid w:val="0"/>
              <w:spacing w:line="360" w:lineRule="auto"/>
              <w:ind w:firstLine="480" w:firstLineChars="200"/>
              <w:rPr>
                <w:color w:val="000000" w:themeColor="text1"/>
                <w:sz w:val="24"/>
                <w:highlight w:val="none"/>
              </w:rPr>
            </w:pPr>
            <w:r>
              <w:rPr>
                <w:color w:val="000000" w:themeColor="text1"/>
                <w:sz w:val="24"/>
                <w:highlight w:val="none"/>
              </w:rPr>
              <w:t>③拟定企业的环保工作计划并实施，配合企业领导完成环境保护责任目标。</w:t>
            </w:r>
          </w:p>
          <w:p w14:paraId="59C4B839">
            <w:pPr>
              <w:adjustRightInd w:val="0"/>
              <w:snapToGrid w:val="0"/>
              <w:spacing w:line="360" w:lineRule="auto"/>
              <w:ind w:firstLine="480" w:firstLineChars="200"/>
              <w:rPr>
                <w:color w:val="000000" w:themeColor="text1"/>
                <w:sz w:val="24"/>
                <w:highlight w:val="none"/>
              </w:rPr>
            </w:pPr>
            <w:r>
              <w:rPr>
                <w:color w:val="000000" w:themeColor="text1"/>
                <w:sz w:val="24"/>
                <w:highlight w:val="none"/>
              </w:rPr>
              <w:t>④领导并组织企业环境监测工作，检查环境保护设施的运行情况，建立监控档案。</w:t>
            </w:r>
          </w:p>
          <w:p w14:paraId="50E30D82">
            <w:pPr>
              <w:adjustRightInd w:val="0"/>
              <w:snapToGrid w:val="0"/>
              <w:spacing w:line="360" w:lineRule="auto"/>
              <w:ind w:firstLine="480" w:firstLineChars="200"/>
              <w:rPr>
                <w:color w:val="000000" w:themeColor="text1"/>
                <w:sz w:val="24"/>
                <w:highlight w:val="none"/>
              </w:rPr>
            </w:pPr>
            <w:r>
              <w:rPr>
                <w:color w:val="000000" w:themeColor="text1"/>
                <w:sz w:val="24"/>
                <w:highlight w:val="none"/>
              </w:rPr>
              <w:t>⑤协调企业所在区域的环境管理。</w:t>
            </w:r>
          </w:p>
          <w:p w14:paraId="2AC23E55">
            <w:pPr>
              <w:adjustRightInd w:val="0"/>
              <w:snapToGrid w:val="0"/>
              <w:spacing w:line="360" w:lineRule="auto"/>
              <w:ind w:firstLine="480" w:firstLineChars="200"/>
              <w:rPr>
                <w:color w:val="000000" w:themeColor="text1"/>
                <w:sz w:val="24"/>
                <w:highlight w:val="none"/>
              </w:rPr>
            </w:pPr>
            <w:r>
              <w:rPr>
                <w:color w:val="000000" w:themeColor="text1"/>
                <w:sz w:val="24"/>
                <w:highlight w:val="none"/>
              </w:rPr>
              <w:t>⑥开展</w:t>
            </w:r>
            <w:r>
              <w:rPr>
                <w:rFonts w:hint="eastAsia"/>
                <w:color w:val="000000" w:themeColor="text1"/>
                <w:sz w:val="24"/>
                <w:highlight w:val="none"/>
              </w:rPr>
              <w:t>环保教育和专业培训，提高企业员工的环保素质。</w:t>
            </w:r>
          </w:p>
          <w:p w14:paraId="33C587A6">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⑦负责厂区绿化和日常环境保护管理工作。</w:t>
            </w:r>
          </w:p>
          <w:p w14:paraId="2FC6DC79">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⑧接受各级生态环境部门的检查、监督，按要求上报各项环保报表，并定期向上级主管部门汇报环境保护工作情况。</w:t>
            </w:r>
          </w:p>
          <w:p w14:paraId="2946B478">
            <w:pPr>
              <w:adjustRightInd w:val="0"/>
              <w:snapToGrid w:val="0"/>
              <w:spacing w:line="360" w:lineRule="auto"/>
              <w:ind w:firstLine="482" w:firstLineChars="200"/>
              <w:rPr>
                <w:b/>
                <w:bCs/>
                <w:color w:val="000000" w:themeColor="text1"/>
                <w:sz w:val="24"/>
                <w:highlight w:val="none"/>
              </w:rPr>
            </w:pPr>
            <w:r>
              <w:rPr>
                <w:rFonts w:hint="eastAsia"/>
                <w:b/>
                <w:bCs/>
                <w:color w:val="000000" w:themeColor="text1"/>
                <w:sz w:val="24"/>
                <w:highlight w:val="none"/>
              </w:rPr>
              <w:t>2.环境监测</w:t>
            </w:r>
          </w:p>
          <w:p w14:paraId="2F8528A3">
            <w:pPr>
              <w:adjustRightInd w:val="0"/>
              <w:snapToGrid w:val="0"/>
              <w:spacing w:line="360" w:lineRule="auto"/>
              <w:ind w:firstLine="480" w:firstLineChars="200"/>
              <w:rPr>
                <w:color w:val="000000" w:themeColor="text1"/>
                <w:sz w:val="24"/>
                <w:highlight w:val="none"/>
              </w:rPr>
            </w:pPr>
            <w:r>
              <w:rPr>
                <w:rFonts w:hint="eastAsia"/>
                <w:color w:val="000000" w:themeColor="text1"/>
                <w:sz w:val="24"/>
                <w:highlight w:val="none"/>
              </w:rPr>
              <w:t>为了加强环境管理，贯彻实施污染物达标排放要求，地方生态环境主管部门和建设单位须对施工期产生的污染物排放情况进行监测。项目运行期环境监测工作可并入富民煤矿监测计划中，建设单位必要时也可委托第三方环境监测机构进行监测。本项目监测计划具体见下表。</w:t>
            </w:r>
          </w:p>
          <w:p w14:paraId="66CB0EFA">
            <w:pPr>
              <w:adjustRightInd w:val="0"/>
              <w:snapToGrid w:val="0"/>
              <w:jc w:val="center"/>
              <w:rPr>
                <w:color w:val="000000" w:themeColor="text1"/>
                <w:sz w:val="24"/>
                <w:highlight w:val="none"/>
              </w:rPr>
            </w:pPr>
            <w:r>
              <w:rPr>
                <w:rFonts w:hint="eastAsia"/>
                <w:color w:val="000000" w:themeColor="text1"/>
                <w:sz w:val="24"/>
                <w:highlight w:val="none"/>
              </w:rPr>
              <w:t>表5-1环境监测计划</w:t>
            </w:r>
          </w:p>
          <w:tbl>
            <w:tblPr>
              <w:tblStyle w:val="26"/>
              <w:tblW w:w="8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116"/>
              <w:gridCol w:w="1647"/>
              <w:gridCol w:w="1183"/>
              <w:gridCol w:w="3540"/>
            </w:tblGrid>
            <w:tr w14:paraId="2F7A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670" w:type="dxa"/>
                  <w:tcBorders>
                    <w:top w:val="single" w:color="auto" w:sz="4" w:space="0"/>
                    <w:left w:val="single" w:color="auto" w:sz="4" w:space="0"/>
                    <w:bottom w:val="single" w:color="auto" w:sz="4" w:space="0"/>
                    <w:right w:val="single" w:color="auto" w:sz="4" w:space="0"/>
                  </w:tcBorders>
                  <w:vAlign w:val="center"/>
                </w:tcPr>
                <w:p w14:paraId="4D9FA265">
                  <w:pPr>
                    <w:tabs>
                      <w:tab w:val="left" w:pos="3420"/>
                    </w:tabs>
                    <w:jc w:val="center"/>
                    <w:rPr>
                      <w:color w:val="000000" w:themeColor="text1"/>
                      <w:szCs w:val="21"/>
                      <w:highlight w:val="none"/>
                    </w:rPr>
                  </w:pPr>
                  <w:r>
                    <w:rPr>
                      <w:color w:val="000000" w:themeColor="text1"/>
                      <w:szCs w:val="21"/>
                      <w:highlight w:val="none"/>
                    </w:rPr>
                    <w:t>监测内容</w:t>
                  </w:r>
                </w:p>
              </w:tc>
              <w:tc>
                <w:tcPr>
                  <w:tcW w:w="1116" w:type="dxa"/>
                  <w:tcBorders>
                    <w:top w:val="single" w:color="auto" w:sz="4" w:space="0"/>
                    <w:left w:val="single" w:color="auto" w:sz="4" w:space="0"/>
                    <w:bottom w:val="single" w:color="auto" w:sz="4" w:space="0"/>
                    <w:right w:val="single" w:color="auto" w:sz="4" w:space="0"/>
                  </w:tcBorders>
                  <w:vAlign w:val="center"/>
                </w:tcPr>
                <w:p w14:paraId="62922939">
                  <w:pPr>
                    <w:tabs>
                      <w:tab w:val="left" w:pos="3420"/>
                    </w:tabs>
                    <w:jc w:val="center"/>
                    <w:rPr>
                      <w:color w:val="000000" w:themeColor="text1"/>
                      <w:szCs w:val="21"/>
                      <w:highlight w:val="none"/>
                    </w:rPr>
                  </w:pPr>
                  <w:r>
                    <w:rPr>
                      <w:color w:val="000000" w:themeColor="text1"/>
                      <w:szCs w:val="21"/>
                      <w:highlight w:val="none"/>
                    </w:rPr>
                    <w:t>监测因子</w:t>
                  </w:r>
                </w:p>
              </w:tc>
              <w:tc>
                <w:tcPr>
                  <w:tcW w:w="1647" w:type="dxa"/>
                  <w:tcBorders>
                    <w:top w:val="single" w:color="auto" w:sz="4" w:space="0"/>
                    <w:left w:val="single" w:color="auto" w:sz="4" w:space="0"/>
                    <w:bottom w:val="single" w:color="auto" w:sz="4" w:space="0"/>
                    <w:right w:val="single" w:color="auto" w:sz="4" w:space="0"/>
                  </w:tcBorders>
                  <w:vAlign w:val="center"/>
                </w:tcPr>
                <w:p w14:paraId="49E13507">
                  <w:pPr>
                    <w:tabs>
                      <w:tab w:val="left" w:pos="3420"/>
                    </w:tabs>
                    <w:jc w:val="center"/>
                    <w:rPr>
                      <w:color w:val="000000" w:themeColor="text1"/>
                      <w:szCs w:val="21"/>
                      <w:highlight w:val="none"/>
                    </w:rPr>
                  </w:pPr>
                  <w:r>
                    <w:rPr>
                      <w:color w:val="000000" w:themeColor="text1"/>
                      <w:szCs w:val="21"/>
                      <w:highlight w:val="none"/>
                    </w:rPr>
                    <w:t>监测点位</w:t>
                  </w:r>
                </w:p>
              </w:tc>
              <w:tc>
                <w:tcPr>
                  <w:tcW w:w="1183" w:type="dxa"/>
                  <w:tcBorders>
                    <w:top w:val="single" w:color="auto" w:sz="4" w:space="0"/>
                    <w:left w:val="single" w:color="auto" w:sz="4" w:space="0"/>
                    <w:bottom w:val="single" w:color="auto" w:sz="4" w:space="0"/>
                    <w:right w:val="single" w:color="auto" w:sz="4" w:space="0"/>
                  </w:tcBorders>
                  <w:vAlign w:val="center"/>
                </w:tcPr>
                <w:p w14:paraId="2F33B3B5">
                  <w:pPr>
                    <w:tabs>
                      <w:tab w:val="left" w:pos="3420"/>
                    </w:tabs>
                    <w:jc w:val="center"/>
                    <w:rPr>
                      <w:color w:val="000000" w:themeColor="text1"/>
                      <w:szCs w:val="21"/>
                      <w:highlight w:val="none"/>
                    </w:rPr>
                  </w:pPr>
                  <w:r>
                    <w:rPr>
                      <w:color w:val="000000" w:themeColor="text1"/>
                      <w:szCs w:val="21"/>
                      <w:highlight w:val="none"/>
                    </w:rPr>
                    <w:t>监测频率</w:t>
                  </w:r>
                </w:p>
              </w:tc>
              <w:tc>
                <w:tcPr>
                  <w:tcW w:w="3540" w:type="dxa"/>
                  <w:tcBorders>
                    <w:top w:val="single" w:color="auto" w:sz="4" w:space="0"/>
                    <w:left w:val="single" w:color="auto" w:sz="4" w:space="0"/>
                    <w:bottom w:val="single" w:color="auto" w:sz="4" w:space="0"/>
                    <w:right w:val="single" w:color="auto" w:sz="4" w:space="0"/>
                  </w:tcBorders>
                  <w:vAlign w:val="center"/>
                </w:tcPr>
                <w:p w14:paraId="4EC37470">
                  <w:pPr>
                    <w:tabs>
                      <w:tab w:val="left" w:pos="3420"/>
                    </w:tabs>
                    <w:jc w:val="center"/>
                    <w:rPr>
                      <w:color w:val="000000" w:themeColor="text1"/>
                      <w:szCs w:val="21"/>
                      <w:highlight w:val="none"/>
                    </w:rPr>
                  </w:pPr>
                  <w:r>
                    <w:rPr>
                      <w:color w:val="000000" w:themeColor="text1"/>
                      <w:szCs w:val="21"/>
                      <w:highlight w:val="none"/>
                    </w:rPr>
                    <w:t>执行标准</w:t>
                  </w:r>
                </w:p>
              </w:tc>
            </w:tr>
            <w:tr w14:paraId="5E14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jc w:val="center"/>
              </w:trPr>
              <w:tc>
                <w:tcPr>
                  <w:tcW w:w="670" w:type="dxa"/>
                  <w:tcBorders>
                    <w:top w:val="single" w:color="auto" w:sz="4" w:space="0"/>
                    <w:left w:val="single" w:color="auto" w:sz="4" w:space="0"/>
                    <w:right w:val="single" w:color="auto" w:sz="4" w:space="0"/>
                  </w:tcBorders>
                  <w:vAlign w:val="center"/>
                </w:tcPr>
                <w:p w14:paraId="2778C8EB">
                  <w:pPr>
                    <w:tabs>
                      <w:tab w:val="left" w:pos="3420"/>
                    </w:tabs>
                    <w:jc w:val="center"/>
                    <w:rPr>
                      <w:color w:val="000000" w:themeColor="text1"/>
                      <w:szCs w:val="21"/>
                      <w:highlight w:val="none"/>
                    </w:rPr>
                  </w:pPr>
                  <w:r>
                    <w:rPr>
                      <w:color w:val="000000" w:themeColor="text1"/>
                      <w:szCs w:val="21"/>
                      <w:highlight w:val="none"/>
                    </w:rPr>
                    <w:t>噪声</w:t>
                  </w:r>
                </w:p>
              </w:tc>
              <w:tc>
                <w:tcPr>
                  <w:tcW w:w="1116" w:type="dxa"/>
                  <w:tcBorders>
                    <w:top w:val="single" w:color="auto" w:sz="4" w:space="0"/>
                    <w:left w:val="single" w:color="auto" w:sz="4" w:space="0"/>
                    <w:right w:val="single" w:color="auto" w:sz="4" w:space="0"/>
                  </w:tcBorders>
                  <w:vAlign w:val="center"/>
                </w:tcPr>
                <w:p w14:paraId="17349792">
                  <w:pPr>
                    <w:tabs>
                      <w:tab w:val="left" w:pos="3420"/>
                    </w:tabs>
                    <w:jc w:val="center"/>
                    <w:rPr>
                      <w:color w:val="000000" w:themeColor="text1"/>
                      <w:szCs w:val="21"/>
                      <w:highlight w:val="none"/>
                    </w:rPr>
                  </w:pPr>
                  <w:r>
                    <w:rPr>
                      <w:color w:val="000000" w:themeColor="text1"/>
                      <w:szCs w:val="21"/>
                      <w:highlight w:val="none"/>
                    </w:rPr>
                    <w:t>等效连续A声级</w:t>
                  </w:r>
                </w:p>
              </w:tc>
              <w:tc>
                <w:tcPr>
                  <w:tcW w:w="1647" w:type="dxa"/>
                  <w:tcBorders>
                    <w:top w:val="single" w:color="auto" w:sz="4" w:space="0"/>
                    <w:left w:val="single" w:color="auto" w:sz="4" w:space="0"/>
                    <w:bottom w:val="single" w:color="auto" w:sz="4" w:space="0"/>
                    <w:right w:val="single" w:color="auto" w:sz="4" w:space="0"/>
                  </w:tcBorders>
                  <w:vAlign w:val="center"/>
                </w:tcPr>
                <w:p w14:paraId="5D685B52">
                  <w:pPr>
                    <w:widowControl/>
                    <w:jc w:val="center"/>
                    <w:rPr>
                      <w:color w:val="000000" w:themeColor="text1"/>
                      <w:szCs w:val="21"/>
                      <w:highlight w:val="none"/>
                    </w:rPr>
                  </w:pPr>
                  <w:r>
                    <w:rPr>
                      <w:color w:val="000000" w:themeColor="text1"/>
                      <w:kern w:val="0"/>
                      <w:szCs w:val="21"/>
                      <w:highlight w:val="none"/>
                    </w:rPr>
                    <w:t>厂界四周</w:t>
                  </w:r>
                </w:p>
              </w:tc>
              <w:tc>
                <w:tcPr>
                  <w:tcW w:w="1183" w:type="dxa"/>
                  <w:tcBorders>
                    <w:top w:val="single" w:color="auto" w:sz="4" w:space="0"/>
                    <w:left w:val="single" w:color="auto" w:sz="4" w:space="0"/>
                    <w:bottom w:val="single" w:color="auto" w:sz="4" w:space="0"/>
                    <w:right w:val="single" w:color="auto" w:sz="4" w:space="0"/>
                  </w:tcBorders>
                  <w:vAlign w:val="center"/>
                </w:tcPr>
                <w:p w14:paraId="23279A75">
                  <w:pPr>
                    <w:jc w:val="center"/>
                    <w:rPr>
                      <w:color w:val="000000" w:themeColor="text1"/>
                      <w:szCs w:val="21"/>
                      <w:highlight w:val="none"/>
                    </w:rPr>
                  </w:pPr>
                  <w:r>
                    <w:rPr>
                      <w:color w:val="000000" w:themeColor="text1"/>
                      <w:szCs w:val="21"/>
                      <w:highlight w:val="none"/>
                    </w:rPr>
                    <w:t>每季度1次</w:t>
                  </w:r>
                </w:p>
              </w:tc>
              <w:tc>
                <w:tcPr>
                  <w:tcW w:w="3540" w:type="dxa"/>
                  <w:tcBorders>
                    <w:top w:val="single" w:color="auto" w:sz="4" w:space="0"/>
                    <w:left w:val="single" w:color="auto" w:sz="4" w:space="0"/>
                    <w:bottom w:val="single" w:color="auto" w:sz="4" w:space="0"/>
                    <w:right w:val="single" w:color="auto" w:sz="4" w:space="0"/>
                  </w:tcBorders>
                  <w:vAlign w:val="center"/>
                </w:tcPr>
                <w:p w14:paraId="17487DC9">
                  <w:pPr>
                    <w:jc w:val="center"/>
                    <w:rPr>
                      <w:color w:val="000000" w:themeColor="text1"/>
                      <w:szCs w:val="21"/>
                      <w:highlight w:val="none"/>
                    </w:rPr>
                  </w:pPr>
                  <w:r>
                    <w:rPr>
                      <w:color w:val="000000" w:themeColor="text1"/>
                      <w:szCs w:val="21"/>
                      <w:highlight w:val="none"/>
                    </w:rPr>
                    <w:t>《工业企业厂界环境噪声排放标准》</w:t>
                  </w:r>
                  <w:r>
                    <w:rPr>
                      <w:rFonts w:hint="eastAsia"/>
                      <w:color w:val="000000" w:themeColor="text1"/>
                      <w:szCs w:val="21"/>
                      <w:highlight w:val="none"/>
                    </w:rPr>
                    <w:t>（</w:t>
                  </w:r>
                  <w:r>
                    <w:rPr>
                      <w:color w:val="000000" w:themeColor="text1"/>
                      <w:szCs w:val="21"/>
                      <w:highlight w:val="none"/>
                    </w:rPr>
                    <w:t>GB12348</w:t>
                  </w:r>
                  <w:r>
                    <w:rPr>
                      <w:rFonts w:hint="eastAsia"/>
                      <w:color w:val="000000" w:themeColor="text1"/>
                      <w:szCs w:val="21"/>
                      <w:highlight w:val="none"/>
                    </w:rPr>
                    <w:t>-</w:t>
                  </w:r>
                  <w:r>
                    <w:rPr>
                      <w:color w:val="000000" w:themeColor="text1"/>
                      <w:szCs w:val="21"/>
                      <w:highlight w:val="none"/>
                    </w:rPr>
                    <w:t>2008）中</w:t>
                  </w:r>
                  <w:r>
                    <w:rPr>
                      <w:rFonts w:hint="eastAsia"/>
                      <w:color w:val="000000" w:themeColor="text1"/>
                      <w:szCs w:val="21"/>
                      <w:highlight w:val="none"/>
                    </w:rPr>
                    <w:t>2</w:t>
                  </w:r>
                  <w:r>
                    <w:rPr>
                      <w:color w:val="000000" w:themeColor="text1"/>
                      <w:szCs w:val="21"/>
                      <w:highlight w:val="none"/>
                    </w:rPr>
                    <w:t>类标准</w:t>
                  </w:r>
                </w:p>
              </w:tc>
            </w:tr>
            <w:tr w14:paraId="00AB4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jc w:val="center"/>
              </w:trPr>
              <w:tc>
                <w:tcPr>
                  <w:tcW w:w="670" w:type="dxa"/>
                  <w:vMerge w:val="restart"/>
                  <w:tcBorders>
                    <w:left w:val="single" w:color="auto" w:sz="4" w:space="0"/>
                    <w:right w:val="single" w:color="auto" w:sz="4" w:space="0"/>
                  </w:tcBorders>
                  <w:vAlign w:val="center"/>
                </w:tcPr>
                <w:p w14:paraId="4C8B9827">
                  <w:pPr>
                    <w:jc w:val="center"/>
                    <w:rPr>
                      <w:color w:val="000000" w:themeColor="text1"/>
                      <w:highlight w:val="none"/>
                    </w:rPr>
                  </w:pPr>
                  <w:r>
                    <w:rPr>
                      <w:rFonts w:hint="eastAsia"/>
                      <w:color w:val="000000" w:themeColor="text1"/>
                      <w:highlight w:val="none"/>
                    </w:rPr>
                    <w:t>废气</w:t>
                  </w:r>
                </w:p>
              </w:tc>
              <w:tc>
                <w:tcPr>
                  <w:tcW w:w="1116" w:type="dxa"/>
                  <w:tcBorders>
                    <w:left w:val="single" w:color="auto" w:sz="4" w:space="0"/>
                    <w:right w:val="single" w:color="auto" w:sz="4" w:space="0"/>
                  </w:tcBorders>
                  <w:vAlign w:val="center"/>
                </w:tcPr>
                <w:p w14:paraId="17217D9B">
                  <w:pPr>
                    <w:jc w:val="center"/>
                    <w:rPr>
                      <w:color w:val="000000" w:themeColor="text1"/>
                      <w:highlight w:val="none"/>
                    </w:rPr>
                  </w:pPr>
                  <w:r>
                    <w:rPr>
                      <w:rFonts w:hint="eastAsia"/>
                      <w:color w:val="000000" w:themeColor="text1"/>
                      <w:highlight w:val="none"/>
                    </w:rPr>
                    <w:t>瓦斯浓度</w:t>
                  </w:r>
                </w:p>
              </w:tc>
              <w:tc>
                <w:tcPr>
                  <w:tcW w:w="1647" w:type="dxa"/>
                  <w:tcBorders>
                    <w:top w:val="single" w:color="auto" w:sz="4" w:space="0"/>
                    <w:left w:val="single" w:color="auto" w:sz="4" w:space="0"/>
                    <w:bottom w:val="single" w:color="auto" w:sz="4" w:space="0"/>
                    <w:right w:val="single" w:color="auto" w:sz="4" w:space="0"/>
                  </w:tcBorders>
                  <w:vAlign w:val="center"/>
                </w:tcPr>
                <w:p w14:paraId="63402485">
                  <w:pPr>
                    <w:jc w:val="center"/>
                    <w:rPr>
                      <w:color w:val="000000" w:themeColor="text1"/>
                      <w:kern w:val="0"/>
                      <w:szCs w:val="21"/>
                      <w:highlight w:val="none"/>
                    </w:rPr>
                  </w:pPr>
                  <w:r>
                    <w:rPr>
                      <w:rFonts w:hint="eastAsia"/>
                      <w:color w:val="000000" w:themeColor="text1"/>
                      <w:kern w:val="0"/>
                      <w:szCs w:val="21"/>
                      <w:highlight w:val="none"/>
                    </w:rPr>
                    <w:t>风井口</w:t>
                  </w:r>
                </w:p>
              </w:tc>
              <w:tc>
                <w:tcPr>
                  <w:tcW w:w="1183" w:type="dxa"/>
                  <w:tcBorders>
                    <w:top w:val="single" w:color="auto" w:sz="4" w:space="0"/>
                    <w:left w:val="single" w:color="auto" w:sz="4" w:space="0"/>
                    <w:bottom w:val="single" w:color="auto" w:sz="4" w:space="0"/>
                    <w:right w:val="single" w:color="auto" w:sz="4" w:space="0"/>
                  </w:tcBorders>
                  <w:vAlign w:val="center"/>
                </w:tcPr>
                <w:p w14:paraId="6770A690">
                  <w:pPr>
                    <w:jc w:val="center"/>
                    <w:rPr>
                      <w:color w:val="000000" w:themeColor="text1"/>
                      <w:szCs w:val="21"/>
                      <w:highlight w:val="none"/>
                    </w:rPr>
                  </w:pPr>
                  <w:r>
                    <w:rPr>
                      <w:rFonts w:hint="eastAsia"/>
                      <w:color w:val="000000" w:themeColor="text1"/>
                      <w:kern w:val="0"/>
                      <w:szCs w:val="21"/>
                      <w:highlight w:val="none"/>
                    </w:rPr>
                    <w:t>煤矿定期检测</w:t>
                  </w:r>
                </w:p>
              </w:tc>
              <w:tc>
                <w:tcPr>
                  <w:tcW w:w="3540" w:type="dxa"/>
                  <w:tcBorders>
                    <w:top w:val="single" w:color="auto" w:sz="4" w:space="0"/>
                    <w:left w:val="single" w:color="auto" w:sz="4" w:space="0"/>
                    <w:bottom w:val="single" w:color="auto" w:sz="4" w:space="0"/>
                    <w:right w:val="single" w:color="auto" w:sz="4" w:space="0"/>
                  </w:tcBorders>
                  <w:vAlign w:val="center"/>
                </w:tcPr>
                <w:p w14:paraId="7D7FD871">
                  <w:pPr>
                    <w:jc w:val="center"/>
                    <w:rPr>
                      <w:color w:val="000000" w:themeColor="text1"/>
                      <w:kern w:val="0"/>
                      <w:szCs w:val="21"/>
                      <w:highlight w:val="none"/>
                    </w:rPr>
                  </w:pPr>
                  <w:r>
                    <w:rPr>
                      <w:rFonts w:hint="eastAsia"/>
                      <w:color w:val="000000" w:themeColor="text1"/>
                      <w:spacing w:val="5"/>
                      <w:highlight w:val="none"/>
                    </w:rPr>
                    <w:t>/</w:t>
                  </w:r>
                </w:p>
              </w:tc>
            </w:tr>
            <w:tr w14:paraId="7317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jc w:val="center"/>
              </w:trPr>
              <w:tc>
                <w:tcPr>
                  <w:tcW w:w="670" w:type="dxa"/>
                  <w:vMerge w:val="continue"/>
                  <w:tcBorders>
                    <w:left w:val="single" w:color="auto" w:sz="4" w:space="0"/>
                    <w:bottom w:val="single" w:color="auto" w:sz="4" w:space="0"/>
                    <w:right w:val="single" w:color="auto" w:sz="4" w:space="0"/>
                  </w:tcBorders>
                  <w:vAlign w:val="center"/>
                </w:tcPr>
                <w:p w14:paraId="3E896AAB">
                  <w:pPr>
                    <w:jc w:val="center"/>
                    <w:rPr>
                      <w:rFonts w:hint="eastAsia"/>
                      <w:color w:val="000000" w:themeColor="text1"/>
                      <w:highlight w:val="none"/>
                    </w:rPr>
                  </w:pPr>
                </w:p>
              </w:tc>
              <w:tc>
                <w:tcPr>
                  <w:tcW w:w="1116" w:type="dxa"/>
                  <w:tcBorders>
                    <w:left w:val="single" w:color="auto" w:sz="4" w:space="0"/>
                    <w:bottom w:val="single" w:color="auto" w:sz="4" w:space="0"/>
                    <w:right w:val="single" w:color="auto" w:sz="4" w:space="0"/>
                  </w:tcBorders>
                  <w:vAlign w:val="center"/>
                </w:tcPr>
                <w:p w14:paraId="1B6381B3">
                  <w:pPr>
                    <w:jc w:val="center"/>
                    <w:rPr>
                      <w:rFonts w:hint="eastAsia" w:eastAsia="宋体"/>
                      <w:color w:val="000000" w:themeColor="text1"/>
                      <w:highlight w:val="none"/>
                      <w:lang w:val="en-US" w:eastAsia="zh-CN"/>
                    </w:rPr>
                  </w:pPr>
                  <w:r>
                    <w:rPr>
                      <w:rFonts w:hint="eastAsia"/>
                      <w:color w:val="000000" w:themeColor="text1"/>
                      <w:highlight w:val="none"/>
                      <w:lang w:val="en-US" w:eastAsia="zh-CN"/>
                    </w:rPr>
                    <w:t>颗粒物</w:t>
                  </w:r>
                </w:p>
              </w:tc>
              <w:tc>
                <w:tcPr>
                  <w:tcW w:w="1647" w:type="dxa"/>
                  <w:tcBorders>
                    <w:top w:val="single" w:color="auto" w:sz="4" w:space="0"/>
                    <w:left w:val="single" w:color="auto" w:sz="4" w:space="0"/>
                    <w:bottom w:val="single" w:color="auto" w:sz="4" w:space="0"/>
                    <w:right w:val="single" w:color="auto" w:sz="4" w:space="0"/>
                  </w:tcBorders>
                  <w:vAlign w:val="center"/>
                </w:tcPr>
                <w:p w14:paraId="75542FC8">
                  <w:pPr>
                    <w:jc w:val="center"/>
                    <w:rPr>
                      <w:rFonts w:hint="eastAsia" w:eastAsia="宋体"/>
                      <w:color w:val="000000" w:themeColor="text1"/>
                      <w:kern w:val="0"/>
                      <w:szCs w:val="21"/>
                      <w:highlight w:val="none"/>
                      <w:lang w:val="en-US" w:eastAsia="zh-CN"/>
                    </w:rPr>
                  </w:pPr>
                  <w:r>
                    <w:rPr>
                      <w:rFonts w:hint="eastAsia"/>
                      <w:color w:val="000000" w:themeColor="text1"/>
                      <w:kern w:val="0"/>
                      <w:szCs w:val="21"/>
                      <w:highlight w:val="none"/>
                      <w:lang w:val="en-US" w:eastAsia="zh-CN"/>
                    </w:rPr>
                    <w:t>厂界</w:t>
                  </w:r>
                </w:p>
              </w:tc>
              <w:tc>
                <w:tcPr>
                  <w:tcW w:w="1183" w:type="dxa"/>
                  <w:tcBorders>
                    <w:top w:val="single" w:color="auto" w:sz="4" w:space="0"/>
                    <w:left w:val="single" w:color="auto" w:sz="4" w:space="0"/>
                    <w:bottom w:val="single" w:color="auto" w:sz="4" w:space="0"/>
                    <w:right w:val="single" w:color="auto" w:sz="4" w:space="0"/>
                  </w:tcBorders>
                  <w:vAlign w:val="center"/>
                </w:tcPr>
                <w:p w14:paraId="5A7BFB0F">
                  <w:pPr>
                    <w:jc w:val="center"/>
                    <w:rPr>
                      <w:rFonts w:hint="default" w:eastAsia="宋体"/>
                      <w:color w:val="000000" w:themeColor="text1"/>
                      <w:kern w:val="0"/>
                      <w:szCs w:val="21"/>
                      <w:highlight w:val="none"/>
                      <w:lang w:val="en-US" w:eastAsia="zh-CN"/>
                    </w:rPr>
                  </w:pPr>
                  <w:r>
                    <w:rPr>
                      <w:rFonts w:hint="eastAsia"/>
                      <w:color w:val="000000" w:themeColor="text1"/>
                      <w:kern w:val="0"/>
                      <w:szCs w:val="21"/>
                      <w:highlight w:val="none"/>
                      <w:lang w:val="en-US" w:eastAsia="zh-CN"/>
                    </w:rPr>
                    <w:t>每年1次</w:t>
                  </w:r>
                </w:p>
              </w:tc>
              <w:tc>
                <w:tcPr>
                  <w:tcW w:w="3540" w:type="dxa"/>
                  <w:tcBorders>
                    <w:top w:val="single" w:color="auto" w:sz="4" w:space="0"/>
                    <w:left w:val="single" w:color="auto" w:sz="4" w:space="0"/>
                    <w:bottom w:val="single" w:color="auto" w:sz="4" w:space="0"/>
                    <w:right w:val="single" w:color="auto" w:sz="4" w:space="0"/>
                  </w:tcBorders>
                  <w:vAlign w:val="center"/>
                </w:tcPr>
                <w:p w14:paraId="4C122220">
                  <w:pPr>
                    <w:jc w:val="center"/>
                    <w:rPr>
                      <w:rFonts w:hint="eastAsia"/>
                      <w:color w:val="000000" w:themeColor="text1"/>
                      <w:spacing w:val="5"/>
                      <w:highlight w:val="none"/>
                    </w:rPr>
                  </w:pPr>
                  <w:r>
                    <w:rPr>
                      <w:color w:val="000000" w:themeColor="text1"/>
                      <w:szCs w:val="21"/>
                      <w:highlight w:val="none"/>
                    </w:rPr>
                    <w:t>《煤炭工业污染物排放标准》（GB20426-2006）标准要求</w:t>
                  </w:r>
                </w:p>
              </w:tc>
            </w:tr>
          </w:tbl>
          <w:p w14:paraId="27FF6B56">
            <w:pPr>
              <w:adjustRightInd w:val="0"/>
              <w:snapToGrid w:val="0"/>
              <w:spacing w:line="360" w:lineRule="auto"/>
              <w:ind w:firstLine="460" w:firstLineChars="200"/>
              <w:rPr>
                <w:rFonts w:ascii="宋体" w:hAnsi="宋体" w:cs="宋体"/>
                <w:bCs/>
                <w:color w:val="000000" w:themeColor="text1"/>
                <w:spacing w:val="10"/>
                <w:szCs w:val="21"/>
                <w:highlight w:val="none"/>
              </w:rPr>
            </w:pPr>
          </w:p>
        </w:tc>
      </w:tr>
      <w:tr w14:paraId="378F0C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753" w:type="dxa"/>
            <w:vAlign w:val="center"/>
          </w:tcPr>
          <w:p w14:paraId="301283A0">
            <w:pPr>
              <w:adjustRightInd w:val="0"/>
              <w:snapToGrid w:val="0"/>
              <w:jc w:val="center"/>
              <w:rPr>
                <w:rFonts w:ascii="宋体" w:hAnsi="宋体" w:cs="宋体"/>
                <w:bCs/>
                <w:color w:val="000000" w:themeColor="text1"/>
                <w:spacing w:val="10"/>
                <w:szCs w:val="21"/>
                <w:highlight w:val="none"/>
              </w:rPr>
            </w:pPr>
            <w:r>
              <w:rPr>
                <w:rFonts w:hint="eastAsia" w:ascii="宋体" w:hAnsi="宋体"/>
                <w:bCs/>
                <w:color w:val="000000" w:themeColor="text1"/>
                <w:szCs w:val="21"/>
                <w:highlight w:val="none"/>
              </w:rPr>
              <w:t>环保投资</w:t>
            </w:r>
          </w:p>
        </w:tc>
        <w:tc>
          <w:tcPr>
            <w:tcW w:w="8457" w:type="dxa"/>
          </w:tcPr>
          <w:p w14:paraId="5BA5EAD2">
            <w:pPr>
              <w:spacing w:line="360" w:lineRule="auto"/>
              <w:ind w:firstLine="480" w:firstLineChars="200"/>
              <w:jc w:val="left"/>
              <w:rPr>
                <w:b/>
                <w:color w:val="000000" w:themeColor="text1"/>
                <w:sz w:val="24"/>
                <w:highlight w:val="none"/>
              </w:rPr>
            </w:pPr>
            <w:r>
              <w:rPr>
                <w:rFonts w:hint="eastAsia"/>
                <w:bCs/>
                <w:color w:val="000000" w:themeColor="text1"/>
                <w:sz w:val="24"/>
                <w:highlight w:val="none"/>
              </w:rPr>
              <w:t>本项目</w:t>
            </w:r>
            <w:r>
              <w:rPr>
                <w:bCs/>
                <w:color w:val="000000" w:themeColor="text1"/>
                <w:sz w:val="24"/>
                <w:highlight w:val="none"/>
              </w:rPr>
              <w:t>总投资为</w:t>
            </w:r>
            <w:r>
              <w:rPr>
                <w:rFonts w:hint="eastAsia"/>
                <w:color w:val="000000" w:themeColor="text1"/>
                <w:sz w:val="24"/>
                <w:highlight w:val="none"/>
              </w:rPr>
              <w:t>4</w:t>
            </w:r>
            <w:r>
              <w:rPr>
                <w:color w:val="000000" w:themeColor="text1"/>
                <w:sz w:val="24"/>
                <w:highlight w:val="none"/>
              </w:rPr>
              <w:t>2000</w:t>
            </w:r>
            <w:r>
              <w:rPr>
                <w:bCs/>
                <w:color w:val="000000" w:themeColor="text1"/>
                <w:sz w:val="24"/>
                <w:highlight w:val="none"/>
              </w:rPr>
              <w:t>万元，</w:t>
            </w:r>
            <w:r>
              <w:rPr>
                <w:rFonts w:hint="eastAsia"/>
                <w:bCs/>
                <w:color w:val="000000" w:themeColor="text1"/>
                <w:sz w:val="24"/>
                <w:highlight w:val="none"/>
              </w:rPr>
              <w:t>其中环保投资117万元，环保投资占总投资的0.28%。具体见下表。</w:t>
            </w:r>
          </w:p>
          <w:p w14:paraId="4E621AEF">
            <w:pPr>
              <w:pStyle w:val="47"/>
              <w:ind w:firstLine="0" w:firstLineChars="0"/>
              <w:rPr>
                <w:rFonts w:eastAsia="宋体"/>
                <w:b/>
                <w:color w:val="000000" w:themeColor="text1"/>
                <w:sz w:val="24"/>
                <w:szCs w:val="24"/>
                <w:highlight w:val="none"/>
              </w:rPr>
            </w:pPr>
            <w:r>
              <w:rPr>
                <w:rFonts w:eastAsia="宋体"/>
                <w:bCs w:val="0"/>
                <w:color w:val="000000" w:themeColor="text1"/>
                <w:sz w:val="24"/>
                <w:szCs w:val="24"/>
                <w:highlight w:val="none"/>
              </w:rPr>
              <w:t>表</w:t>
            </w:r>
            <w:r>
              <w:rPr>
                <w:rFonts w:hint="eastAsia" w:eastAsia="宋体"/>
                <w:bCs w:val="0"/>
                <w:color w:val="000000" w:themeColor="text1"/>
                <w:sz w:val="24"/>
                <w:szCs w:val="24"/>
                <w:highlight w:val="none"/>
              </w:rPr>
              <w:t xml:space="preserve">5-2  </w:t>
            </w:r>
            <w:r>
              <w:rPr>
                <w:rFonts w:eastAsia="宋体"/>
                <w:bCs w:val="0"/>
                <w:color w:val="000000" w:themeColor="text1"/>
                <w:sz w:val="24"/>
                <w:szCs w:val="24"/>
                <w:highlight w:val="none"/>
              </w:rPr>
              <w:t>环保措施及投资估算一览表</w:t>
            </w:r>
          </w:p>
          <w:tbl>
            <w:tblPr>
              <w:tblStyle w:val="26"/>
              <w:tblW w:w="49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79"/>
              <w:gridCol w:w="705"/>
              <w:gridCol w:w="1375"/>
              <w:gridCol w:w="4862"/>
              <w:gridCol w:w="692"/>
            </w:tblGrid>
            <w:tr w14:paraId="64DB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3" w:hRule="atLeast"/>
                <w:jc w:val="center"/>
              </w:trPr>
              <w:tc>
                <w:tcPr>
                  <w:tcW w:w="353" w:type="pct"/>
                  <w:vAlign w:val="center"/>
                </w:tcPr>
                <w:p w14:paraId="697A5D95">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r>
                    <w:rPr>
                      <w:rFonts w:ascii="Times New Roman" w:hAnsi="Times New Roman" w:eastAsia="宋体" w:cs="Times New Roman"/>
                      <w:color w:val="000000" w:themeColor="text1"/>
                      <w:sz w:val="21"/>
                      <w:szCs w:val="21"/>
                      <w:highlight w:val="none"/>
                    </w:rPr>
                    <w:t>类型</w:t>
                  </w:r>
                </w:p>
              </w:tc>
              <w:tc>
                <w:tcPr>
                  <w:tcW w:w="429" w:type="pct"/>
                  <w:vAlign w:val="center"/>
                </w:tcPr>
                <w:p w14:paraId="29F74B1A">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时期</w:t>
                  </w:r>
                </w:p>
              </w:tc>
              <w:tc>
                <w:tcPr>
                  <w:tcW w:w="835" w:type="pct"/>
                  <w:vAlign w:val="center"/>
                </w:tcPr>
                <w:p w14:paraId="09AB566E">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r>
                    <w:rPr>
                      <w:rFonts w:ascii="Times New Roman" w:hAnsi="Times New Roman" w:eastAsia="宋体" w:cs="Times New Roman"/>
                      <w:color w:val="000000" w:themeColor="text1"/>
                      <w:sz w:val="21"/>
                      <w:szCs w:val="21"/>
                      <w:highlight w:val="none"/>
                    </w:rPr>
                    <w:t>污染工序</w:t>
                  </w:r>
                </w:p>
              </w:tc>
              <w:tc>
                <w:tcPr>
                  <w:tcW w:w="2958" w:type="pct"/>
                  <w:vAlign w:val="center"/>
                </w:tcPr>
                <w:p w14:paraId="280D7068">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r>
                    <w:rPr>
                      <w:rFonts w:ascii="Times New Roman" w:hAnsi="Times New Roman" w:eastAsia="宋体" w:cs="Times New Roman"/>
                      <w:color w:val="000000" w:themeColor="text1"/>
                      <w:sz w:val="21"/>
                      <w:szCs w:val="21"/>
                      <w:highlight w:val="none"/>
                    </w:rPr>
                    <w:t>环保设施</w:t>
                  </w:r>
                </w:p>
              </w:tc>
              <w:tc>
                <w:tcPr>
                  <w:tcW w:w="421" w:type="pct"/>
                  <w:vAlign w:val="center"/>
                </w:tcPr>
                <w:p w14:paraId="2B9C66DC">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r>
                    <w:rPr>
                      <w:rFonts w:ascii="Times New Roman" w:hAnsi="Times New Roman" w:eastAsia="宋体" w:cs="Times New Roman"/>
                      <w:color w:val="000000" w:themeColor="text1"/>
                      <w:sz w:val="21"/>
                      <w:szCs w:val="21"/>
                      <w:highlight w:val="none"/>
                    </w:rPr>
                    <w:t>投资</w:t>
                  </w:r>
                  <w:r>
                    <w:rPr>
                      <w:rFonts w:ascii="Times New Roman" w:hAnsi="Times New Roman" w:eastAsia="宋体" w:cs="Times New Roman"/>
                      <w:color w:val="000000" w:themeColor="text1"/>
                      <w:sz w:val="21"/>
                      <w:szCs w:val="21"/>
                      <w:highlight w:val="none"/>
                      <w:lang w:eastAsia="zh-CN"/>
                    </w:rPr>
                    <w:t>（</w:t>
                  </w:r>
                  <w:r>
                    <w:rPr>
                      <w:rFonts w:ascii="Times New Roman" w:hAnsi="Times New Roman" w:eastAsia="宋体" w:cs="Times New Roman"/>
                      <w:color w:val="000000" w:themeColor="text1"/>
                      <w:sz w:val="21"/>
                      <w:szCs w:val="21"/>
                      <w:highlight w:val="none"/>
                    </w:rPr>
                    <w:t>万元）</w:t>
                  </w:r>
                </w:p>
              </w:tc>
            </w:tr>
            <w:tr w14:paraId="7A673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671" w:hRule="atLeast"/>
                <w:jc w:val="center"/>
              </w:trPr>
              <w:tc>
                <w:tcPr>
                  <w:tcW w:w="353" w:type="pct"/>
                  <w:vMerge w:val="restart"/>
                  <w:vAlign w:val="center"/>
                </w:tcPr>
                <w:p w14:paraId="53EE9BE0">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r>
                    <w:rPr>
                      <w:rFonts w:ascii="Times New Roman" w:hAnsi="Times New Roman" w:eastAsia="宋体" w:cs="Times New Roman"/>
                      <w:color w:val="000000" w:themeColor="text1"/>
                      <w:sz w:val="21"/>
                      <w:szCs w:val="21"/>
                      <w:highlight w:val="none"/>
                    </w:rPr>
                    <w:t>废气</w:t>
                  </w:r>
                </w:p>
              </w:tc>
              <w:tc>
                <w:tcPr>
                  <w:tcW w:w="429" w:type="pct"/>
                  <w:vMerge w:val="restart"/>
                  <w:vAlign w:val="center"/>
                </w:tcPr>
                <w:p w14:paraId="0D4CD751">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施工期</w:t>
                  </w:r>
                </w:p>
              </w:tc>
              <w:tc>
                <w:tcPr>
                  <w:tcW w:w="835" w:type="pct"/>
                  <w:vAlign w:val="center"/>
                </w:tcPr>
                <w:p w14:paraId="6FB9A97C">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r>
                    <w:rPr>
                      <w:rFonts w:ascii="Times New Roman" w:hAnsi="Times New Roman" w:eastAsia="宋体" w:cs="Times New Roman"/>
                      <w:color w:val="000000" w:themeColor="text1"/>
                      <w:sz w:val="21"/>
                      <w:szCs w:val="21"/>
                      <w:highlight w:val="none"/>
                      <w:lang w:eastAsia="zh-CN"/>
                    </w:rPr>
                    <w:t>扬尘</w:t>
                  </w:r>
                </w:p>
              </w:tc>
              <w:tc>
                <w:tcPr>
                  <w:tcW w:w="2958" w:type="pct"/>
                  <w:vAlign w:val="center"/>
                </w:tcPr>
                <w:p w14:paraId="2816D595">
                  <w:pPr>
                    <w:adjustRightInd w:val="0"/>
                    <w:snapToGrid w:val="0"/>
                    <w:jc w:val="center"/>
                    <w:rPr>
                      <w:color w:val="000000" w:themeColor="text1"/>
                      <w:szCs w:val="21"/>
                      <w:highlight w:val="none"/>
                    </w:rPr>
                  </w:pPr>
                  <w:r>
                    <w:rPr>
                      <w:color w:val="000000" w:themeColor="text1"/>
                      <w:szCs w:val="21"/>
                      <w:highlight w:val="none"/>
                    </w:rPr>
                    <w:t>施工区设置围挡。施工现场裸露场地采用抑尘网覆盖，并随时洒水抑尘；运输车辆加盖篷布，施工区定期洒水；施工工地内堆放的粉状物料堆场采取封闭措施，易产生扬尘的物料采取覆盖防尘网或者防尘布等措施。临时堆土进行拦挡、苫盖防护，</w:t>
                  </w:r>
                </w:p>
              </w:tc>
              <w:tc>
                <w:tcPr>
                  <w:tcW w:w="421" w:type="pct"/>
                  <w:vAlign w:val="center"/>
                </w:tcPr>
                <w:p w14:paraId="68543862">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5</w:t>
                  </w:r>
                </w:p>
              </w:tc>
            </w:tr>
            <w:tr w14:paraId="2574A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3" w:hRule="atLeast"/>
                <w:jc w:val="center"/>
              </w:trPr>
              <w:tc>
                <w:tcPr>
                  <w:tcW w:w="353" w:type="pct"/>
                  <w:vMerge w:val="continue"/>
                  <w:vAlign w:val="center"/>
                </w:tcPr>
                <w:p w14:paraId="0A2672A3">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p>
              </w:tc>
              <w:tc>
                <w:tcPr>
                  <w:tcW w:w="429" w:type="pct"/>
                  <w:vMerge w:val="continue"/>
                  <w:vAlign w:val="center"/>
                </w:tcPr>
                <w:p w14:paraId="37FC0930">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p>
              </w:tc>
              <w:tc>
                <w:tcPr>
                  <w:tcW w:w="835" w:type="pct"/>
                  <w:vAlign w:val="center"/>
                </w:tcPr>
                <w:p w14:paraId="26867AE1">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r>
                    <w:rPr>
                      <w:rFonts w:ascii="Times New Roman" w:hAnsi="Times New Roman" w:eastAsia="宋体" w:cs="Times New Roman"/>
                      <w:color w:val="000000" w:themeColor="text1"/>
                      <w:sz w:val="21"/>
                      <w:szCs w:val="21"/>
                      <w:highlight w:val="none"/>
                      <w:lang w:val="en-US" w:eastAsia="zh-CN"/>
                    </w:rPr>
                    <w:t>施工机械与运输车辆尾气</w:t>
                  </w:r>
                </w:p>
              </w:tc>
              <w:tc>
                <w:tcPr>
                  <w:tcW w:w="2958" w:type="pct"/>
                  <w:vAlign w:val="center"/>
                </w:tcPr>
                <w:p w14:paraId="671A01C3">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r>
                    <w:rPr>
                      <w:rFonts w:ascii="Times New Roman" w:hAnsi="Times New Roman" w:eastAsia="宋体" w:cs="Times New Roman"/>
                      <w:color w:val="000000" w:themeColor="text1"/>
                      <w:sz w:val="21"/>
                      <w:szCs w:val="21"/>
                      <w:highlight w:val="none"/>
                      <w:lang w:val="en-US" w:eastAsia="zh-CN"/>
                    </w:rPr>
                    <w:t>使用满足标准的施工机械和油品，做好设备的维护。</w:t>
                  </w:r>
                </w:p>
              </w:tc>
              <w:tc>
                <w:tcPr>
                  <w:tcW w:w="421" w:type="pct"/>
                  <w:vAlign w:val="center"/>
                </w:tcPr>
                <w:p w14:paraId="6C21C0D2">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5</w:t>
                  </w:r>
                </w:p>
              </w:tc>
            </w:tr>
            <w:tr w14:paraId="58339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3" w:hRule="atLeast"/>
                <w:jc w:val="center"/>
              </w:trPr>
              <w:tc>
                <w:tcPr>
                  <w:tcW w:w="353" w:type="pct"/>
                  <w:vMerge w:val="continue"/>
                  <w:vAlign w:val="center"/>
                </w:tcPr>
                <w:p w14:paraId="5FAE00D6">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p>
              </w:tc>
              <w:tc>
                <w:tcPr>
                  <w:tcW w:w="429" w:type="pct"/>
                  <w:vAlign w:val="center"/>
                </w:tcPr>
                <w:p w14:paraId="53B6392F">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运营期</w:t>
                  </w:r>
                </w:p>
              </w:tc>
              <w:tc>
                <w:tcPr>
                  <w:tcW w:w="835" w:type="pct"/>
                  <w:vAlign w:val="center"/>
                </w:tcPr>
                <w:p w14:paraId="2EA1ECF3">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车辆尾气与扬尘</w:t>
                  </w:r>
                </w:p>
              </w:tc>
              <w:tc>
                <w:tcPr>
                  <w:tcW w:w="2958" w:type="pct"/>
                  <w:vAlign w:val="center"/>
                </w:tcPr>
                <w:p w14:paraId="27415A39">
                  <w:pPr>
                    <w:adjustRightInd w:val="0"/>
                    <w:snapToGrid w:val="0"/>
                    <w:jc w:val="center"/>
                    <w:rPr>
                      <w:color w:val="000000" w:themeColor="text1"/>
                      <w:szCs w:val="21"/>
                      <w:highlight w:val="none"/>
                    </w:rPr>
                  </w:pPr>
                  <w:r>
                    <w:rPr>
                      <w:color w:val="000000" w:themeColor="text1"/>
                      <w:szCs w:val="21"/>
                      <w:highlight w:val="none"/>
                    </w:rPr>
                    <w:t>加强项目道路管理及路面养护，保持道路良好运营状态，保持路面平整和清洁，保证路面处于完好状态，路面洒水抑尘，道路两旁进行绿化。</w:t>
                  </w:r>
                </w:p>
              </w:tc>
              <w:tc>
                <w:tcPr>
                  <w:tcW w:w="421" w:type="pct"/>
                  <w:vAlign w:val="center"/>
                </w:tcPr>
                <w:p w14:paraId="460382AE">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20</w:t>
                  </w:r>
                </w:p>
              </w:tc>
            </w:tr>
            <w:tr w14:paraId="0B9EF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24" w:hRule="atLeast"/>
                <w:jc w:val="center"/>
              </w:trPr>
              <w:tc>
                <w:tcPr>
                  <w:tcW w:w="353" w:type="pct"/>
                  <w:vMerge w:val="restart"/>
                  <w:vAlign w:val="center"/>
                </w:tcPr>
                <w:p w14:paraId="7B05AFE7">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r>
                    <w:rPr>
                      <w:rFonts w:ascii="Times New Roman" w:hAnsi="Times New Roman" w:eastAsia="宋体" w:cs="Times New Roman"/>
                      <w:color w:val="000000" w:themeColor="text1"/>
                      <w:sz w:val="21"/>
                      <w:szCs w:val="21"/>
                      <w:highlight w:val="none"/>
                    </w:rPr>
                    <w:t>废水</w:t>
                  </w:r>
                </w:p>
              </w:tc>
              <w:tc>
                <w:tcPr>
                  <w:tcW w:w="429" w:type="pct"/>
                  <w:vMerge w:val="restart"/>
                  <w:vAlign w:val="center"/>
                </w:tcPr>
                <w:p w14:paraId="7F5F99A4">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r>
                    <w:rPr>
                      <w:rFonts w:ascii="Times New Roman" w:hAnsi="Times New Roman" w:eastAsia="宋体" w:cs="Times New Roman"/>
                      <w:color w:val="000000" w:themeColor="text1"/>
                      <w:sz w:val="21"/>
                      <w:szCs w:val="21"/>
                      <w:highlight w:val="none"/>
                      <w:lang w:val="en-US" w:eastAsia="zh-CN"/>
                    </w:rPr>
                    <w:t>施工期</w:t>
                  </w:r>
                </w:p>
              </w:tc>
              <w:tc>
                <w:tcPr>
                  <w:tcW w:w="835" w:type="pct"/>
                  <w:vAlign w:val="center"/>
                </w:tcPr>
                <w:p w14:paraId="79F15AAD">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r>
                    <w:rPr>
                      <w:rFonts w:ascii="Times New Roman" w:hAnsi="Times New Roman" w:eastAsia="宋体" w:cs="Times New Roman"/>
                      <w:color w:val="000000" w:themeColor="text1"/>
                      <w:sz w:val="21"/>
                      <w:szCs w:val="21"/>
                      <w:highlight w:val="none"/>
                      <w:lang w:eastAsia="zh-CN"/>
                    </w:rPr>
                    <w:t>施工废水</w:t>
                  </w:r>
                </w:p>
              </w:tc>
              <w:tc>
                <w:tcPr>
                  <w:tcW w:w="2958" w:type="pct"/>
                  <w:vAlign w:val="center"/>
                </w:tcPr>
                <w:p w14:paraId="1E38345A">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施工废水经沉淀池沉淀后循环利用。</w:t>
                  </w:r>
                </w:p>
              </w:tc>
              <w:tc>
                <w:tcPr>
                  <w:tcW w:w="421" w:type="pct"/>
                  <w:vAlign w:val="center"/>
                </w:tcPr>
                <w:p w14:paraId="69A5E9CD">
                  <w:pPr>
                    <w:pStyle w:val="48"/>
                    <w:adjustRightInd w:val="0"/>
                    <w:snapToGrid w:val="0"/>
                    <w:spacing w:line="240" w:lineRule="atLeast"/>
                    <w:jc w:val="center"/>
                    <w:rPr>
                      <w:rFonts w:hint="default" w:ascii="Times New Roman" w:hAnsi="Times New Roman" w:eastAsia="宋体" w:cs="Times New Roman"/>
                      <w:color w:val="000000" w:themeColor="text1"/>
                      <w:sz w:val="21"/>
                      <w:szCs w:val="21"/>
                      <w:highlight w:val="none"/>
                      <w:lang w:val="en-US" w:eastAsia="zh-CN"/>
                    </w:rPr>
                  </w:pPr>
                  <w:r>
                    <w:rPr>
                      <w:rFonts w:hint="eastAsia" w:ascii="Times New Roman" w:hAnsi="Times New Roman" w:eastAsia="宋体" w:cs="Times New Roman"/>
                      <w:color w:val="000000" w:themeColor="text1"/>
                      <w:sz w:val="21"/>
                      <w:szCs w:val="21"/>
                      <w:highlight w:val="none"/>
                      <w:lang w:val="en-US" w:eastAsia="zh-CN"/>
                    </w:rPr>
                    <w:t>2.5</w:t>
                  </w:r>
                </w:p>
              </w:tc>
            </w:tr>
            <w:tr w14:paraId="6BDA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7" w:hRule="atLeast"/>
                <w:jc w:val="center"/>
              </w:trPr>
              <w:tc>
                <w:tcPr>
                  <w:tcW w:w="353" w:type="pct"/>
                  <w:vMerge w:val="continue"/>
                  <w:vAlign w:val="center"/>
                </w:tcPr>
                <w:p w14:paraId="64C41308">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p>
              </w:tc>
              <w:tc>
                <w:tcPr>
                  <w:tcW w:w="429" w:type="pct"/>
                  <w:vMerge w:val="continue"/>
                  <w:vAlign w:val="center"/>
                </w:tcPr>
                <w:p w14:paraId="50C4231E">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p>
              </w:tc>
              <w:tc>
                <w:tcPr>
                  <w:tcW w:w="835" w:type="pct"/>
                  <w:vAlign w:val="center"/>
                </w:tcPr>
                <w:p w14:paraId="72D4BF8E">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r>
                    <w:rPr>
                      <w:rFonts w:ascii="Times New Roman" w:hAnsi="Times New Roman" w:eastAsia="宋体" w:cs="Times New Roman"/>
                      <w:color w:val="000000" w:themeColor="text1"/>
                      <w:sz w:val="21"/>
                      <w:szCs w:val="21"/>
                      <w:highlight w:val="none"/>
                      <w:lang w:val="en-US" w:eastAsia="zh-CN"/>
                    </w:rPr>
                    <w:t>生活污水</w:t>
                  </w:r>
                </w:p>
              </w:tc>
              <w:tc>
                <w:tcPr>
                  <w:tcW w:w="2958" w:type="pct"/>
                  <w:vAlign w:val="center"/>
                </w:tcPr>
                <w:p w14:paraId="393EDFE6">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依托煤矿现有生活污水处理设施</w:t>
                  </w:r>
                  <w:r>
                    <w:rPr>
                      <w:rFonts w:hint="eastAsia" w:ascii="Times New Roman" w:hAnsi="Times New Roman" w:eastAsia="宋体" w:cs="Times New Roman"/>
                      <w:color w:val="000000" w:themeColor="text1"/>
                      <w:sz w:val="21"/>
                      <w:szCs w:val="21"/>
                      <w:highlight w:val="none"/>
                      <w:lang w:val="en-US" w:eastAsia="zh-CN"/>
                    </w:rPr>
                    <w:t>，场地设置临时化粪池，收集的污水定期由吸污车拉运至工业场地污水处理设施处理</w:t>
                  </w:r>
                  <w:r>
                    <w:rPr>
                      <w:rFonts w:ascii="Times New Roman" w:hAnsi="Times New Roman" w:eastAsia="宋体" w:cs="Times New Roman"/>
                      <w:color w:val="000000" w:themeColor="text1"/>
                      <w:sz w:val="21"/>
                      <w:szCs w:val="21"/>
                      <w:highlight w:val="none"/>
                      <w:lang w:val="en-US" w:eastAsia="zh-CN"/>
                    </w:rPr>
                    <w:t>。</w:t>
                  </w:r>
                </w:p>
              </w:tc>
              <w:tc>
                <w:tcPr>
                  <w:tcW w:w="421" w:type="pct"/>
                  <w:vAlign w:val="center"/>
                </w:tcPr>
                <w:p w14:paraId="0F186408">
                  <w:pPr>
                    <w:pStyle w:val="48"/>
                    <w:adjustRightInd w:val="0"/>
                    <w:snapToGrid w:val="0"/>
                    <w:spacing w:line="240" w:lineRule="atLeast"/>
                    <w:jc w:val="center"/>
                    <w:rPr>
                      <w:rFonts w:hint="default"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0</w:t>
                  </w:r>
                  <w:r>
                    <w:rPr>
                      <w:rFonts w:hint="eastAsia" w:ascii="Times New Roman" w:hAnsi="Times New Roman" w:eastAsia="宋体" w:cs="Times New Roman"/>
                      <w:color w:val="000000" w:themeColor="text1"/>
                      <w:sz w:val="21"/>
                      <w:szCs w:val="21"/>
                      <w:highlight w:val="none"/>
                      <w:lang w:val="en-US" w:eastAsia="zh-CN"/>
                    </w:rPr>
                    <w:t>.5</w:t>
                  </w:r>
                </w:p>
              </w:tc>
            </w:tr>
            <w:tr w14:paraId="0073B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3" w:hRule="atLeast"/>
                <w:jc w:val="center"/>
              </w:trPr>
              <w:tc>
                <w:tcPr>
                  <w:tcW w:w="353" w:type="pct"/>
                  <w:vMerge w:val="continue"/>
                  <w:vAlign w:val="center"/>
                </w:tcPr>
                <w:p w14:paraId="4B313523">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p>
              </w:tc>
              <w:tc>
                <w:tcPr>
                  <w:tcW w:w="429" w:type="pct"/>
                  <w:vMerge w:val="continue"/>
                  <w:vAlign w:val="center"/>
                </w:tcPr>
                <w:p w14:paraId="59467987">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p>
              </w:tc>
              <w:tc>
                <w:tcPr>
                  <w:tcW w:w="835" w:type="pct"/>
                  <w:vAlign w:val="center"/>
                </w:tcPr>
                <w:p w14:paraId="6B951D8E">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r>
                    <w:rPr>
                      <w:rFonts w:ascii="Times New Roman" w:hAnsi="Times New Roman" w:eastAsia="宋体" w:cs="Times New Roman"/>
                      <w:color w:val="000000" w:themeColor="text1"/>
                      <w:sz w:val="21"/>
                      <w:szCs w:val="21"/>
                      <w:highlight w:val="none"/>
                      <w:lang w:val="en-US" w:eastAsia="zh-CN"/>
                    </w:rPr>
                    <w:t>井筒掘进废水</w:t>
                  </w:r>
                </w:p>
              </w:tc>
              <w:tc>
                <w:tcPr>
                  <w:tcW w:w="2958" w:type="pct"/>
                  <w:vAlign w:val="center"/>
                </w:tcPr>
                <w:p w14:paraId="4CA1D8B0">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r>
                    <w:rPr>
                      <w:rFonts w:ascii="Times New Roman" w:hAnsi="Times New Roman" w:eastAsia="宋体" w:cs="Times New Roman"/>
                      <w:color w:val="000000" w:themeColor="text1"/>
                      <w:sz w:val="21"/>
                      <w:szCs w:val="21"/>
                      <w:highlight w:val="none"/>
                      <w:lang w:val="en-US" w:eastAsia="zh-CN"/>
                    </w:rPr>
                    <w:t>由抽水车定期集中抽排，运送至工业场地既有矿井水处理站处理后回用</w:t>
                  </w:r>
                </w:p>
              </w:tc>
              <w:tc>
                <w:tcPr>
                  <w:tcW w:w="421" w:type="pct"/>
                  <w:vAlign w:val="center"/>
                </w:tcPr>
                <w:p w14:paraId="540AFF48">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10</w:t>
                  </w:r>
                </w:p>
              </w:tc>
            </w:tr>
            <w:tr w14:paraId="168AD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41" w:hRule="atLeast"/>
                <w:jc w:val="center"/>
              </w:trPr>
              <w:tc>
                <w:tcPr>
                  <w:tcW w:w="353" w:type="pct"/>
                  <w:vMerge w:val="restart"/>
                  <w:vAlign w:val="center"/>
                </w:tcPr>
                <w:p w14:paraId="5EA429ED">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r>
                    <w:rPr>
                      <w:rFonts w:ascii="Times New Roman" w:hAnsi="Times New Roman" w:eastAsia="宋体" w:cs="Times New Roman"/>
                      <w:color w:val="000000" w:themeColor="text1"/>
                      <w:sz w:val="21"/>
                      <w:szCs w:val="21"/>
                      <w:highlight w:val="none"/>
                    </w:rPr>
                    <w:t>噪声</w:t>
                  </w:r>
                </w:p>
              </w:tc>
              <w:tc>
                <w:tcPr>
                  <w:tcW w:w="429" w:type="pct"/>
                  <w:vAlign w:val="center"/>
                </w:tcPr>
                <w:p w14:paraId="560A71CF">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r>
                    <w:rPr>
                      <w:rFonts w:ascii="Times New Roman" w:hAnsi="Times New Roman" w:eastAsia="宋体" w:cs="Times New Roman"/>
                      <w:color w:val="000000" w:themeColor="text1"/>
                      <w:sz w:val="21"/>
                      <w:szCs w:val="21"/>
                      <w:highlight w:val="none"/>
                      <w:lang w:eastAsia="zh-CN"/>
                    </w:rPr>
                    <w:t>施工</w:t>
                  </w:r>
                  <w:r>
                    <w:rPr>
                      <w:rFonts w:ascii="Times New Roman" w:hAnsi="Times New Roman" w:eastAsia="宋体" w:cs="Times New Roman"/>
                      <w:color w:val="000000" w:themeColor="text1"/>
                      <w:sz w:val="21"/>
                      <w:szCs w:val="21"/>
                      <w:highlight w:val="none"/>
                      <w:lang w:val="en-US" w:eastAsia="zh-CN"/>
                    </w:rPr>
                    <w:t>期</w:t>
                  </w:r>
                </w:p>
              </w:tc>
              <w:tc>
                <w:tcPr>
                  <w:tcW w:w="835" w:type="pct"/>
                  <w:vAlign w:val="center"/>
                </w:tcPr>
                <w:p w14:paraId="318E2177">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r>
                    <w:rPr>
                      <w:rFonts w:ascii="Times New Roman" w:hAnsi="Times New Roman" w:eastAsia="宋体" w:cs="Times New Roman"/>
                      <w:color w:val="000000" w:themeColor="text1"/>
                      <w:sz w:val="21"/>
                      <w:szCs w:val="21"/>
                      <w:highlight w:val="none"/>
                      <w:lang w:eastAsia="zh-CN"/>
                    </w:rPr>
                    <w:t>噪声</w:t>
                  </w:r>
                </w:p>
              </w:tc>
              <w:tc>
                <w:tcPr>
                  <w:tcW w:w="2958" w:type="pct"/>
                  <w:vAlign w:val="center"/>
                </w:tcPr>
                <w:p w14:paraId="64C898B7">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r>
                    <w:rPr>
                      <w:rFonts w:ascii="Times New Roman" w:hAnsi="Times New Roman" w:eastAsia="宋体" w:cs="Times New Roman"/>
                      <w:color w:val="000000" w:themeColor="text1"/>
                      <w:sz w:val="21"/>
                      <w:szCs w:val="21"/>
                      <w:highlight w:val="none"/>
                    </w:rPr>
                    <w:t>采用合理安排施工作业时间，优先选用高效低噪声设备，减少高噪声设备同时作业，进出车辆合理安排，尽量减少鸣笛</w:t>
                  </w:r>
                  <w:r>
                    <w:rPr>
                      <w:rFonts w:ascii="Times New Roman" w:hAnsi="Times New Roman" w:eastAsia="宋体" w:cs="Times New Roman"/>
                      <w:color w:val="000000" w:themeColor="text1"/>
                      <w:sz w:val="21"/>
                      <w:szCs w:val="21"/>
                      <w:highlight w:val="none"/>
                      <w:lang w:eastAsia="zh-CN"/>
                    </w:rPr>
                    <w:t>，临时声屏障</w:t>
                  </w:r>
                </w:p>
              </w:tc>
              <w:tc>
                <w:tcPr>
                  <w:tcW w:w="421" w:type="pct"/>
                  <w:vAlign w:val="center"/>
                </w:tcPr>
                <w:p w14:paraId="2530EC80">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2</w:t>
                  </w:r>
                </w:p>
              </w:tc>
            </w:tr>
            <w:tr w14:paraId="5A98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3" w:hRule="atLeast"/>
                <w:jc w:val="center"/>
              </w:trPr>
              <w:tc>
                <w:tcPr>
                  <w:tcW w:w="353" w:type="pct"/>
                  <w:vMerge w:val="continue"/>
                  <w:vAlign w:val="center"/>
                </w:tcPr>
                <w:p w14:paraId="6E9556D5">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p>
              </w:tc>
              <w:tc>
                <w:tcPr>
                  <w:tcW w:w="429" w:type="pct"/>
                  <w:vAlign w:val="center"/>
                </w:tcPr>
                <w:p w14:paraId="00288241">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运营期</w:t>
                  </w:r>
                </w:p>
              </w:tc>
              <w:tc>
                <w:tcPr>
                  <w:tcW w:w="835" w:type="pct"/>
                  <w:vAlign w:val="center"/>
                </w:tcPr>
                <w:p w14:paraId="2C16C5EB">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设备噪声</w:t>
                  </w:r>
                </w:p>
              </w:tc>
              <w:tc>
                <w:tcPr>
                  <w:tcW w:w="2958" w:type="pct"/>
                  <w:vAlign w:val="center"/>
                </w:tcPr>
                <w:p w14:paraId="4254EE4F">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r>
                    <w:rPr>
                      <w:rFonts w:ascii="Times New Roman" w:hAnsi="Times New Roman" w:eastAsia="宋体" w:cs="Times New Roman"/>
                      <w:color w:val="000000" w:themeColor="text1"/>
                      <w:sz w:val="21"/>
                      <w:szCs w:val="21"/>
                      <w:highlight w:val="none"/>
                      <w:lang w:eastAsia="zh-CN"/>
                    </w:rPr>
                    <w:t>隔声、吸声、</w:t>
                  </w:r>
                  <w:r>
                    <w:rPr>
                      <w:rFonts w:ascii="Times New Roman" w:hAnsi="Times New Roman" w:eastAsia="宋体" w:cs="Times New Roman"/>
                      <w:color w:val="000000" w:themeColor="text1"/>
                      <w:sz w:val="21"/>
                      <w:szCs w:val="21"/>
                      <w:highlight w:val="none"/>
                      <w:lang w:val="en-US" w:eastAsia="zh-CN"/>
                    </w:rPr>
                    <w:t>基础减</w:t>
                  </w:r>
                  <w:r>
                    <w:rPr>
                      <w:rFonts w:ascii="Times New Roman" w:hAnsi="Times New Roman" w:eastAsia="宋体" w:cs="Times New Roman"/>
                      <w:color w:val="000000" w:themeColor="text1"/>
                      <w:sz w:val="21"/>
                      <w:szCs w:val="21"/>
                      <w:highlight w:val="none"/>
                      <w:lang w:eastAsia="zh-CN"/>
                    </w:rPr>
                    <w:t>振、消声等设施</w:t>
                  </w:r>
                </w:p>
              </w:tc>
              <w:tc>
                <w:tcPr>
                  <w:tcW w:w="421" w:type="pct"/>
                  <w:vAlign w:val="center"/>
                </w:tcPr>
                <w:p w14:paraId="763D7ED7">
                  <w:pPr>
                    <w:pStyle w:val="48"/>
                    <w:adjustRightInd w:val="0"/>
                    <w:snapToGrid w:val="0"/>
                    <w:spacing w:line="240" w:lineRule="atLeast"/>
                    <w:jc w:val="center"/>
                    <w:rPr>
                      <w:rFonts w:hint="default" w:ascii="Times New Roman" w:hAnsi="Times New Roman" w:eastAsia="宋体" w:cs="Times New Roman"/>
                      <w:color w:val="000000" w:themeColor="text1"/>
                      <w:sz w:val="21"/>
                      <w:szCs w:val="21"/>
                      <w:highlight w:val="none"/>
                      <w:lang w:val="en-US" w:eastAsia="zh-CN"/>
                    </w:rPr>
                  </w:pPr>
                  <w:r>
                    <w:rPr>
                      <w:rFonts w:hint="eastAsia" w:ascii="Times New Roman" w:hAnsi="Times New Roman" w:eastAsia="宋体" w:cs="Times New Roman"/>
                      <w:color w:val="000000" w:themeColor="text1"/>
                      <w:sz w:val="21"/>
                      <w:szCs w:val="21"/>
                      <w:highlight w:val="none"/>
                      <w:lang w:val="en-US" w:eastAsia="zh-CN"/>
                    </w:rPr>
                    <w:t>1.8</w:t>
                  </w:r>
                </w:p>
              </w:tc>
            </w:tr>
            <w:tr w14:paraId="7BFD8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4" w:hRule="atLeast"/>
                <w:jc w:val="center"/>
              </w:trPr>
              <w:tc>
                <w:tcPr>
                  <w:tcW w:w="353" w:type="pct"/>
                  <w:vMerge w:val="restart"/>
                  <w:vAlign w:val="center"/>
                </w:tcPr>
                <w:p w14:paraId="62846CAC">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r>
                    <w:rPr>
                      <w:rFonts w:ascii="Times New Roman" w:hAnsi="Times New Roman" w:eastAsia="宋体" w:cs="Times New Roman"/>
                      <w:color w:val="000000" w:themeColor="text1"/>
                      <w:sz w:val="21"/>
                      <w:szCs w:val="21"/>
                      <w:highlight w:val="none"/>
                    </w:rPr>
                    <w:t>固废</w:t>
                  </w:r>
                </w:p>
              </w:tc>
              <w:tc>
                <w:tcPr>
                  <w:tcW w:w="429" w:type="pct"/>
                  <w:vMerge w:val="restart"/>
                  <w:vAlign w:val="center"/>
                </w:tcPr>
                <w:p w14:paraId="75D9E5F0">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r>
                    <w:rPr>
                      <w:rFonts w:ascii="Times New Roman" w:hAnsi="Times New Roman" w:eastAsia="宋体" w:cs="Times New Roman"/>
                      <w:color w:val="000000" w:themeColor="text1"/>
                      <w:sz w:val="21"/>
                      <w:szCs w:val="21"/>
                      <w:highlight w:val="none"/>
                      <w:lang w:eastAsia="zh-CN"/>
                    </w:rPr>
                    <w:t>施工</w:t>
                  </w:r>
                  <w:r>
                    <w:rPr>
                      <w:rFonts w:ascii="Times New Roman" w:hAnsi="Times New Roman" w:eastAsia="宋体" w:cs="Times New Roman"/>
                      <w:color w:val="000000" w:themeColor="text1"/>
                      <w:sz w:val="21"/>
                      <w:szCs w:val="21"/>
                      <w:highlight w:val="none"/>
                      <w:lang w:val="en-US" w:eastAsia="zh-CN"/>
                    </w:rPr>
                    <w:t>期</w:t>
                  </w:r>
                </w:p>
              </w:tc>
              <w:tc>
                <w:tcPr>
                  <w:tcW w:w="835" w:type="pct"/>
                  <w:vAlign w:val="center"/>
                </w:tcPr>
                <w:p w14:paraId="541D8870">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r>
                    <w:rPr>
                      <w:rFonts w:ascii="Times New Roman" w:hAnsi="Times New Roman" w:eastAsia="宋体" w:cs="Times New Roman"/>
                      <w:color w:val="000000" w:themeColor="text1"/>
                      <w:sz w:val="21"/>
                      <w:szCs w:val="21"/>
                      <w:highlight w:val="none"/>
                    </w:rPr>
                    <w:t>生活垃圾</w:t>
                  </w:r>
                </w:p>
              </w:tc>
              <w:tc>
                <w:tcPr>
                  <w:tcW w:w="2958" w:type="pct"/>
                  <w:vAlign w:val="center"/>
                </w:tcPr>
                <w:p w14:paraId="52524E3C">
                  <w:pPr>
                    <w:adjustRightInd w:val="0"/>
                    <w:snapToGrid w:val="0"/>
                    <w:jc w:val="center"/>
                    <w:rPr>
                      <w:color w:val="000000" w:themeColor="text1"/>
                      <w:szCs w:val="21"/>
                      <w:highlight w:val="none"/>
                    </w:rPr>
                  </w:pPr>
                  <w:r>
                    <w:rPr>
                      <w:color w:val="000000" w:themeColor="text1"/>
                      <w:szCs w:val="21"/>
                      <w:highlight w:val="none"/>
                    </w:rPr>
                    <w:t>依托煤矿现有垃圾收集箱</w:t>
                  </w:r>
                  <w:r>
                    <w:rPr>
                      <w:rFonts w:hint="eastAsia"/>
                      <w:color w:val="000000" w:themeColor="text1"/>
                      <w:szCs w:val="21"/>
                      <w:highlight w:val="none"/>
                      <w:lang w:eastAsia="zh-CN"/>
                    </w:rPr>
                    <w:t>，</w:t>
                  </w:r>
                  <w:r>
                    <w:rPr>
                      <w:rFonts w:hint="eastAsia"/>
                      <w:color w:val="000000" w:themeColor="text1"/>
                      <w:szCs w:val="21"/>
                      <w:highlight w:val="none"/>
                      <w:lang w:val="en-US" w:eastAsia="zh-CN"/>
                    </w:rPr>
                    <w:t>施工场地设置垃圾箱</w:t>
                  </w:r>
                  <w:r>
                    <w:rPr>
                      <w:color w:val="000000" w:themeColor="text1"/>
                      <w:szCs w:val="21"/>
                      <w:highlight w:val="none"/>
                    </w:rPr>
                    <w:t>。</w:t>
                  </w:r>
                </w:p>
              </w:tc>
              <w:tc>
                <w:tcPr>
                  <w:tcW w:w="421" w:type="pct"/>
                  <w:vAlign w:val="center"/>
                </w:tcPr>
                <w:p w14:paraId="1AA6CBBA">
                  <w:pPr>
                    <w:pStyle w:val="48"/>
                    <w:adjustRightInd w:val="0"/>
                    <w:snapToGrid w:val="0"/>
                    <w:spacing w:line="240" w:lineRule="atLeast"/>
                    <w:jc w:val="center"/>
                    <w:rPr>
                      <w:rFonts w:hint="default"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0</w:t>
                  </w:r>
                  <w:r>
                    <w:rPr>
                      <w:rFonts w:hint="eastAsia" w:ascii="Times New Roman" w:hAnsi="Times New Roman" w:eastAsia="宋体" w:cs="Times New Roman"/>
                      <w:color w:val="000000" w:themeColor="text1"/>
                      <w:sz w:val="21"/>
                      <w:szCs w:val="21"/>
                      <w:highlight w:val="none"/>
                      <w:lang w:val="en-US" w:eastAsia="zh-CN"/>
                    </w:rPr>
                    <w:t>.2</w:t>
                  </w:r>
                </w:p>
              </w:tc>
            </w:tr>
            <w:tr w14:paraId="7A6F9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4" w:hRule="atLeast"/>
                <w:jc w:val="center"/>
              </w:trPr>
              <w:tc>
                <w:tcPr>
                  <w:tcW w:w="353" w:type="pct"/>
                  <w:vMerge w:val="continue"/>
                  <w:vAlign w:val="center"/>
                </w:tcPr>
                <w:p w14:paraId="46EF95A0">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p>
              </w:tc>
              <w:tc>
                <w:tcPr>
                  <w:tcW w:w="429" w:type="pct"/>
                  <w:vMerge w:val="continue"/>
                  <w:vAlign w:val="center"/>
                </w:tcPr>
                <w:p w14:paraId="23F3B730">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p>
              </w:tc>
              <w:tc>
                <w:tcPr>
                  <w:tcW w:w="835" w:type="pct"/>
                  <w:vAlign w:val="center"/>
                </w:tcPr>
                <w:p w14:paraId="42A2BE2B">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r>
                    <w:rPr>
                      <w:rFonts w:ascii="Times New Roman" w:hAnsi="Times New Roman" w:eastAsia="宋体" w:cs="Times New Roman"/>
                      <w:color w:val="000000" w:themeColor="text1"/>
                      <w:sz w:val="21"/>
                      <w:szCs w:val="21"/>
                      <w:highlight w:val="none"/>
                      <w:lang w:val="en-US" w:eastAsia="zh-CN"/>
                    </w:rPr>
                    <w:t>井筒掘进产生的岩石</w:t>
                  </w:r>
                </w:p>
              </w:tc>
              <w:tc>
                <w:tcPr>
                  <w:tcW w:w="2958" w:type="pct"/>
                  <w:vAlign w:val="center"/>
                </w:tcPr>
                <w:p w14:paraId="37720A3F">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bCs/>
                      <w:color w:val="000000" w:themeColor="text1"/>
                      <w:sz w:val="21"/>
                      <w:szCs w:val="21"/>
                      <w:highlight w:val="none"/>
                      <w:lang w:val="en-US" w:eastAsia="zh-CN" w:bidi="ar-SA"/>
                    </w:rPr>
                    <w:t>拉运至公沟煤矿外排土场</w:t>
                  </w:r>
                </w:p>
              </w:tc>
              <w:tc>
                <w:tcPr>
                  <w:tcW w:w="421" w:type="pct"/>
                  <w:vAlign w:val="center"/>
                </w:tcPr>
                <w:p w14:paraId="79A0F8BB">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10</w:t>
                  </w:r>
                </w:p>
              </w:tc>
            </w:tr>
            <w:tr w14:paraId="7E620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4" w:hRule="atLeast"/>
                <w:jc w:val="center"/>
              </w:trPr>
              <w:tc>
                <w:tcPr>
                  <w:tcW w:w="353" w:type="pct"/>
                  <w:vMerge w:val="continue"/>
                  <w:vAlign w:val="center"/>
                </w:tcPr>
                <w:p w14:paraId="639B4D13">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p>
              </w:tc>
              <w:tc>
                <w:tcPr>
                  <w:tcW w:w="429" w:type="pct"/>
                  <w:vMerge w:val="continue"/>
                  <w:vAlign w:val="center"/>
                </w:tcPr>
                <w:p w14:paraId="6D542C0B">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p>
              </w:tc>
              <w:tc>
                <w:tcPr>
                  <w:tcW w:w="835" w:type="pct"/>
                  <w:vAlign w:val="center"/>
                </w:tcPr>
                <w:p w14:paraId="7365367F">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r>
                    <w:rPr>
                      <w:rFonts w:ascii="Times New Roman" w:hAnsi="Times New Roman" w:eastAsia="宋体" w:cs="Times New Roman"/>
                      <w:color w:val="000000" w:themeColor="text1"/>
                      <w:sz w:val="21"/>
                      <w:szCs w:val="21"/>
                      <w:highlight w:val="none"/>
                      <w:lang w:val="en-US" w:eastAsia="zh-CN"/>
                    </w:rPr>
                    <w:t>建筑垃圾</w:t>
                  </w:r>
                </w:p>
              </w:tc>
              <w:tc>
                <w:tcPr>
                  <w:tcW w:w="2958" w:type="pct"/>
                  <w:vAlign w:val="center"/>
                </w:tcPr>
                <w:p w14:paraId="3E58C029">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r>
                    <w:rPr>
                      <w:rFonts w:ascii="Times New Roman" w:hAnsi="Times New Roman" w:eastAsia="宋体" w:cs="Times New Roman"/>
                      <w:color w:val="000000" w:themeColor="text1"/>
                      <w:sz w:val="21"/>
                      <w:szCs w:val="21"/>
                      <w:highlight w:val="none"/>
                      <w:lang w:val="en-US" w:eastAsia="zh-CN"/>
                    </w:rPr>
                    <w:t>送至当地建筑垃圾填埋场处置</w:t>
                  </w:r>
                </w:p>
              </w:tc>
              <w:tc>
                <w:tcPr>
                  <w:tcW w:w="421" w:type="pct"/>
                  <w:vAlign w:val="center"/>
                </w:tcPr>
                <w:p w14:paraId="1E33C5F1">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10</w:t>
                  </w:r>
                </w:p>
              </w:tc>
            </w:tr>
            <w:tr w14:paraId="2C78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3" w:hRule="atLeast"/>
                <w:jc w:val="center"/>
              </w:trPr>
              <w:tc>
                <w:tcPr>
                  <w:tcW w:w="353" w:type="pct"/>
                  <w:vMerge w:val="continue"/>
                  <w:vAlign w:val="center"/>
                </w:tcPr>
                <w:p w14:paraId="40DEF60F">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p>
              </w:tc>
              <w:tc>
                <w:tcPr>
                  <w:tcW w:w="429" w:type="pct"/>
                  <w:vAlign w:val="center"/>
                </w:tcPr>
                <w:p w14:paraId="3C90D83F">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r>
                    <w:rPr>
                      <w:rFonts w:ascii="Times New Roman" w:hAnsi="Times New Roman" w:eastAsia="宋体" w:cs="Times New Roman"/>
                      <w:color w:val="000000" w:themeColor="text1"/>
                      <w:sz w:val="21"/>
                      <w:szCs w:val="21"/>
                      <w:highlight w:val="none"/>
                      <w:lang w:val="en-US" w:eastAsia="zh-CN"/>
                    </w:rPr>
                    <w:t>运营期</w:t>
                  </w:r>
                </w:p>
              </w:tc>
              <w:tc>
                <w:tcPr>
                  <w:tcW w:w="835" w:type="pct"/>
                  <w:vAlign w:val="center"/>
                </w:tcPr>
                <w:p w14:paraId="6EB8D0B4">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r>
                    <w:rPr>
                      <w:rFonts w:ascii="Times New Roman" w:hAnsi="Times New Roman" w:eastAsia="宋体" w:cs="Times New Roman"/>
                      <w:color w:val="000000" w:themeColor="text1"/>
                      <w:sz w:val="21"/>
                      <w:szCs w:val="21"/>
                      <w:highlight w:val="none"/>
                      <w:lang w:val="en-US" w:eastAsia="zh-CN"/>
                    </w:rPr>
                    <w:t>废矿物油</w:t>
                  </w:r>
                </w:p>
              </w:tc>
              <w:tc>
                <w:tcPr>
                  <w:tcW w:w="2958" w:type="pct"/>
                  <w:vAlign w:val="center"/>
                </w:tcPr>
                <w:p w14:paraId="74B2D8AB">
                  <w:pPr>
                    <w:adjustRightInd w:val="0"/>
                    <w:snapToGrid w:val="0"/>
                    <w:jc w:val="center"/>
                    <w:rPr>
                      <w:color w:val="000000" w:themeColor="text1"/>
                      <w:szCs w:val="21"/>
                      <w:highlight w:val="none"/>
                    </w:rPr>
                  </w:pPr>
                  <w:r>
                    <w:rPr>
                      <w:color w:val="000000" w:themeColor="text1"/>
                      <w:szCs w:val="21"/>
                      <w:highlight w:val="none"/>
                    </w:rPr>
                    <w:t>暂存于煤矿现有危废库内，不在本项目场内暂存。</w:t>
                  </w:r>
                </w:p>
              </w:tc>
              <w:tc>
                <w:tcPr>
                  <w:tcW w:w="421" w:type="pct"/>
                  <w:vAlign w:val="center"/>
                </w:tcPr>
                <w:p w14:paraId="7E502B6C">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0</w:t>
                  </w:r>
                </w:p>
              </w:tc>
            </w:tr>
            <w:tr w14:paraId="356B4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8" w:hRule="atLeast"/>
                <w:jc w:val="center"/>
              </w:trPr>
              <w:tc>
                <w:tcPr>
                  <w:tcW w:w="1619" w:type="pct"/>
                  <w:gridSpan w:val="3"/>
                  <w:vAlign w:val="center"/>
                </w:tcPr>
                <w:p w14:paraId="4A2835DA">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r>
                    <w:rPr>
                      <w:rFonts w:ascii="Times New Roman" w:hAnsi="Times New Roman" w:eastAsia="宋体" w:cs="Times New Roman"/>
                      <w:color w:val="000000" w:themeColor="text1"/>
                      <w:sz w:val="21"/>
                      <w:szCs w:val="21"/>
                      <w:highlight w:val="none"/>
                    </w:rPr>
                    <w:t>生态</w:t>
                  </w:r>
                </w:p>
              </w:tc>
              <w:tc>
                <w:tcPr>
                  <w:tcW w:w="2958" w:type="pct"/>
                  <w:vAlign w:val="center"/>
                </w:tcPr>
                <w:p w14:paraId="13CF48CC">
                  <w:pPr>
                    <w:pStyle w:val="44"/>
                    <w:bidi w:val="0"/>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对施工扰动区域进行土地整治；风井场地外围撒播草籽</w:t>
                  </w:r>
                  <w:r>
                    <w:rPr>
                      <w:rFonts w:hint="eastAsia" w:ascii="Times New Roman" w:hAnsi="Times New Roman" w:eastAsia="宋体" w:cs="Times New Roman"/>
                      <w:color w:val="000000" w:themeColor="text1"/>
                      <w:sz w:val="21"/>
                      <w:szCs w:val="21"/>
                      <w:highlight w:val="none"/>
                      <w:lang w:val="en-US" w:eastAsia="zh-CN"/>
                    </w:rPr>
                    <w:t>栽植杨树</w:t>
                  </w:r>
                  <w:r>
                    <w:rPr>
                      <w:rFonts w:ascii="Times New Roman" w:hAnsi="Times New Roman" w:eastAsia="宋体" w:cs="Times New Roman"/>
                      <w:color w:val="000000" w:themeColor="text1"/>
                      <w:sz w:val="21"/>
                      <w:szCs w:val="21"/>
                      <w:highlight w:val="none"/>
                      <w:lang w:val="en-US" w:eastAsia="zh-CN"/>
                    </w:rPr>
                    <w:t>恢复植被，</w:t>
                  </w:r>
                  <w:r>
                    <w:rPr>
                      <w:rFonts w:hint="eastAsia" w:ascii="Times New Roman" w:hAnsi="Times New Roman" w:eastAsia="宋体" w:cs="Times New Roman"/>
                      <w:color w:val="000000" w:themeColor="text1"/>
                      <w:sz w:val="21"/>
                      <w:szCs w:val="21"/>
                      <w:highlight w:val="none"/>
                      <w:lang w:val="en-US" w:eastAsia="zh-CN"/>
                    </w:rPr>
                    <w:t>恢复</w:t>
                  </w:r>
                  <w:r>
                    <w:rPr>
                      <w:rFonts w:ascii="Times New Roman" w:hAnsi="Times New Roman" w:eastAsia="宋体" w:cs="Times New Roman"/>
                      <w:color w:val="000000" w:themeColor="text1"/>
                      <w:sz w:val="21"/>
                      <w:szCs w:val="21"/>
                      <w:highlight w:val="none"/>
                      <w:lang w:val="en-US" w:eastAsia="zh-CN"/>
                    </w:rPr>
                    <w:t>面积为1000m</w:t>
                  </w:r>
                  <w:r>
                    <w:rPr>
                      <w:rFonts w:ascii="Times New Roman" w:hAnsi="Times New Roman" w:eastAsia="宋体" w:cs="Times New Roman"/>
                      <w:color w:val="000000" w:themeColor="text1"/>
                      <w:sz w:val="21"/>
                      <w:szCs w:val="21"/>
                      <w:highlight w:val="none"/>
                      <w:vertAlign w:val="superscript"/>
                      <w:lang w:val="en-US" w:eastAsia="zh-CN"/>
                    </w:rPr>
                    <w:t>2</w:t>
                  </w:r>
                  <w:r>
                    <w:rPr>
                      <w:rFonts w:ascii="Times New Roman" w:hAnsi="Times New Roman" w:eastAsia="宋体" w:cs="Times New Roman"/>
                      <w:color w:val="000000" w:themeColor="text1"/>
                      <w:sz w:val="21"/>
                      <w:szCs w:val="21"/>
                      <w:highlight w:val="none"/>
                      <w:lang w:val="en-US" w:eastAsia="zh-CN"/>
                    </w:rPr>
                    <w:t>，其中栽植杨树20株，撒播百里香草籽30kg。</w:t>
                  </w:r>
                </w:p>
              </w:tc>
              <w:tc>
                <w:tcPr>
                  <w:tcW w:w="421" w:type="pct"/>
                  <w:vAlign w:val="center"/>
                </w:tcPr>
                <w:p w14:paraId="3746F745">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20</w:t>
                  </w:r>
                </w:p>
              </w:tc>
            </w:tr>
            <w:tr w14:paraId="62FF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8" w:hRule="atLeast"/>
                <w:jc w:val="center"/>
              </w:trPr>
              <w:tc>
                <w:tcPr>
                  <w:tcW w:w="1619" w:type="pct"/>
                  <w:gridSpan w:val="3"/>
                  <w:vAlign w:val="center"/>
                </w:tcPr>
                <w:p w14:paraId="5876EB86">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eastAsia="zh-CN"/>
                    </w:rPr>
                  </w:pPr>
                  <w:r>
                    <w:rPr>
                      <w:rFonts w:ascii="Times New Roman" w:hAnsi="Times New Roman" w:eastAsia="宋体" w:cs="Times New Roman"/>
                      <w:color w:val="000000" w:themeColor="text1"/>
                      <w:sz w:val="21"/>
                      <w:szCs w:val="21"/>
                      <w:highlight w:val="none"/>
                      <w:lang w:val="en-US" w:eastAsia="zh-CN"/>
                    </w:rPr>
                    <w:t>绿化</w:t>
                  </w:r>
                </w:p>
              </w:tc>
              <w:tc>
                <w:tcPr>
                  <w:tcW w:w="2958" w:type="pct"/>
                  <w:vAlign w:val="center"/>
                </w:tcPr>
                <w:p w14:paraId="2E1D6E7D">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bidi="ar-SA"/>
                    </w:rPr>
                    <w:t>对风井场地</w:t>
                  </w:r>
                  <w:r>
                    <w:rPr>
                      <w:rFonts w:hint="eastAsia" w:ascii="Times New Roman" w:hAnsi="Times New Roman" w:eastAsia="宋体" w:cs="Times New Roman"/>
                      <w:color w:val="000000" w:themeColor="text1"/>
                      <w:sz w:val="21"/>
                      <w:szCs w:val="21"/>
                      <w:highlight w:val="none"/>
                      <w:lang w:val="en-US" w:eastAsia="zh-CN" w:bidi="ar-SA"/>
                    </w:rPr>
                    <w:t>内</w:t>
                  </w:r>
                  <w:r>
                    <w:rPr>
                      <w:rFonts w:ascii="Times New Roman" w:hAnsi="Times New Roman" w:eastAsia="宋体" w:cs="Times New Roman"/>
                      <w:color w:val="000000" w:themeColor="text1"/>
                      <w:sz w:val="21"/>
                      <w:szCs w:val="21"/>
                      <w:highlight w:val="none"/>
                      <w:lang w:val="en-US" w:eastAsia="zh-CN" w:bidi="ar-SA"/>
                    </w:rPr>
                    <w:t>进行植树种草绿化，绿化面积为3000m</w:t>
                  </w:r>
                  <w:r>
                    <w:rPr>
                      <w:rFonts w:ascii="Times New Roman" w:hAnsi="Times New Roman" w:eastAsia="宋体" w:cs="Times New Roman"/>
                      <w:color w:val="000000" w:themeColor="text1"/>
                      <w:sz w:val="21"/>
                      <w:szCs w:val="21"/>
                      <w:highlight w:val="none"/>
                      <w:vertAlign w:val="superscript"/>
                      <w:lang w:val="en-US" w:eastAsia="zh-CN" w:bidi="ar-SA"/>
                    </w:rPr>
                    <w:t>2</w:t>
                  </w:r>
                  <w:r>
                    <w:rPr>
                      <w:rFonts w:ascii="Times New Roman" w:hAnsi="Times New Roman" w:eastAsia="宋体" w:cs="Times New Roman"/>
                      <w:color w:val="000000" w:themeColor="text1"/>
                      <w:sz w:val="21"/>
                      <w:szCs w:val="21"/>
                      <w:highlight w:val="none"/>
                      <w:lang w:val="en-US" w:eastAsia="zh-CN" w:bidi="ar-SA"/>
                    </w:rPr>
                    <w:t>；栽植种类主要为松树、高羊茅草。</w:t>
                  </w:r>
                </w:p>
              </w:tc>
              <w:tc>
                <w:tcPr>
                  <w:tcW w:w="421" w:type="pct"/>
                  <w:vAlign w:val="center"/>
                </w:tcPr>
                <w:p w14:paraId="64A20E45">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rPr>
                  </w:pPr>
                  <w:r>
                    <w:rPr>
                      <w:rFonts w:ascii="Times New Roman" w:hAnsi="Times New Roman" w:eastAsia="宋体" w:cs="Times New Roman"/>
                      <w:color w:val="000000" w:themeColor="text1"/>
                      <w:sz w:val="21"/>
                      <w:szCs w:val="21"/>
                      <w:highlight w:val="none"/>
                      <w:lang w:val="en-US" w:eastAsia="zh-CN"/>
                    </w:rPr>
                    <w:t>30</w:t>
                  </w:r>
                </w:p>
              </w:tc>
            </w:tr>
            <w:tr w14:paraId="31295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32" w:hRule="atLeast"/>
                <w:jc w:val="center"/>
              </w:trPr>
              <w:tc>
                <w:tcPr>
                  <w:tcW w:w="4578" w:type="pct"/>
                  <w:gridSpan w:val="4"/>
                  <w:vAlign w:val="center"/>
                </w:tcPr>
                <w:p w14:paraId="2461EDAD">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rPr>
                  </w:pPr>
                  <w:r>
                    <w:rPr>
                      <w:rFonts w:ascii="Times New Roman" w:hAnsi="Times New Roman" w:eastAsia="宋体" w:cs="Times New Roman"/>
                      <w:color w:val="000000" w:themeColor="text1"/>
                      <w:sz w:val="21"/>
                      <w:szCs w:val="21"/>
                      <w:highlight w:val="none"/>
                    </w:rPr>
                    <w:t>合计</w:t>
                  </w:r>
                  <w:r>
                    <w:rPr>
                      <w:rFonts w:ascii="Times New Roman" w:hAnsi="Times New Roman" w:eastAsia="宋体" w:cs="Times New Roman"/>
                      <w:color w:val="000000" w:themeColor="text1"/>
                      <w:sz w:val="21"/>
                      <w:szCs w:val="21"/>
                      <w:highlight w:val="none"/>
                      <w:lang w:eastAsia="zh-CN"/>
                    </w:rPr>
                    <w:t>（</w:t>
                  </w:r>
                  <w:r>
                    <w:rPr>
                      <w:rFonts w:ascii="Times New Roman" w:hAnsi="Times New Roman" w:eastAsia="宋体" w:cs="Times New Roman"/>
                      <w:color w:val="000000" w:themeColor="text1"/>
                      <w:sz w:val="21"/>
                      <w:szCs w:val="21"/>
                      <w:highlight w:val="none"/>
                    </w:rPr>
                    <w:t>万元）</w:t>
                  </w:r>
                </w:p>
              </w:tc>
              <w:tc>
                <w:tcPr>
                  <w:tcW w:w="421" w:type="pct"/>
                  <w:vAlign w:val="center"/>
                </w:tcPr>
                <w:p w14:paraId="22843A7F">
                  <w:pPr>
                    <w:pStyle w:val="48"/>
                    <w:adjustRightInd w:val="0"/>
                    <w:snapToGrid w:val="0"/>
                    <w:spacing w:line="240" w:lineRule="atLeast"/>
                    <w:jc w:val="center"/>
                    <w:rPr>
                      <w:rFonts w:ascii="Times New Roman" w:hAnsi="Times New Roman" w:eastAsia="宋体" w:cs="Times New Roman"/>
                      <w:color w:val="000000" w:themeColor="text1"/>
                      <w:sz w:val="21"/>
                      <w:szCs w:val="21"/>
                      <w:highlight w:val="none"/>
                      <w:lang w:val="en-US" w:eastAsia="zh-CN" w:bidi="en-US"/>
                    </w:rPr>
                  </w:pPr>
                  <w:r>
                    <w:rPr>
                      <w:rFonts w:ascii="Times New Roman" w:hAnsi="Times New Roman" w:eastAsia="宋体" w:cs="Times New Roman"/>
                      <w:color w:val="000000" w:themeColor="text1"/>
                      <w:sz w:val="21"/>
                      <w:szCs w:val="21"/>
                      <w:highlight w:val="none"/>
                      <w:lang w:val="en-US" w:eastAsia="zh-CN" w:bidi="en-US"/>
                    </w:rPr>
                    <w:t>117</w:t>
                  </w:r>
                </w:p>
              </w:tc>
            </w:tr>
          </w:tbl>
          <w:p w14:paraId="07BBF591">
            <w:pPr>
              <w:adjustRightInd w:val="0"/>
              <w:snapToGrid w:val="0"/>
              <w:rPr>
                <w:rFonts w:ascii="宋体" w:hAnsi="宋体" w:cs="宋体"/>
                <w:bCs/>
                <w:color w:val="000000" w:themeColor="text1"/>
                <w:spacing w:val="10"/>
                <w:szCs w:val="21"/>
                <w:highlight w:val="none"/>
              </w:rPr>
            </w:pPr>
          </w:p>
          <w:p w14:paraId="69C60095">
            <w:pPr>
              <w:pStyle w:val="25"/>
              <w:ind w:firstLine="230"/>
              <w:rPr>
                <w:rFonts w:ascii="宋体" w:hAnsi="宋体" w:cs="宋体"/>
                <w:bCs/>
                <w:color w:val="000000" w:themeColor="text1"/>
                <w:spacing w:val="10"/>
                <w:szCs w:val="21"/>
                <w:highlight w:val="none"/>
              </w:rPr>
            </w:pPr>
          </w:p>
          <w:p w14:paraId="65C1F457">
            <w:pPr>
              <w:rPr>
                <w:rFonts w:ascii="宋体" w:hAnsi="宋体" w:cs="宋体"/>
                <w:bCs/>
                <w:color w:val="000000" w:themeColor="text1"/>
                <w:spacing w:val="10"/>
                <w:szCs w:val="21"/>
                <w:highlight w:val="none"/>
              </w:rPr>
            </w:pPr>
          </w:p>
          <w:p w14:paraId="39833375">
            <w:pPr>
              <w:pStyle w:val="25"/>
              <w:ind w:firstLine="210"/>
              <w:rPr>
                <w:color w:val="000000" w:themeColor="text1"/>
                <w:highlight w:val="none"/>
              </w:rPr>
            </w:pPr>
          </w:p>
        </w:tc>
      </w:tr>
    </w:tbl>
    <w:p w14:paraId="3FD4FEB0">
      <w:pPr>
        <w:rPr>
          <w:color w:val="000000" w:themeColor="text1"/>
          <w:highlight w:val="none"/>
        </w:rPr>
        <w:sectPr>
          <w:pgSz w:w="11907" w:h="16840"/>
          <w:pgMar w:top="1440" w:right="1797" w:bottom="1440" w:left="1797" w:header="851" w:footer="1077" w:gutter="0"/>
          <w:cols w:space="720" w:num="1"/>
          <w:docGrid w:linePitch="312" w:charSpace="0"/>
        </w:sectPr>
      </w:pPr>
    </w:p>
    <w:p w14:paraId="1CE96590">
      <w:pPr>
        <w:pStyle w:val="23"/>
        <w:jc w:val="center"/>
        <w:outlineLvl w:val="0"/>
        <w:rPr>
          <w:rFonts w:ascii="黑体" w:hAnsi="黑体" w:eastAsia="黑体"/>
          <w:snapToGrid w:val="0"/>
          <w:color w:val="000000" w:themeColor="text1"/>
          <w:sz w:val="30"/>
          <w:szCs w:val="30"/>
          <w:highlight w:val="none"/>
        </w:rPr>
      </w:pPr>
      <w:r>
        <w:rPr>
          <w:rFonts w:hint="eastAsia" w:ascii="黑体" w:hAnsi="黑体" w:eastAsia="黑体"/>
          <w:snapToGrid w:val="0"/>
          <w:color w:val="000000" w:themeColor="text1"/>
          <w:sz w:val="30"/>
          <w:szCs w:val="30"/>
          <w:highlight w:val="none"/>
        </w:rPr>
        <w:t>六、生态环境保护措施监督检查清单</w:t>
      </w:r>
    </w:p>
    <w:tbl>
      <w:tblPr>
        <w:tblStyle w:val="26"/>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900"/>
        <w:gridCol w:w="5024"/>
        <w:gridCol w:w="1994"/>
        <w:gridCol w:w="3456"/>
        <w:gridCol w:w="1800"/>
      </w:tblGrid>
      <w:tr w14:paraId="76FC39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vMerge w:val="restart"/>
            <w:tcBorders>
              <w:tl2br w:val="single" w:color="auto" w:sz="4" w:space="0"/>
            </w:tcBorders>
            <w:vAlign w:val="center"/>
          </w:tcPr>
          <w:p w14:paraId="2E274CE6">
            <w:pPr>
              <w:pStyle w:val="23"/>
              <w:adjustRightInd w:val="0"/>
              <w:snapToGrid w:val="0"/>
              <w:spacing w:beforeLines="30" w:beforeAutospacing="0" w:after="0" w:afterAutospacing="0"/>
              <w:jc w:val="center"/>
              <w:outlineLvl w:val="0"/>
              <w:rPr>
                <w:rFonts w:ascii="黑体" w:hAnsi="黑体" w:eastAsia="黑体" w:cs="宋体"/>
                <w:color w:val="000000" w:themeColor="text1"/>
                <w:kern w:val="2"/>
                <w:sz w:val="21"/>
                <w:szCs w:val="21"/>
                <w:highlight w:val="none"/>
              </w:rPr>
            </w:pPr>
            <w:r>
              <w:rPr>
                <w:rFonts w:hint="eastAsia" w:ascii="黑体" w:hAnsi="黑体" w:eastAsia="黑体" w:cs="宋体"/>
                <w:color w:val="000000" w:themeColor="text1"/>
                <w:kern w:val="2"/>
                <w:sz w:val="21"/>
                <w:szCs w:val="21"/>
                <w:highlight w:val="none"/>
              </w:rPr>
              <w:t xml:space="preserve">       </w:t>
            </w:r>
          </w:p>
          <w:p w14:paraId="524934C8">
            <w:pPr>
              <w:pStyle w:val="23"/>
              <w:adjustRightInd w:val="0"/>
              <w:snapToGrid w:val="0"/>
              <w:spacing w:beforeLines="30" w:beforeAutospacing="0" w:after="0" w:afterAutospacing="0"/>
              <w:jc w:val="center"/>
              <w:outlineLvl w:val="0"/>
              <w:rPr>
                <w:rFonts w:ascii="黑体" w:hAnsi="黑体" w:eastAsia="黑体" w:cs="宋体"/>
                <w:color w:val="000000" w:themeColor="text1"/>
                <w:kern w:val="2"/>
                <w:sz w:val="21"/>
                <w:szCs w:val="21"/>
                <w:highlight w:val="none"/>
              </w:rPr>
            </w:pPr>
            <w:r>
              <w:rPr>
                <w:rFonts w:hint="eastAsia" w:ascii="黑体" w:hAnsi="黑体" w:eastAsia="黑体" w:cs="宋体"/>
                <w:color w:val="000000" w:themeColor="text1"/>
                <w:kern w:val="2"/>
                <w:sz w:val="21"/>
                <w:szCs w:val="21"/>
                <w:highlight w:val="none"/>
              </w:rPr>
              <w:t xml:space="preserve">       内容</w:t>
            </w:r>
          </w:p>
          <w:p w14:paraId="26311DB3">
            <w:pPr>
              <w:pStyle w:val="23"/>
              <w:adjustRightInd w:val="0"/>
              <w:snapToGrid w:val="0"/>
              <w:spacing w:before="0" w:beforeAutospacing="0" w:after="0" w:afterAutospacing="0" w:line="14" w:lineRule="auto"/>
              <w:outlineLvl w:val="0"/>
              <w:rPr>
                <w:rFonts w:ascii="黑体" w:hAnsi="黑体" w:eastAsia="黑体" w:cs="宋体"/>
                <w:color w:val="000000" w:themeColor="text1"/>
                <w:kern w:val="2"/>
                <w:sz w:val="135"/>
                <w:szCs w:val="21"/>
                <w:highlight w:val="none"/>
              </w:rPr>
            </w:pPr>
            <w:r>
              <w:rPr>
                <w:rFonts w:hint="eastAsia" w:ascii="黑体" w:hAnsi="黑体" w:eastAsia="黑体" w:cs="宋体"/>
                <w:color w:val="000000" w:themeColor="text1"/>
                <w:kern w:val="2"/>
                <w:sz w:val="21"/>
                <w:szCs w:val="21"/>
                <w:highlight w:val="none"/>
              </w:rPr>
              <w:t xml:space="preserve"> </w:t>
            </w:r>
            <w:r>
              <w:rPr>
                <w:rFonts w:hint="eastAsia" w:ascii="黑体" w:hAnsi="黑体" w:eastAsia="黑体" w:cs="宋体"/>
                <w:color w:val="000000" w:themeColor="text1"/>
                <w:kern w:val="2"/>
                <w:sz w:val="135"/>
                <w:szCs w:val="21"/>
                <w:highlight w:val="none"/>
              </w:rPr>
              <w:t xml:space="preserve"> </w:t>
            </w:r>
          </w:p>
          <w:p w14:paraId="7DF87BF9">
            <w:pPr>
              <w:pStyle w:val="23"/>
              <w:adjustRightInd w:val="0"/>
              <w:snapToGrid w:val="0"/>
              <w:spacing w:before="0" w:beforeAutospacing="0" w:after="0" w:afterAutospacing="0"/>
              <w:outlineLvl w:val="0"/>
              <w:rPr>
                <w:rFonts w:ascii="黑体" w:hAnsi="黑体" w:eastAsia="黑体" w:cs="宋体"/>
                <w:color w:val="000000" w:themeColor="text1"/>
                <w:kern w:val="2"/>
                <w:sz w:val="21"/>
                <w:szCs w:val="21"/>
                <w:highlight w:val="none"/>
              </w:rPr>
            </w:pPr>
            <w:r>
              <w:rPr>
                <w:rFonts w:hint="eastAsia" w:ascii="黑体" w:hAnsi="黑体" w:eastAsia="黑体" w:cs="宋体"/>
                <w:color w:val="000000" w:themeColor="text1"/>
                <w:kern w:val="2"/>
                <w:sz w:val="21"/>
                <w:szCs w:val="21"/>
                <w:highlight w:val="none"/>
              </w:rPr>
              <w:t>要素</w:t>
            </w:r>
          </w:p>
        </w:tc>
        <w:tc>
          <w:tcPr>
            <w:tcW w:w="2475" w:type="pct"/>
            <w:gridSpan w:val="2"/>
            <w:vAlign w:val="center"/>
          </w:tcPr>
          <w:p w14:paraId="49810B94">
            <w:pPr>
              <w:pStyle w:val="23"/>
              <w:adjustRightInd w:val="0"/>
              <w:snapToGrid w:val="0"/>
              <w:spacing w:before="0" w:beforeAutospacing="0" w:after="0" w:afterAutospacing="0"/>
              <w:jc w:val="center"/>
              <w:outlineLvl w:val="0"/>
              <w:rPr>
                <w:rFonts w:ascii="黑体" w:hAnsi="黑体" w:eastAsia="黑体" w:cs="宋体"/>
                <w:color w:val="000000" w:themeColor="text1"/>
                <w:kern w:val="2"/>
                <w:sz w:val="21"/>
                <w:szCs w:val="21"/>
                <w:highlight w:val="none"/>
              </w:rPr>
            </w:pPr>
            <w:r>
              <w:rPr>
                <w:rFonts w:hint="eastAsia" w:ascii="黑体" w:hAnsi="黑体" w:eastAsia="黑体" w:cs="宋体"/>
                <w:color w:val="000000" w:themeColor="text1"/>
                <w:kern w:val="2"/>
                <w:sz w:val="21"/>
                <w:szCs w:val="21"/>
                <w:highlight w:val="none"/>
              </w:rPr>
              <w:t>施工期</w:t>
            </w:r>
          </w:p>
        </w:tc>
        <w:tc>
          <w:tcPr>
            <w:tcW w:w="1854" w:type="pct"/>
            <w:gridSpan w:val="2"/>
            <w:vAlign w:val="center"/>
          </w:tcPr>
          <w:p w14:paraId="55F0EE31">
            <w:pPr>
              <w:pStyle w:val="23"/>
              <w:adjustRightInd w:val="0"/>
              <w:snapToGrid w:val="0"/>
              <w:spacing w:before="0" w:beforeAutospacing="0" w:after="0" w:afterAutospacing="0"/>
              <w:jc w:val="center"/>
              <w:outlineLvl w:val="0"/>
              <w:rPr>
                <w:rFonts w:ascii="黑体" w:hAnsi="黑体" w:eastAsia="黑体" w:cs="宋体"/>
                <w:color w:val="000000" w:themeColor="text1"/>
                <w:kern w:val="2"/>
                <w:sz w:val="21"/>
                <w:szCs w:val="21"/>
                <w:highlight w:val="none"/>
              </w:rPr>
            </w:pPr>
            <w:r>
              <w:rPr>
                <w:rFonts w:hint="eastAsia" w:ascii="黑体" w:hAnsi="黑体" w:eastAsia="黑体" w:cs="宋体"/>
                <w:color w:val="000000" w:themeColor="text1"/>
                <w:kern w:val="2"/>
                <w:sz w:val="21"/>
                <w:szCs w:val="21"/>
                <w:highlight w:val="none"/>
              </w:rPr>
              <w:t>运营期</w:t>
            </w:r>
          </w:p>
        </w:tc>
      </w:tr>
      <w:tr w14:paraId="3636BC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vMerge w:val="continue"/>
            <w:vAlign w:val="center"/>
          </w:tcPr>
          <w:p w14:paraId="0A6602A6">
            <w:pPr>
              <w:pStyle w:val="23"/>
              <w:adjustRightInd w:val="0"/>
              <w:snapToGrid w:val="0"/>
              <w:spacing w:before="0" w:beforeAutospacing="0" w:after="0" w:afterAutospacing="0"/>
              <w:ind w:firstLine="840"/>
              <w:jc w:val="center"/>
              <w:outlineLvl w:val="0"/>
              <w:rPr>
                <w:rFonts w:ascii="黑体" w:hAnsi="黑体" w:eastAsia="黑体" w:cs="宋体"/>
                <w:color w:val="000000" w:themeColor="text1"/>
                <w:kern w:val="2"/>
                <w:sz w:val="21"/>
                <w:szCs w:val="21"/>
                <w:highlight w:val="none"/>
              </w:rPr>
            </w:pPr>
          </w:p>
        </w:tc>
        <w:tc>
          <w:tcPr>
            <w:tcW w:w="1772" w:type="pct"/>
            <w:vAlign w:val="center"/>
          </w:tcPr>
          <w:p w14:paraId="64AB4B89">
            <w:pPr>
              <w:pStyle w:val="23"/>
              <w:adjustRightInd w:val="0"/>
              <w:snapToGrid w:val="0"/>
              <w:spacing w:before="0" w:beforeAutospacing="0" w:after="0" w:afterAutospacing="0"/>
              <w:jc w:val="center"/>
              <w:outlineLvl w:val="0"/>
              <w:rPr>
                <w:rFonts w:ascii="黑体" w:hAnsi="黑体" w:eastAsia="黑体" w:cs="宋体"/>
                <w:color w:val="000000" w:themeColor="text1"/>
                <w:kern w:val="2"/>
                <w:sz w:val="21"/>
                <w:szCs w:val="21"/>
                <w:highlight w:val="none"/>
              </w:rPr>
            </w:pPr>
            <w:r>
              <w:rPr>
                <w:rFonts w:hint="eastAsia" w:ascii="黑体" w:hAnsi="黑体" w:eastAsia="黑体" w:cs="宋体"/>
                <w:color w:val="000000" w:themeColor="text1"/>
                <w:kern w:val="2"/>
                <w:sz w:val="21"/>
                <w:szCs w:val="21"/>
                <w:highlight w:val="none"/>
              </w:rPr>
              <w:t>环境保护措施</w:t>
            </w:r>
          </w:p>
        </w:tc>
        <w:tc>
          <w:tcPr>
            <w:tcW w:w="702" w:type="pct"/>
            <w:vAlign w:val="center"/>
          </w:tcPr>
          <w:p w14:paraId="61F46478">
            <w:pPr>
              <w:pStyle w:val="23"/>
              <w:adjustRightInd w:val="0"/>
              <w:snapToGrid w:val="0"/>
              <w:spacing w:before="0" w:beforeAutospacing="0" w:after="0" w:afterAutospacing="0"/>
              <w:jc w:val="center"/>
              <w:outlineLvl w:val="0"/>
              <w:rPr>
                <w:rFonts w:ascii="黑体" w:hAnsi="黑体" w:eastAsia="黑体" w:cs="宋体"/>
                <w:color w:val="000000" w:themeColor="text1"/>
                <w:kern w:val="2"/>
                <w:sz w:val="21"/>
                <w:szCs w:val="21"/>
                <w:highlight w:val="none"/>
              </w:rPr>
            </w:pPr>
            <w:r>
              <w:rPr>
                <w:rFonts w:hint="eastAsia" w:ascii="黑体" w:hAnsi="黑体" w:eastAsia="黑体" w:cs="宋体"/>
                <w:color w:val="000000" w:themeColor="text1"/>
                <w:kern w:val="2"/>
                <w:sz w:val="21"/>
                <w:szCs w:val="21"/>
                <w:highlight w:val="none"/>
              </w:rPr>
              <w:t>验收要求</w:t>
            </w:r>
          </w:p>
        </w:tc>
        <w:tc>
          <w:tcPr>
            <w:tcW w:w="1219" w:type="pct"/>
            <w:vAlign w:val="center"/>
          </w:tcPr>
          <w:p w14:paraId="1585E9AB">
            <w:pPr>
              <w:pStyle w:val="23"/>
              <w:adjustRightInd w:val="0"/>
              <w:snapToGrid w:val="0"/>
              <w:spacing w:before="0" w:beforeAutospacing="0" w:after="0" w:afterAutospacing="0"/>
              <w:jc w:val="center"/>
              <w:outlineLvl w:val="0"/>
              <w:rPr>
                <w:rFonts w:ascii="黑体" w:hAnsi="黑体" w:eastAsia="黑体" w:cs="宋体"/>
                <w:color w:val="000000" w:themeColor="text1"/>
                <w:kern w:val="2"/>
                <w:sz w:val="21"/>
                <w:szCs w:val="21"/>
                <w:highlight w:val="none"/>
              </w:rPr>
            </w:pPr>
            <w:r>
              <w:rPr>
                <w:rFonts w:hint="eastAsia" w:ascii="黑体" w:hAnsi="黑体" w:eastAsia="黑体" w:cs="宋体"/>
                <w:color w:val="000000" w:themeColor="text1"/>
                <w:kern w:val="2"/>
                <w:sz w:val="21"/>
                <w:szCs w:val="21"/>
                <w:highlight w:val="none"/>
              </w:rPr>
              <w:t>环境保护措施</w:t>
            </w:r>
          </w:p>
        </w:tc>
        <w:tc>
          <w:tcPr>
            <w:tcW w:w="634" w:type="pct"/>
            <w:vAlign w:val="center"/>
          </w:tcPr>
          <w:p w14:paraId="45BDFFA7">
            <w:pPr>
              <w:pStyle w:val="23"/>
              <w:adjustRightInd w:val="0"/>
              <w:snapToGrid w:val="0"/>
              <w:spacing w:before="0" w:beforeAutospacing="0" w:after="0" w:afterAutospacing="0"/>
              <w:jc w:val="center"/>
              <w:outlineLvl w:val="0"/>
              <w:rPr>
                <w:rFonts w:ascii="黑体" w:hAnsi="黑体" w:eastAsia="黑体" w:cs="宋体"/>
                <w:color w:val="000000" w:themeColor="text1"/>
                <w:kern w:val="2"/>
                <w:sz w:val="21"/>
                <w:szCs w:val="21"/>
                <w:highlight w:val="none"/>
              </w:rPr>
            </w:pPr>
            <w:r>
              <w:rPr>
                <w:rFonts w:hint="eastAsia" w:ascii="黑体" w:hAnsi="黑体" w:eastAsia="黑体" w:cs="宋体"/>
                <w:color w:val="000000" w:themeColor="text1"/>
                <w:kern w:val="2"/>
                <w:sz w:val="21"/>
                <w:szCs w:val="21"/>
                <w:highlight w:val="none"/>
              </w:rPr>
              <w:t>验收要求</w:t>
            </w:r>
          </w:p>
        </w:tc>
      </w:tr>
      <w:tr w14:paraId="15A786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vAlign w:val="center"/>
          </w:tcPr>
          <w:p w14:paraId="508BEFE4">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陆生生态</w:t>
            </w:r>
          </w:p>
        </w:tc>
        <w:tc>
          <w:tcPr>
            <w:tcW w:w="1772" w:type="pct"/>
            <w:vAlign w:val="center"/>
          </w:tcPr>
          <w:p w14:paraId="62D4262B">
            <w:pPr>
              <w:pStyle w:val="35"/>
              <w:ind w:firstLine="420"/>
              <w:rPr>
                <w:color w:val="000000" w:themeColor="text1"/>
                <w:highlight w:val="none"/>
              </w:rPr>
            </w:pPr>
            <w:r>
              <w:rPr>
                <w:rFonts w:ascii="宋体" w:hAnsi="宋体" w:cs="宋体"/>
                <w:color w:val="000000" w:themeColor="text1"/>
                <w:szCs w:val="21"/>
                <w:highlight w:val="none"/>
              </w:rPr>
              <w:t>工程施工加强管理，必须划定施工范围，各种施工活动应严格控制在施工区域内，场地平整过程中，表层熟土应剥离保存供后续绿化、复垦使用</w:t>
            </w:r>
            <w:r>
              <w:rPr>
                <w:rFonts w:hint="eastAsia" w:ascii="宋体" w:hAnsi="宋体" w:cs="宋体"/>
                <w:color w:val="000000" w:themeColor="text1"/>
                <w:szCs w:val="21"/>
                <w:highlight w:val="none"/>
              </w:rPr>
              <w:t>。</w:t>
            </w:r>
            <w:r>
              <w:rPr>
                <w:rFonts w:ascii="宋体" w:hAnsi="宋体" w:cs="宋体"/>
                <w:color w:val="000000" w:themeColor="text1"/>
                <w:szCs w:val="21"/>
                <w:highlight w:val="none"/>
              </w:rPr>
              <w:t>临时堆土采用彩钢板进行拦挡，覆盖防尘网，洒水降尘。施工结束后，对施工扰动区域进行土地整治，</w:t>
            </w:r>
            <w:r>
              <w:rPr>
                <w:rFonts w:hint="eastAsia" w:ascii="宋体" w:hAnsi="宋体" w:cs="宋体"/>
                <w:color w:val="000000" w:themeColor="text1"/>
                <w:szCs w:val="21"/>
                <w:highlight w:val="none"/>
              </w:rPr>
              <w:t>厂区植树种草绿化。做好水土保持措施</w:t>
            </w:r>
          </w:p>
        </w:tc>
        <w:tc>
          <w:tcPr>
            <w:tcW w:w="702" w:type="pct"/>
            <w:vAlign w:val="center"/>
          </w:tcPr>
          <w:p w14:paraId="3DDF0672">
            <w:pPr>
              <w:adjustRightInd w:val="0"/>
              <w:snapToGrid w:val="0"/>
              <w:jc w:val="center"/>
              <w:rPr>
                <w:rFonts w:ascii="宋体" w:hAnsi="宋体" w:cs="宋体"/>
                <w:color w:val="000000" w:themeColor="text1"/>
                <w:szCs w:val="21"/>
                <w:highlight w:val="none"/>
              </w:rPr>
            </w:pPr>
            <w:r>
              <w:rPr>
                <w:rFonts w:hint="eastAsia"/>
                <w:color w:val="000000" w:themeColor="text1"/>
                <w:szCs w:val="21"/>
                <w:highlight w:val="none"/>
              </w:rPr>
              <w:t>严格控制施工区域，不另外新增临时占地</w:t>
            </w:r>
          </w:p>
        </w:tc>
        <w:tc>
          <w:tcPr>
            <w:tcW w:w="1219" w:type="pct"/>
            <w:vAlign w:val="center"/>
          </w:tcPr>
          <w:p w14:paraId="466C92BA">
            <w:pPr>
              <w:adjustRightInd w:val="0"/>
              <w:snapToGrid w:val="0"/>
              <w:jc w:val="center"/>
              <w:rPr>
                <w:color w:val="000000" w:themeColor="text1"/>
                <w:highlight w:val="none"/>
              </w:rPr>
            </w:pPr>
            <w:r>
              <w:rPr>
                <w:rFonts w:hint="eastAsia"/>
                <w:color w:val="000000" w:themeColor="text1"/>
                <w:highlight w:val="none"/>
              </w:rPr>
              <w:t>/</w:t>
            </w:r>
          </w:p>
        </w:tc>
        <w:tc>
          <w:tcPr>
            <w:tcW w:w="634" w:type="pct"/>
            <w:vAlign w:val="center"/>
          </w:tcPr>
          <w:p w14:paraId="1DD2F8DD">
            <w:pPr>
              <w:adjustRightInd w:val="0"/>
              <w:snapToGrid w:val="0"/>
              <w:jc w:val="center"/>
              <w:rPr>
                <w:rFonts w:ascii="宋体" w:hAnsi="宋体" w:cs="宋体"/>
                <w:color w:val="000000" w:themeColor="text1"/>
                <w:szCs w:val="21"/>
                <w:highlight w:val="none"/>
              </w:rPr>
            </w:pPr>
            <w:r>
              <w:rPr>
                <w:rFonts w:hint="eastAsia"/>
                <w:color w:val="000000" w:themeColor="text1"/>
                <w:highlight w:val="none"/>
              </w:rPr>
              <w:t>/</w:t>
            </w:r>
          </w:p>
        </w:tc>
      </w:tr>
      <w:tr w14:paraId="393914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670" w:type="pct"/>
            <w:vAlign w:val="center"/>
          </w:tcPr>
          <w:p w14:paraId="6C8CFBAD">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水生生态</w:t>
            </w:r>
          </w:p>
        </w:tc>
        <w:tc>
          <w:tcPr>
            <w:tcW w:w="1772" w:type="pct"/>
            <w:vAlign w:val="center"/>
          </w:tcPr>
          <w:p w14:paraId="3F9C0634">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702" w:type="pct"/>
            <w:vAlign w:val="center"/>
          </w:tcPr>
          <w:p w14:paraId="23E9053A">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1219" w:type="pct"/>
            <w:vAlign w:val="center"/>
          </w:tcPr>
          <w:p w14:paraId="7D2C9268">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634" w:type="pct"/>
            <w:vAlign w:val="center"/>
          </w:tcPr>
          <w:p w14:paraId="7E8BAAC2">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r>
      <w:tr w14:paraId="57E78C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vAlign w:val="center"/>
          </w:tcPr>
          <w:p w14:paraId="659C4C3B">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地表水环境</w:t>
            </w:r>
          </w:p>
        </w:tc>
        <w:tc>
          <w:tcPr>
            <w:tcW w:w="1772" w:type="pct"/>
            <w:vAlign w:val="center"/>
          </w:tcPr>
          <w:p w14:paraId="2EFA01A6">
            <w:pPr>
              <w:adjustRightInd w:val="0"/>
              <w:snapToGrid w:val="0"/>
              <w:jc w:val="center"/>
              <w:rPr>
                <w:rFonts w:ascii="宋体" w:hAnsi="宋体" w:cs="宋体"/>
                <w:color w:val="000000" w:themeColor="text1"/>
                <w:szCs w:val="21"/>
                <w:highlight w:val="none"/>
              </w:rPr>
            </w:pPr>
            <w:r>
              <w:rPr>
                <w:rFonts w:ascii="宋体" w:hAnsi="宋体" w:cs="宋体"/>
                <w:color w:val="000000" w:themeColor="text1"/>
                <w:szCs w:val="21"/>
                <w:highlight w:val="none"/>
              </w:rPr>
              <w:t>施工废水经沉淀池沉淀后循环利用；</w:t>
            </w:r>
            <w:r>
              <w:rPr>
                <w:rFonts w:hint="eastAsia" w:ascii="宋体" w:hAnsi="宋体" w:cs="宋体"/>
                <w:color w:val="000000" w:themeColor="text1"/>
                <w:szCs w:val="21"/>
                <w:highlight w:val="none"/>
              </w:rPr>
              <w:t>本项目施工期施工人员办公产生依托煤矿，生活污水由工业场地既有生活污水处理站统一处理后回用，不外排</w:t>
            </w:r>
            <w:r>
              <w:rPr>
                <w:rFonts w:hint="eastAsia" w:ascii="Times New Roman" w:hAnsi="Times New Roman" w:eastAsia="宋体" w:cs="Times New Roman"/>
                <w:color w:val="000000" w:themeColor="text1"/>
                <w:sz w:val="21"/>
                <w:szCs w:val="21"/>
                <w:highlight w:val="none"/>
                <w:lang w:val="en-US" w:eastAsia="zh-CN"/>
              </w:rPr>
              <w:t>，场地设置临时化粪池，收集的污水定期由吸污车拉运至工业场地污水处理设施处理</w:t>
            </w:r>
            <w:r>
              <w:rPr>
                <w:rFonts w:hint="eastAsia" w:ascii="宋体" w:hAnsi="宋体" w:cs="宋体"/>
                <w:color w:val="000000" w:themeColor="text1"/>
                <w:szCs w:val="21"/>
                <w:highlight w:val="none"/>
              </w:rPr>
              <w:t>；井筒掘进过程中产生的废水由抽水车定期集中抽排，运送至工业场地既有矿井水处理站处理后回用；</w:t>
            </w:r>
          </w:p>
        </w:tc>
        <w:tc>
          <w:tcPr>
            <w:tcW w:w="702" w:type="pct"/>
            <w:vAlign w:val="center"/>
          </w:tcPr>
          <w:p w14:paraId="4B897F1D">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废水不外排</w:t>
            </w:r>
          </w:p>
        </w:tc>
        <w:tc>
          <w:tcPr>
            <w:tcW w:w="1219" w:type="pct"/>
            <w:vAlign w:val="center"/>
          </w:tcPr>
          <w:p w14:paraId="204F44E1">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本项目不新增生活污水，无生产废水产生。</w:t>
            </w:r>
          </w:p>
        </w:tc>
        <w:tc>
          <w:tcPr>
            <w:tcW w:w="634" w:type="pct"/>
            <w:vAlign w:val="center"/>
          </w:tcPr>
          <w:p w14:paraId="02A92042">
            <w:pPr>
              <w:adjustRightInd w:val="0"/>
              <w:snapToGrid w:val="0"/>
              <w:jc w:val="center"/>
              <w:rPr>
                <w:rFonts w:ascii="宋体" w:hAnsi="宋体" w:cs="宋体"/>
                <w:color w:val="000000" w:themeColor="text1"/>
                <w:szCs w:val="21"/>
                <w:highlight w:val="none"/>
              </w:rPr>
            </w:pPr>
          </w:p>
        </w:tc>
      </w:tr>
      <w:tr w14:paraId="650D3D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670" w:type="pct"/>
            <w:vAlign w:val="center"/>
          </w:tcPr>
          <w:p w14:paraId="38434D88">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地下水及土壤环境</w:t>
            </w:r>
          </w:p>
        </w:tc>
        <w:tc>
          <w:tcPr>
            <w:tcW w:w="1772" w:type="pct"/>
            <w:vAlign w:val="center"/>
          </w:tcPr>
          <w:p w14:paraId="36E9B257">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702" w:type="pct"/>
            <w:vAlign w:val="center"/>
          </w:tcPr>
          <w:p w14:paraId="606748EE">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1219" w:type="pct"/>
            <w:vAlign w:val="center"/>
          </w:tcPr>
          <w:p w14:paraId="2E37B39C">
            <w:pPr>
              <w:adjustRightInd w:val="0"/>
              <w:snapToGrid w:val="0"/>
              <w:jc w:val="center"/>
              <w:rPr>
                <w:rFonts w:ascii="宋体" w:hAnsi="宋体" w:cs="宋体"/>
                <w:color w:val="000000" w:themeColor="text1"/>
                <w:szCs w:val="21"/>
                <w:highlight w:val="none"/>
              </w:rPr>
            </w:pPr>
            <w:r>
              <w:rPr>
                <w:rFonts w:hint="eastAsia"/>
                <w:color w:val="000000" w:themeColor="text1"/>
                <w:szCs w:val="21"/>
                <w:highlight w:val="none"/>
              </w:rPr>
              <w:t>/</w:t>
            </w:r>
          </w:p>
        </w:tc>
        <w:tc>
          <w:tcPr>
            <w:tcW w:w="634" w:type="pct"/>
            <w:vAlign w:val="center"/>
          </w:tcPr>
          <w:p w14:paraId="76997C5B">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r>
      <w:tr w14:paraId="6C652C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vAlign w:val="center"/>
          </w:tcPr>
          <w:p w14:paraId="197AA184">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声环境</w:t>
            </w:r>
          </w:p>
        </w:tc>
        <w:tc>
          <w:tcPr>
            <w:tcW w:w="1772" w:type="pct"/>
            <w:vAlign w:val="center"/>
          </w:tcPr>
          <w:p w14:paraId="3BA90642">
            <w:pPr>
              <w:adjustRightInd w:val="0"/>
              <w:snapToGrid w:val="0"/>
              <w:jc w:val="center"/>
              <w:rPr>
                <w:color w:val="000000" w:themeColor="text1"/>
                <w:szCs w:val="21"/>
                <w:highlight w:val="none"/>
              </w:rPr>
            </w:pPr>
            <w:r>
              <w:rPr>
                <w:color w:val="000000" w:themeColor="text1"/>
                <w:szCs w:val="21"/>
                <w:highlight w:val="none"/>
              </w:rPr>
              <w:t>采用合理安排施工作业时间，</w:t>
            </w:r>
            <w:r>
              <w:rPr>
                <w:rFonts w:hint="eastAsia"/>
                <w:color w:val="000000" w:themeColor="text1"/>
                <w:szCs w:val="21"/>
                <w:highlight w:val="none"/>
              </w:rPr>
              <w:t>禁止夜间施工，</w:t>
            </w:r>
            <w:r>
              <w:rPr>
                <w:color w:val="000000" w:themeColor="text1"/>
                <w:szCs w:val="21"/>
                <w:highlight w:val="none"/>
              </w:rPr>
              <w:t>优先选用高效低噪声设备，减少高噪声设备同时作业，</w:t>
            </w:r>
            <w:r>
              <w:rPr>
                <w:rFonts w:hint="eastAsia"/>
                <w:color w:val="000000" w:themeColor="text1"/>
                <w:szCs w:val="21"/>
                <w:highlight w:val="none"/>
              </w:rPr>
              <w:t>对机械操作人员佩戴防护耳塞，加强施工组织管理，对位置相对固定的机械设备，如电锯等，设置在工棚内，</w:t>
            </w:r>
            <w:r>
              <w:rPr>
                <w:color w:val="000000" w:themeColor="text1"/>
                <w:szCs w:val="21"/>
                <w:highlight w:val="none"/>
              </w:rPr>
              <w:t>进出车辆合理安排，尽量减少鸣笛</w:t>
            </w:r>
            <w:r>
              <w:rPr>
                <w:rFonts w:hint="eastAsia" w:ascii="宋体" w:hAnsi="宋体" w:cs="宋体"/>
                <w:color w:val="000000" w:themeColor="text1"/>
                <w:szCs w:val="21"/>
                <w:highlight w:val="none"/>
              </w:rPr>
              <w:t>；</w:t>
            </w:r>
            <w:r>
              <w:rPr>
                <w:rFonts w:hint="eastAsia"/>
                <w:color w:val="000000" w:themeColor="text1"/>
                <w:szCs w:val="21"/>
                <w:highlight w:val="none"/>
              </w:rPr>
              <w:t>距敏感点较近处施工时，可设置临时声屏障，禁止夜间施工，严禁在中午12：00-14：00和夜间22：00-次日6：00期间施工。提高操作水平，距离敏感点较近处不得使用高噪声的施工机械，施工时告知周边受影响居民，做好同居民的沟通、补偿工作。</w:t>
            </w:r>
          </w:p>
        </w:tc>
        <w:tc>
          <w:tcPr>
            <w:tcW w:w="702" w:type="pct"/>
            <w:vAlign w:val="center"/>
          </w:tcPr>
          <w:p w14:paraId="1E400AD1">
            <w:pPr>
              <w:adjustRightInd w:val="0"/>
              <w:snapToGrid w:val="0"/>
              <w:jc w:val="center"/>
              <w:rPr>
                <w:rFonts w:ascii="宋体" w:hAnsi="宋体" w:cs="宋体"/>
                <w:color w:val="000000" w:themeColor="text1"/>
                <w:szCs w:val="21"/>
                <w:highlight w:val="none"/>
              </w:rPr>
            </w:pPr>
            <w:r>
              <w:rPr>
                <w:color w:val="000000" w:themeColor="text1"/>
                <w:szCs w:val="21"/>
                <w:highlight w:val="none"/>
              </w:rPr>
              <w:t>满足《建筑施工场界环境噪声排放标准》</w:t>
            </w:r>
            <w:r>
              <w:rPr>
                <w:rFonts w:hint="eastAsia"/>
                <w:color w:val="000000" w:themeColor="text1"/>
                <w:szCs w:val="21"/>
                <w:highlight w:val="none"/>
              </w:rPr>
              <w:t>（</w:t>
            </w:r>
            <w:r>
              <w:rPr>
                <w:color w:val="000000" w:themeColor="text1"/>
                <w:szCs w:val="21"/>
                <w:highlight w:val="none"/>
              </w:rPr>
              <w:t>GB12523</w:t>
            </w:r>
            <w:r>
              <w:rPr>
                <w:rFonts w:hint="eastAsia"/>
                <w:color w:val="000000" w:themeColor="text1"/>
                <w:szCs w:val="21"/>
                <w:highlight w:val="none"/>
              </w:rPr>
              <w:t>-</w:t>
            </w:r>
            <w:r>
              <w:rPr>
                <w:color w:val="000000" w:themeColor="text1"/>
                <w:szCs w:val="21"/>
                <w:highlight w:val="none"/>
              </w:rPr>
              <w:t>2011</w:t>
            </w:r>
            <w:r>
              <w:rPr>
                <w:rFonts w:hint="eastAsia"/>
                <w:color w:val="000000" w:themeColor="text1"/>
                <w:szCs w:val="21"/>
                <w:highlight w:val="none"/>
              </w:rPr>
              <w:t>）</w:t>
            </w:r>
            <w:r>
              <w:rPr>
                <w:color w:val="000000" w:themeColor="text1"/>
                <w:szCs w:val="21"/>
                <w:highlight w:val="none"/>
              </w:rPr>
              <w:t>中的标准限值</w:t>
            </w:r>
          </w:p>
        </w:tc>
        <w:tc>
          <w:tcPr>
            <w:tcW w:w="1219" w:type="pct"/>
            <w:vAlign w:val="center"/>
          </w:tcPr>
          <w:p w14:paraId="7A018A8F">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选用低噪声设备，通风机进、出气口安装消声器，设置隔声罩。设备进行减振处理。变压器室内安装，并设置减振基础。道路两旁进行绿化、加强路面管理。加强进入本项目区车辆的运输管理，经过敏感点道路段限速，禁止鸣笛。</w:t>
            </w:r>
          </w:p>
        </w:tc>
        <w:tc>
          <w:tcPr>
            <w:tcW w:w="634" w:type="pct"/>
            <w:vAlign w:val="center"/>
          </w:tcPr>
          <w:p w14:paraId="510F9A0E">
            <w:pPr>
              <w:adjustRightInd w:val="0"/>
              <w:snapToGrid w:val="0"/>
              <w:jc w:val="center"/>
              <w:rPr>
                <w:color w:val="000000" w:themeColor="text1"/>
                <w:szCs w:val="21"/>
                <w:highlight w:val="none"/>
              </w:rPr>
            </w:pPr>
            <w:r>
              <w:rPr>
                <w:rFonts w:hint="eastAsia"/>
                <w:color w:val="000000" w:themeColor="text1"/>
                <w:szCs w:val="21"/>
                <w:highlight w:val="none"/>
              </w:rPr>
              <w:t>《工业企业厂界环境噪声排放标准》（GB12348-2008）的2类标准</w:t>
            </w:r>
          </w:p>
        </w:tc>
      </w:tr>
      <w:tr w14:paraId="7AC2D7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670" w:type="pct"/>
            <w:vAlign w:val="center"/>
          </w:tcPr>
          <w:p w14:paraId="2CD9AD84">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振动</w:t>
            </w:r>
          </w:p>
        </w:tc>
        <w:tc>
          <w:tcPr>
            <w:tcW w:w="1772" w:type="pct"/>
            <w:vAlign w:val="center"/>
          </w:tcPr>
          <w:p w14:paraId="2921843F">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702" w:type="pct"/>
            <w:vAlign w:val="center"/>
          </w:tcPr>
          <w:p w14:paraId="564FDFE7">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1219" w:type="pct"/>
            <w:vAlign w:val="center"/>
          </w:tcPr>
          <w:p w14:paraId="7CC1AC15">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634" w:type="pct"/>
            <w:vAlign w:val="center"/>
          </w:tcPr>
          <w:p w14:paraId="12AF2E1F">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r>
      <w:tr w14:paraId="599734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670" w:type="pct"/>
            <w:vAlign w:val="center"/>
          </w:tcPr>
          <w:p w14:paraId="1ABEDB61">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大气环境</w:t>
            </w:r>
          </w:p>
        </w:tc>
        <w:tc>
          <w:tcPr>
            <w:tcW w:w="1772" w:type="pct"/>
            <w:vAlign w:val="center"/>
          </w:tcPr>
          <w:p w14:paraId="154D209F">
            <w:pPr>
              <w:adjustRightInd w:val="0"/>
              <w:snapToGrid w:val="0"/>
              <w:jc w:val="center"/>
              <w:rPr>
                <w:rFonts w:ascii="宋体" w:hAnsi="宋体" w:cs="宋体"/>
                <w:color w:val="000000" w:themeColor="text1"/>
                <w:szCs w:val="21"/>
                <w:highlight w:val="none"/>
              </w:rPr>
            </w:pPr>
            <w:r>
              <w:rPr>
                <w:rFonts w:hint="eastAsia"/>
                <w:color w:val="000000" w:themeColor="text1"/>
                <w:szCs w:val="21"/>
                <w:highlight w:val="none"/>
              </w:rPr>
              <w:t>施工区设置连续、密闭的围挡</w:t>
            </w:r>
            <w:r>
              <w:rPr>
                <w:color w:val="000000" w:themeColor="text1"/>
                <w:szCs w:val="21"/>
                <w:highlight w:val="none"/>
              </w:rPr>
              <w:t>。施工现场裸露场地采用抑尘网覆盖，并随时洒水抑尘；运输车辆加盖篷布；</w:t>
            </w:r>
            <w:r>
              <w:rPr>
                <w:rFonts w:hint="eastAsia"/>
                <w:color w:val="000000" w:themeColor="text1"/>
                <w:szCs w:val="21"/>
                <w:highlight w:val="none"/>
              </w:rPr>
              <w:t>施工区定期洒水；</w:t>
            </w:r>
            <w:r>
              <w:rPr>
                <w:color w:val="000000" w:themeColor="text1"/>
                <w:szCs w:val="21"/>
                <w:highlight w:val="none"/>
              </w:rPr>
              <w:t>施工工地内堆放的粉状物料堆场采取封闭措施，易产生扬尘的物料应当采取覆盖防尘网或者防尘布等措施</w:t>
            </w:r>
            <w:r>
              <w:rPr>
                <w:rFonts w:hint="eastAsia"/>
                <w:color w:val="000000" w:themeColor="text1"/>
                <w:szCs w:val="21"/>
                <w:highlight w:val="none"/>
              </w:rPr>
              <w:t>。</w:t>
            </w:r>
            <w:r>
              <w:rPr>
                <w:color w:val="000000" w:themeColor="text1"/>
                <w:szCs w:val="21"/>
                <w:highlight w:val="none"/>
              </w:rPr>
              <w:t>开挖土方集中堆存，临时堆土进行拦挡、苫盖防护，</w:t>
            </w:r>
            <w:r>
              <w:rPr>
                <w:rFonts w:hint="eastAsia"/>
                <w:color w:val="000000" w:themeColor="text1"/>
                <w:szCs w:val="21"/>
                <w:highlight w:val="none"/>
              </w:rPr>
              <w:t>使用满足标准的施工机械和油品，做好设备的维修和养护工作，减少油耗，降低汽车尾气污染。</w:t>
            </w:r>
          </w:p>
        </w:tc>
        <w:tc>
          <w:tcPr>
            <w:tcW w:w="702" w:type="pct"/>
            <w:vAlign w:val="center"/>
          </w:tcPr>
          <w:p w14:paraId="15EEC28D">
            <w:pPr>
              <w:adjustRightInd w:val="0"/>
              <w:snapToGrid w:val="0"/>
              <w:jc w:val="center"/>
              <w:rPr>
                <w:rFonts w:ascii="宋体" w:hAnsi="宋体" w:cs="宋体"/>
                <w:color w:val="000000" w:themeColor="text1"/>
                <w:szCs w:val="21"/>
                <w:highlight w:val="none"/>
              </w:rPr>
            </w:pPr>
            <w:r>
              <w:rPr>
                <w:color w:val="000000" w:themeColor="text1"/>
                <w:szCs w:val="21"/>
                <w:highlight w:val="none"/>
              </w:rPr>
              <w:t>施工扬尘执行《大气污染物综合排放标准》（GB16297－1996）表2中颗粒物无组织排放浓度限值</w:t>
            </w:r>
          </w:p>
        </w:tc>
        <w:tc>
          <w:tcPr>
            <w:tcW w:w="1219" w:type="pct"/>
            <w:vAlign w:val="center"/>
          </w:tcPr>
          <w:p w14:paraId="171377D1">
            <w:pPr>
              <w:adjustRightInd w:val="0"/>
              <w:snapToGrid w:val="0"/>
              <w:jc w:val="center"/>
              <w:rPr>
                <w:rFonts w:ascii="宋体" w:hAnsi="宋体" w:cs="宋体"/>
                <w:color w:val="000000" w:themeColor="text1"/>
                <w:szCs w:val="21"/>
                <w:highlight w:val="none"/>
              </w:rPr>
            </w:pPr>
            <w:r>
              <w:rPr>
                <w:color w:val="000000" w:themeColor="text1"/>
                <w:szCs w:val="21"/>
                <w:highlight w:val="none"/>
              </w:rPr>
              <w:t>加强道路管理及路面养护，保持道路良好运营状态，保持路面平整和清洁，保证路面处于完好状态，路面洒水抑尘，道路两旁进行绿化；为控制运输车辆的尾气污染。</w:t>
            </w:r>
          </w:p>
        </w:tc>
        <w:tc>
          <w:tcPr>
            <w:tcW w:w="634" w:type="pct"/>
            <w:vAlign w:val="center"/>
          </w:tcPr>
          <w:p w14:paraId="5422F728">
            <w:pPr>
              <w:adjustRightInd w:val="0"/>
              <w:snapToGrid w:val="0"/>
              <w:jc w:val="center"/>
              <w:rPr>
                <w:rFonts w:ascii="宋体" w:hAnsi="宋体" w:cs="宋体"/>
                <w:color w:val="000000" w:themeColor="text1"/>
                <w:szCs w:val="21"/>
                <w:highlight w:val="none"/>
              </w:rPr>
            </w:pPr>
            <w:r>
              <w:rPr>
                <w:color w:val="000000" w:themeColor="text1"/>
                <w:szCs w:val="21"/>
                <w:highlight w:val="none"/>
              </w:rPr>
              <w:t>《煤炭工业污染物排放标准》（GB20426-2006）标准要求。</w:t>
            </w:r>
          </w:p>
        </w:tc>
      </w:tr>
      <w:tr w14:paraId="31816E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0" w:type="pct"/>
            <w:vAlign w:val="center"/>
          </w:tcPr>
          <w:p w14:paraId="4C43E77E">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固体废物</w:t>
            </w:r>
          </w:p>
        </w:tc>
        <w:tc>
          <w:tcPr>
            <w:tcW w:w="1772" w:type="pct"/>
            <w:vAlign w:val="center"/>
          </w:tcPr>
          <w:p w14:paraId="01DE4E76">
            <w:pPr>
              <w:adjustRightInd w:val="0"/>
              <w:snapToGrid w:val="0"/>
              <w:jc w:val="center"/>
              <w:rPr>
                <w:color w:val="000000" w:themeColor="text1"/>
                <w:szCs w:val="21"/>
                <w:highlight w:val="none"/>
              </w:rPr>
            </w:pPr>
            <w:r>
              <w:rPr>
                <w:rFonts w:hint="eastAsia"/>
                <w:color w:val="000000" w:themeColor="text1"/>
                <w:szCs w:val="21"/>
                <w:highlight w:val="none"/>
                <w:lang w:val="en-US" w:eastAsia="zh-CN"/>
              </w:rPr>
              <w:t>剥离表土</w:t>
            </w:r>
            <w:r>
              <w:rPr>
                <w:color w:val="000000" w:themeColor="text1"/>
                <w:szCs w:val="21"/>
                <w:highlight w:val="none"/>
              </w:rPr>
              <w:t>用于后续风井场范围内平整绿化。</w:t>
            </w:r>
            <w:r>
              <w:rPr>
                <w:rFonts w:hint="eastAsia"/>
                <w:color w:val="000000" w:themeColor="text1"/>
                <w:szCs w:val="21"/>
                <w:highlight w:val="none"/>
                <w:lang w:val="en-US" w:eastAsia="zh-CN"/>
              </w:rPr>
              <w:t>弃土及</w:t>
            </w:r>
            <w:r>
              <w:rPr>
                <w:color w:val="000000" w:themeColor="text1"/>
                <w:szCs w:val="21"/>
                <w:highlight w:val="none"/>
              </w:rPr>
              <w:t>井筒掘进产生的岩石</w:t>
            </w:r>
            <w:r>
              <w:rPr>
                <w:bCs/>
                <w:color w:val="000000" w:themeColor="text1"/>
                <w:szCs w:val="21"/>
                <w:highlight w:val="none"/>
              </w:rPr>
              <w:t>拉运至公沟煤矿外排土场</w:t>
            </w:r>
            <w:r>
              <w:rPr>
                <w:color w:val="000000" w:themeColor="text1"/>
                <w:szCs w:val="21"/>
                <w:highlight w:val="none"/>
              </w:rPr>
              <w:t>；施工人员生活垃圾</w:t>
            </w:r>
            <w:r>
              <w:rPr>
                <w:rFonts w:hint="eastAsia"/>
                <w:color w:val="000000" w:themeColor="text1"/>
                <w:szCs w:val="21"/>
                <w:highlight w:val="none"/>
              </w:rPr>
              <w:t>依托煤矿现有生活垃圾收集设施</w:t>
            </w:r>
            <w:r>
              <w:rPr>
                <w:color w:val="000000" w:themeColor="text1"/>
                <w:szCs w:val="21"/>
                <w:highlight w:val="none"/>
              </w:rPr>
              <w:t>。建筑垃圾</w:t>
            </w:r>
            <w:r>
              <w:rPr>
                <w:rFonts w:hint="eastAsia"/>
                <w:color w:val="000000" w:themeColor="text1"/>
                <w:szCs w:val="21"/>
                <w:highlight w:val="none"/>
              </w:rPr>
              <w:t>送至当地建筑垃圾填埋场处置</w:t>
            </w:r>
            <w:r>
              <w:rPr>
                <w:color w:val="000000" w:themeColor="text1"/>
                <w:szCs w:val="21"/>
                <w:highlight w:val="none"/>
              </w:rPr>
              <w:t>。</w:t>
            </w:r>
          </w:p>
        </w:tc>
        <w:tc>
          <w:tcPr>
            <w:tcW w:w="702" w:type="pct"/>
            <w:vAlign w:val="center"/>
          </w:tcPr>
          <w:p w14:paraId="6DA06AF9">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按相关要求合理处置</w:t>
            </w:r>
          </w:p>
        </w:tc>
        <w:tc>
          <w:tcPr>
            <w:tcW w:w="1219" w:type="pct"/>
            <w:vAlign w:val="center"/>
          </w:tcPr>
          <w:p w14:paraId="6497FE43">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本项目不新增生活垃圾。</w:t>
            </w:r>
          </w:p>
          <w:p w14:paraId="45E7CF28">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设备维修产生的废矿物油暂存于煤矿现有危废库内暂存，不在本项目场内暂存。</w:t>
            </w:r>
          </w:p>
        </w:tc>
        <w:tc>
          <w:tcPr>
            <w:tcW w:w="634" w:type="pct"/>
            <w:vAlign w:val="center"/>
          </w:tcPr>
          <w:p w14:paraId="2ECD7FAB">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按相关要求合理</w:t>
            </w:r>
            <w:r>
              <w:rPr>
                <w:rFonts w:hint="eastAsia" w:ascii="宋体" w:hAnsi="宋体" w:cs="宋体"/>
                <w:color w:val="000000" w:themeColor="text1"/>
                <w:szCs w:val="21"/>
                <w:highlight w:val="none"/>
                <w:lang w:eastAsia="zh-CN"/>
              </w:rPr>
              <w:t>处理</w:t>
            </w:r>
            <w:bookmarkStart w:id="18" w:name="_GoBack"/>
            <w:bookmarkEnd w:id="18"/>
          </w:p>
        </w:tc>
      </w:tr>
      <w:tr w14:paraId="2E9ECF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5" w:hRule="atLeast"/>
          <w:jc w:val="center"/>
        </w:trPr>
        <w:tc>
          <w:tcPr>
            <w:tcW w:w="670" w:type="pct"/>
            <w:vAlign w:val="center"/>
          </w:tcPr>
          <w:p w14:paraId="190F1860">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电磁环境</w:t>
            </w:r>
          </w:p>
        </w:tc>
        <w:tc>
          <w:tcPr>
            <w:tcW w:w="1772" w:type="pct"/>
            <w:vAlign w:val="center"/>
          </w:tcPr>
          <w:p w14:paraId="55D195E1">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702" w:type="pct"/>
            <w:vAlign w:val="center"/>
          </w:tcPr>
          <w:p w14:paraId="65E02759">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1219" w:type="pct"/>
            <w:vAlign w:val="center"/>
          </w:tcPr>
          <w:p w14:paraId="48BDD313">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634" w:type="pct"/>
            <w:vAlign w:val="center"/>
          </w:tcPr>
          <w:p w14:paraId="345F49A0">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r>
      <w:tr w14:paraId="432C09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70" w:type="pct"/>
            <w:vAlign w:val="center"/>
          </w:tcPr>
          <w:p w14:paraId="48B44CD7">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环境风险</w:t>
            </w:r>
          </w:p>
        </w:tc>
        <w:tc>
          <w:tcPr>
            <w:tcW w:w="1772" w:type="pct"/>
            <w:vAlign w:val="center"/>
          </w:tcPr>
          <w:p w14:paraId="58E20B54">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702" w:type="pct"/>
            <w:vAlign w:val="center"/>
          </w:tcPr>
          <w:p w14:paraId="2D3004F3">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1219" w:type="pct"/>
            <w:vAlign w:val="center"/>
          </w:tcPr>
          <w:p w14:paraId="7EAD7AD5">
            <w:pPr>
              <w:adjustRightInd w:val="0"/>
              <w:snapToGrid w:val="0"/>
              <w:jc w:val="center"/>
              <w:rPr>
                <w:color w:val="000000" w:themeColor="text1"/>
                <w:szCs w:val="21"/>
                <w:highlight w:val="none"/>
              </w:rPr>
            </w:pPr>
            <w:r>
              <w:rPr>
                <w:rFonts w:hint="eastAsia"/>
                <w:color w:val="000000" w:themeColor="text1"/>
                <w:szCs w:val="21"/>
                <w:highlight w:val="none"/>
              </w:rPr>
              <w:t>/</w:t>
            </w:r>
          </w:p>
        </w:tc>
        <w:tc>
          <w:tcPr>
            <w:tcW w:w="634" w:type="pct"/>
            <w:vAlign w:val="center"/>
          </w:tcPr>
          <w:p w14:paraId="610E0CDF">
            <w:pPr>
              <w:adjustRightInd w:val="0"/>
              <w:snapToGrid w:val="0"/>
              <w:jc w:val="center"/>
              <w:rPr>
                <w:color w:val="000000" w:themeColor="text1"/>
                <w:szCs w:val="21"/>
                <w:highlight w:val="none"/>
              </w:rPr>
            </w:pPr>
            <w:r>
              <w:rPr>
                <w:rFonts w:hint="eastAsia"/>
                <w:color w:val="000000" w:themeColor="text1"/>
                <w:szCs w:val="21"/>
                <w:highlight w:val="none"/>
              </w:rPr>
              <w:t>/</w:t>
            </w:r>
          </w:p>
        </w:tc>
      </w:tr>
      <w:tr w14:paraId="22478C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0" w:hRule="atLeast"/>
          <w:jc w:val="center"/>
        </w:trPr>
        <w:tc>
          <w:tcPr>
            <w:tcW w:w="670" w:type="pct"/>
            <w:vAlign w:val="center"/>
          </w:tcPr>
          <w:p w14:paraId="3A555C68">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环境监测</w:t>
            </w:r>
          </w:p>
        </w:tc>
        <w:tc>
          <w:tcPr>
            <w:tcW w:w="1772" w:type="pct"/>
            <w:vAlign w:val="center"/>
          </w:tcPr>
          <w:p w14:paraId="75556479">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702" w:type="pct"/>
            <w:vAlign w:val="center"/>
          </w:tcPr>
          <w:p w14:paraId="3029DCDF">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1219" w:type="pct"/>
            <w:vAlign w:val="center"/>
          </w:tcPr>
          <w:p w14:paraId="4171C30B">
            <w:pPr>
              <w:adjustRightInd w:val="0"/>
              <w:snapToGrid w:val="0"/>
              <w:jc w:val="center"/>
              <w:rPr>
                <w:color w:val="000000" w:themeColor="text1"/>
                <w:szCs w:val="21"/>
                <w:highlight w:val="none"/>
              </w:rPr>
            </w:pPr>
            <w:r>
              <w:rPr>
                <w:rFonts w:hint="eastAsia"/>
                <w:color w:val="000000" w:themeColor="text1"/>
                <w:szCs w:val="21"/>
                <w:highlight w:val="none"/>
              </w:rPr>
              <w:t>风井场地厂界噪声：厂界四周各设</w:t>
            </w:r>
            <w:r>
              <w:rPr>
                <w:color w:val="000000" w:themeColor="text1"/>
                <w:szCs w:val="21"/>
                <w:highlight w:val="none"/>
              </w:rPr>
              <w:t>1</w:t>
            </w:r>
            <w:r>
              <w:rPr>
                <w:rFonts w:hint="eastAsia"/>
                <w:color w:val="000000" w:themeColor="text1"/>
                <w:szCs w:val="21"/>
                <w:highlight w:val="none"/>
              </w:rPr>
              <w:t>个监测点位</w:t>
            </w:r>
            <w:r>
              <w:rPr>
                <w:rFonts w:hint="eastAsia"/>
                <w:color w:val="000000" w:themeColor="text1"/>
                <w:highlight w:val="none"/>
              </w:rPr>
              <w:t>。</w:t>
            </w:r>
          </w:p>
        </w:tc>
        <w:tc>
          <w:tcPr>
            <w:tcW w:w="634" w:type="pct"/>
            <w:vAlign w:val="center"/>
          </w:tcPr>
          <w:p w14:paraId="3EF4C8DF">
            <w:pPr>
              <w:adjustRightInd w:val="0"/>
              <w:snapToGrid w:val="0"/>
              <w:jc w:val="center"/>
              <w:rPr>
                <w:color w:val="000000" w:themeColor="text1"/>
                <w:szCs w:val="21"/>
                <w:highlight w:val="none"/>
              </w:rPr>
            </w:pPr>
            <w:r>
              <w:rPr>
                <w:color w:val="000000" w:themeColor="text1"/>
                <w:szCs w:val="21"/>
                <w:highlight w:val="none"/>
              </w:rPr>
              <w:t>《工业企业厂界环境噪声排放标准》</w:t>
            </w:r>
            <w:r>
              <w:rPr>
                <w:rFonts w:hint="eastAsia"/>
                <w:color w:val="000000" w:themeColor="text1"/>
                <w:szCs w:val="21"/>
                <w:highlight w:val="none"/>
              </w:rPr>
              <w:t>（</w:t>
            </w:r>
            <w:r>
              <w:rPr>
                <w:color w:val="000000" w:themeColor="text1"/>
                <w:szCs w:val="21"/>
                <w:highlight w:val="none"/>
              </w:rPr>
              <w:t>GB12348</w:t>
            </w:r>
            <w:r>
              <w:rPr>
                <w:rFonts w:hint="eastAsia"/>
                <w:color w:val="000000" w:themeColor="text1"/>
                <w:szCs w:val="21"/>
                <w:highlight w:val="none"/>
              </w:rPr>
              <w:t>-</w:t>
            </w:r>
            <w:r>
              <w:rPr>
                <w:color w:val="000000" w:themeColor="text1"/>
                <w:szCs w:val="21"/>
                <w:highlight w:val="none"/>
              </w:rPr>
              <w:t>2008）中</w:t>
            </w:r>
            <w:r>
              <w:rPr>
                <w:rFonts w:hint="eastAsia"/>
                <w:color w:val="000000" w:themeColor="text1"/>
                <w:szCs w:val="21"/>
                <w:highlight w:val="none"/>
              </w:rPr>
              <w:t>2</w:t>
            </w:r>
            <w:r>
              <w:rPr>
                <w:color w:val="000000" w:themeColor="text1"/>
                <w:szCs w:val="21"/>
                <w:highlight w:val="none"/>
              </w:rPr>
              <w:t>类标准</w:t>
            </w:r>
          </w:p>
        </w:tc>
      </w:tr>
      <w:tr w14:paraId="46B1C8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670" w:type="pct"/>
            <w:vAlign w:val="center"/>
          </w:tcPr>
          <w:p w14:paraId="2754CC1E">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其他</w:t>
            </w:r>
          </w:p>
        </w:tc>
        <w:tc>
          <w:tcPr>
            <w:tcW w:w="1772" w:type="pct"/>
            <w:vAlign w:val="center"/>
          </w:tcPr>
          <w:p w14:paraId="51E4D719">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702" w:type="pct"/>
            <w:vAlign w:val="center"/>
          </w:tcPr>
          <w:p w14:paraId="29DE6E2D">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c>
          <w:tcPr>
            <w:tcW w:w="3456" w:type="dxa"/>
            <w:vAlign w:val="center"/>
          </w:tcPr>
          <w:p w14:paraId="7AE9479B">
            <w:pPr>
              <w:adjustRightInd w:val="0"/>
              <w:snapToGrid w:val="0"/>
              <w:jc w:val="center"/>
              <w:rPr>
                <w:rFonts w:ascii="宋体" w:hAnsi="宋体" w:cs="宋体"/>
                <w:color w:val="000000" w:themeColor="text1"/>
                <w:szCs w:val="21"/>
                <w:highlight w:val="none"/>
              </w:rPr>
            </w:pPr>
            <w:r>
              <w:rPr>
                <w:rFonts w:hint="eastAsia"/>
                <w:color w:val="000000" w:themeColor="text1"/>
                <w:highlight w:val="none"/>
              </w:rPr>
              <w:t>按规定程序实施竣工环境保护验收，验收合格方可投入运行。企业应当严格执行本次评价提出的监测要求，应定期进行环境监测工作。</w:t>
            </w:r>
          </w:p>
        </w:tc>
        <w:tc>
          <w:tcPr>
            <w:tcW w:w="1800" w:type="dxa"/>
            <w:vAlign w:val="center"/>
          </w:tcPr>
          <w:p w14:paraId="72A793A8">
            <w:pPr>
              <w:adjustRightInd w:val="0"/>
              <w:snapToGrid w:val="0"/>
              <w:jc w:val="center"/>
              <w:rPr>
                <w:rFonts w:ascii="宋体" w:hAnsi="宋体" w:cs="宋体"/>
                <w:color w:val="000000" w:themeColor="text1"/>
                <w:szCs w:val="21"/>
                <w:highlight w:val="none"/>
              </w:rPr>
            </w:pPr>
            <w:r>
              <w:rPr>
                <w:rFonts w:hint="eastAsia" w:ascii="宋体" w:hAnsi="宋体" w:cs="宋体"/>
                <w:color w:val="000000" w:themeColor="text1"/>
                <w:szCs w:val="21"/>
                <w:highlight w:val="none"/>
              </w:rPr>
              <w:t>/</w:t>
            </w:r>
          </w:p>
        </w:tc>
      </w:tr>
    </w:tbl>
    <w:p w14:paraId="5F9D9134">
      <w:pPr>
        <w:pStyle w:val="23"/>
        <w:spacing w:beforeLines="80" w:beforeAutospacing="0"/>
        <w:jc w:val="center"/>
        <w:outlineLvl w:val="0"/>
        <w:rPr>
          <w:rFonts w:ascii="黑体" w:hAnsi="黑体" w:eastAsia="黑体"/>
          <w:snapToGrid w:val="0"/>
          <w:color w:val="000000" w:themeColor="text1"/>
          <w:sz w:val="30"/>
          <w:szCs w:val="30"/>
          <w:highlight w:val="none"/>
        </w:rPr>
        <w:sectPr>
          <w:pgSz w:w="16838" w:h="11906" w:orient="landscape"/>
          <w:pgMar w:top="1800" w:right="1440" w:bottom="1800" w:left="1440" w:header="851" w:footer="1077" w:gutter="0"/>
          <w:cols w:space="720" w:num="1"/>
          <w:docGrid w:linePitch="312" w:charSpace="0"/>
        </w:sectPr>
      </w:pPr>
    </w:p>
    <w:p w14:paraId="383FFCF1">
      <w:pPr>
        <w:pStyle w:val="23"/>
        <w:spacing w:beforeLines="80" w:beforeAutospacing="0"/>
        <w:jc w:val="center"/>
        <w:outlineLvl w:val="0"/>
        <w:rPr>
          <w:rFonts w:ascii="黑体" w:hAnsi="黑体" w:eastAsia="黑体"/>
          <w:snapToGrid w:val="0"/>
          <w:color w:val="000000" w:themeColor="text1"/>
          <w:sz w:val="30"/>
          <w:szCs w:val="30"/>
          <w:highlight w:val="none"/>
        </w:rPr>
      </w:pPr>
      <w:r>
        <w:rPr>
          <w:rFonts w:hint="eastAsia" w:ascii="黑体" w:hAnsi="黑体" w:eastAsia="黑体"/>
          <w:snapToGrid w:val="0"/>
          <w:color w:val="000000" w:themeColor="text1"/>
          <w:sz w:val="30"/>
          <w:szCs w:val="30"/>
          <w:highlight w:val="none"/>
        </w:rPr>
        <w:t>七、结论</w:t>
      </w:r>
    </w:p>
    <w:tbl>
      <w:tblPr>
        <w:tblStyle w:val="26"/>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382B96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9289" w:type="dxa"/>
            <w:vAlign w:val="center"/>
          </w:tcPr>
          <w:p w14:paraId="4713B8B3">
            <w:pPr>
              <w:widowControl/>
              <w:spacing w:line="360" w:lineRule="auto"/>
              <w:ind w:firstLine="480" w:firstLineChars="200"/>
              <w:rPr>
                <w:color w:val="000000" w:themeColor="text1"/>
                <w:highlight w:val="none"/>
              </w:rPr>
            </w:pPr>
            <w:r>
              <w:rPr>
                <w:rFonts w:hint="eastAsia" w:ascii="宋体" w:hAnsi="宋体" w:cs="宋体"/>
                <w:color w:val="000000" w:themeColor="text1"/>
                <w:kern w:val="0"/>
                <w:sz w:val="24"/>
                <w:highlight w:val="none"/>
              </w:rPr>
              <w:t>本项目建设符合国家及地方产业政策，项目施工期采取了完善的生态防护措施和污染治理措施，可将施工期环境污染程度降至最低；项目运营期</w:t>
            </w:r>
            <w:r>
              <w:rPr>
                <w:rFonts w:ascii="宋体" w:hAnsi="宋体" w:cs="宋体"/>
                <w:color w:val="000000" w:themeColor="text1"/>
                <w:sz w:val="24"/>
                <w:highlight w:val="none"/>
              </w:rPr>
              <w:t>通过认真落实评价所提各项环保治理措施，工程排放的各类污染物对周围环境影响可以接受</w:t>
            </w:r>
            <w:r>
              <w:rPr>
                <w:rFonts w:hint="eastAsia" w:ascii="宋体" w:hAnsi="宋体" w:cs="宋体"/>
                <w:color w:val="000000" w:themeColor="text1"/>
                <w:kern w:val="0"/>
                <w:sz w:val="24"/>
                <w:highlight w:val="none"/>
              </w:rPr>
              <w:t>；因此，从环境保护角度考虑，本项目</w:t>
            </w:r>
            <w:r>
              <w:rPr>
                <w:rFonts w:hint="eastAsia" w:ascii="宋体" w:hAnsi="宋体" w:cs="宋体"/>
                <w:color w:val="000000" w:themeColor="text1"/>
                <w:sz w:val="24"/>
                <w:highlight w:val="none"/>
              </w:rPr>
              <w:t>建设</w:t>
            </w:r>
            <w:r>
              <w:rPr>
                <w:rFonts w:hint="eastAsia" w:ascii="宋体" w:hAnsi="宋体" w:cs="宋体"/>
                <w:color w:val="000000" w:themeColor="text1"/>
                <w:kern w:val="0"/>
                <w:sz w:val="24"/>
                <w:highlight w:val="none"/>
              </w:rPr>
              <w:t>可行。</w:t>
            </w:r>
          </w:p>
          <w:p w14:paraId="1C56386A">
            <w:pPr>
              <w:adjustRightInd w:val="0"/>
              <w:snapToGrid w:val="0"/>
              <w:spacing w:line="360" w:lineRule="auto"/>
              <w:ind w:firstLine="480" w:firstLineChars="200"/>
              <w:rPr>
                <w:rFonts w:ascii="宋体" w:hAnsi="宋体" w:cs="宋体"/>
                <w:color w:val="000000" w:themeColor="text1"/>
                <w:sz w:val="24"/>
                <w:highlight w:val="none"/>
              </w:rPr>
            </w:pPr>
          </w:p>
        </w:tc>
      </w:tr>
    </w:tbl>
    <w:p w14:paraId="3D8D6896">
      <w:pPr>
        <w:rPr>
          <w:rFonts w:ascii="宋体"/>
          <w:color w:val="000000" w:themeColor="text1"/>
          <w:highlight w:val="none"/>
        </w:rPr>
      </w:pPr>
    </w:p>
    <w:p w14:paraId="4689C2AE">
      <w:pPr>
        <w:snapToGrid w:val="0"/>
        <w:spacing w:line="355" w:lineRule="auto"/>
        <w:jc w:val="left"/>
        <w:rPr>
          <w:color w:val="000000" w:themeColor="text1"/>
          <w:sz w:val="24"/>
          <w:highlight w:val="none"/>
        </w:rPr>
      </w:pPr>
    </w:p>
    <w:p w14:paraId="130A1687">
      <w:pPr>
        <w:snapToGrid w:val="0"/>
        <w:spacing w:line="355" w:lineRule="auto"/>
        <w:jc w:val="left"/>
        <w:rPr>
          <w:color w:val="000000" w:themeColor="text1"/>
          <w:sz w:val="24"/>
          <w:highlight w:val="none"/>
        </w:rPr>
      </w:pPr>
      <w:r>
        <w:rPr>
          <w:color w:val="000000" w:themeColor="text1"/>
          <w:sz w:val="24"/>
          <w:highlight w:val="none"/>
        </w:rPr>
        <w:t>附件1</w:t>
      </w:r>
      <w:r>
        <w:rPr>
          <w:rFonts w:hint="eastAsia"/>
          <w:color w:val="000000" w:themeColor="text1"/>
          <w:sz w:val="24"/>
          <w:highlight w:val="none"/>
        </w:rPr>
        <w:t xml:space="preserve"> </w:t>
      </w:r>
      <w:r>
        <w:rPr>
          <w:color w:val="000000" w:themeColor="text1"/>
          <w:sz w:val="24"/>
          <w:highlight w:val="none"/>
        </w:rPr>
        <w:t>委托书</w:t>
      </w:r>
    </w:p>
    <w:p w14:paraId="6CA4EE58">
      <w:pPr>
        <w:snapToGrid w:val="0"/>
        <w:spacing w:line="355" w:lineRule="auto"/>
        <w:jc w:val="left"/>
        <w:rPr>
          <w:color w:val="000000" w:themeColor="text1"/>
          <w:sz w:val="24"/>
          <w:highlight w:val="none"/>
        </w:rPr>
      </w:pPr>
    </w:p>
    <w:p w14:paraId="605D4890">
      <w:pPr>
        <w:spacing w:line="360" w:lineRule="auto"/>
        <w:jc w:val="center"/>
        <w:rPr>
          <w:color w:val="000000" w:themeColor="text1"/>
          <w:sz w:val="44"/>
          <w:szCs w:val="44"/>
          <w:highlight w:val="none"/>
        </w:rPr>
      </w:pPr>
    </w:p>
    <w:p w14:paraId="0E409920">
      <w:pPr>
        <w:spacing w:line="360" w:lineRule="auto"/>
        <w:jc w:val="center"/>
        <w:rPr>
          <w:color w:val="000000" w:themeColor="text1"/>
          <w:sz w:val="44"/>
          <w:szCs w:val="44"/>
          <w:highlight w:val="none"/>
        </w:rPr>
      </w:pPr>
    </w:p>
    <w:p w14:paraId="1A3D681D">
      <w:pPr>
        <w:spacing w:line="360" w:lineRule="auto"/>
        <w:jc w:val="center"/>
        <w:rPr>
          <w:color w:val="000000" w:themeColor="text1"/>
          <w:sz w:val="44"/>
          <w:szCs w:val="44"/>
          <w:highlight w:val="none"/>
        </w:rPr>
      </w:pPr>
      <w:r>
        <w:rPr>
          <w:color w:val="000000" w:themeColor="text1"/>
          <w:sz w:val="44"/>
          <w:szCs w:val="44"/>
          <w:highlight w:val="none"/>
        </w:rPr>
        <w:t>委托书</w:t>
      </w:r>
    </w:p>
    <w:p w14:paraId="6777518B">
      <w:pPr>
        <w:spacing w:line="360" w:lineRule="auto"/>
        <w:rPr>
          <w:color w:val="000000" w:themeColor="text1"/>
          <w:sz w:val="24"/>
          <w:highlight w:val="none"/>
        </w:rPr>
      </w:pPr>
    </w:p>
    <w:p w14:paraId="417A88E6">
      <w:pPr>
        <w:spacing w:line="360" w:lineRule="auto"/>
        <w:rPr>
          <w:color w:val="000000" w:themeColor="text1"/>
          <w:sz w:val="28"/>
          <w:szCs w:val="28"/>
          <w:highlight w:val="none"/>
        </w:rPr>
      </w:pPr>
      <w:r>
        <w:rPr>
          <w:color w:val="000000" w:themeColor="text1"/>
          <w:sz w:val="28"/>
          <w:szCs w:val="28"/>
          <w:highlight w:val="none"/>
        </w:rPr>
        <w:t>内蒙古金绿环保服务有限公司：</w:t>
      </w:r>
    </w:p>
    <w:p w14:paraId="5D07EB51">
      <w:pPr>
        <w:spacing w:line="360" w:lineRule="auto"/>
        <w:ind w:firstLine="560" w:firstLineChars="200"/>
        <w:rPr>
          <w:color w:val="000000" w:themeColor="text1"/>
          <w:sz w:val="28"/>
          <w:szCs w:val="28"/>
          <w:highlight w:val="none"/>
        </w:rPr>
      </w:pPr>
      <w:r>
        <w:rPr>
          <w:color w:val="000000" w:themeColor="text1"/>
          <w:sz w:val="28"/>
          <w:szCs w:val="28"/>
          <w:highlight w:val="none"/>
        </w:rPr>
        <w:t>根据《中华人民共和国环境影响评价法》及国务院和中华人民共和国生态环境部的相关规定，特委托贵公司承担我单位</w:t>
      </w:r>
      <w:r>
        <w:rPr>
          <w:color w:val="000000" w:themeColor="text1"/>
          <w:sz w:val="28"/>
          <w:szCs w:val="28"/>
          <w:highlight w:val="none"/>
          <w:u w:val="single"/>
        </w:rPr>
        <w:t>内蒙古汇能煤电集团富民煤矿有限责任公司煤矿新增井筒项目</w:t>
      </w:r>
      <w:r>
        <w:rPr>
          <w:color w:val="000000" w:themeColor="text1"/>
          <w:sz w:val="28"/>
          <w:szCs w:val="28"/>
          <w:highlight w:val="none"/>
        </w:rPr>
        <w:t>的环境影响评价工作，其环境影响报告文本应满足有关环评技术导则和环境保护主管部门的规定和要求。</w:t>
      </w:r>
    </w:p>
    <w:p w14:paraId="0B13CB11">
      <w:pPr>
        <w:spacing w:line="360" w:lineRule="auto"/>
        <w:ind w:firstLine="560" w:firstLineChars="200"/>
        <w:jc w:val="right"/>
        <w:rPr>
          <w:color w:val="000000" w:themeColor="text1"/>
          <w:sz w:val="28"/>
          <w:szCs w:val="28"/>
          <w:highlight w:val="none"/>
        </w:rPr>
      </w:pPr>
    </w:p>
    <w:p w14:paraId="55213D7D">
      <w:pPr>
        <w:spacing w:line="360" w:lineRule="auto"/>
        <w:ind w:firstLine="560" w:firstLineChars="200"/>
        <w:jc w:val="right"/>
        <w:rPr>
          <w:color w:val="000000" w:themeColor="text1"/>
          <w:sz w:val="28"/>
          <w:szCs w:val="28"/>
          <w:highlight w:val="none"/>
        </w:rPr>
      </w:pPr>
    </w:p>
    <w:p w14:paraId="3C93B8F1">
      <w:pPr>
        <w:pStyle w:val="9"/>
        <w:spacing w:after="0" w:line="360" w:lineRule="auto"/>
        <w:rPr>
          <w:color w:val="000000" w:themeColor="text1"/>
          <w:sz w:val="28"/>
          <w:szCs w:val="28"/>
          <w:highlight w:val="none"/>
        </w:rPr>
      </w:pPr>
    </w:p>
    <w:p w14:paraId="59ADFE16">
      <w:pPr>
        <w:spacing w:line="360" w:lineRule="auto"/>
        <w:ind w:firstLine="560" w:firstLineChars="200"/>
        <w:jc w:val="right"/>
        <w:rPr>
          <w:color w:val="000000" w:themeColor="text1"/>
          <w:sz w:val="28"/>
          <w:szCs w:val="28"/>
          <w:highlight w:val="none"/>
        </w:rPr>
      </w:pPr>
      <w:r>
        <w:rPr>
          <w:color w:val="000000" w:themeColor="text1"/>
          <w:sz w:val="28"/>
          <w:szCs w:val="28"/>
          <w:highlight w:val="none"/>
        </w:rPr>
        <w:t>委托单位</w:t>
      </w:r>
      <w:r>
        <w:rPr>
          <w:rFonts w:hint="eastAsia"/>
          <w:color w:val="000000" w:themeColor="text1"/>
          <w:sz w:val="28"/>
          <w:szCs w:val="28"/>
          <w:highlight w:val="none"/>
        </w:rPr>
        <w:t>（</w:t>
      </w:r>
      <w:r>
        <w:rPr>
          <w:color w:val="000000" w:themeColor="text1"/>
          <w:sz w:val="28"/>
          <w:szCs w:val="28"/>
          <w:highlight w:val="none"/>
        </w:rPr>
        <w:t>盖章）：内蒙古汇能煤电集团富民煤矿有限责任公司</w:t>
      </w:r>
    </w:p>
    <w:p w14:paraId="224B9924">
      <w:pPr>
        <w:spacing w:line="360" w:lineRule="auto"/>
        <w:jc w:val="center"/>
        <w:rPr>
          <w:color w:val="000000" w:themeColor="text1"/>
          <w:sz w:val="24"/>
          <w:highlight w:val="none"/>
        </w:rPr>
      </w:pPr>
      <w:r>
        <w:rPr>
          <w:rFonts w:hint="eastAsia"/>
          <w:color w:val="000000" w:themeColor="text1"/>
          <w:sz w:val="28"/>
          <w:szCs w:val="28"/>
          <w:highlight w:val="none"/>
        </w:rPr>
        <w:t xml:space="preserve">                            </w:t>
      </w:r>
      <w:r>
        <w:rPr>
          <w:color w:val="000000" w:themeColor="text1"/>
          <w:sz w:val="28"/>
          <w:szCs w:val="28"/>
          <w:highlight w:val="none"/>
        </w:rPr>
        <w:t>202</w:t>
      </w:r>
      <w:r>
        <w:rPr>
          <w:rFonts w:hint="eastAsia"/>
          <w:color w:val="000000" w:themeColor="text1"/>
          <w:sz w:val="28"/>
          <w:szCs w:val="28"/>
          <w:highlight w:val="none"/>
        </w:rPr>
        <w:t>4</w:t>
      </w:r>
      <w:r>
        <w:rPr>
          <w:color w:val="000000" w:themeColor="text1"/>
          <w:sz w:val="28"/>
          <w:szCs w:val="28"/>
          <w:highlight w:val="none"/>
        </w:rPr>
        <w:t>年</w:t>
      </w:r>
      <w:r>
        <w:rPr>
          <w:rFonts w:hint="eastAsia"/>
          <w:color w:val="000000" w:themeColor="text1"/>
          <w:sz w:val="28"/>
          <w:szCs w:val="28"/>
          <w:highlight w:val="none"/>
        </w:rPr>
        <w:t>1</w:t>
      </w:r>
      <w:r>
        <w:rPr>
          <w:color w:val="000000" w:themeColor="text1"/>
          <w:sz w:val="28"/>
          <w:szCs w:val="28"/>
          <w:highlight w:val="none"/>
        </w:rPr>
        <w:t>月</w:t>
      </w:r>
      <w:r>
        <w:rPr>
          <w:rFonts w:hint="eastAsia"/>
          <w:color w:val="000000" w:themeColor="text1"/>
          <w:sz w:val="28"/>
          <w:szCs w:val="28"/>
          <w:highlight w:val="none"/>
        </w:rPr>
        <w:t>2</w:t>
      </w:r>
      <w:r>
        <w:rPr>
          <w:color w:val="000000" w:themeColor="text1"/>
          <w:sz w:val="28"/>
          <w:szCs w:val="28"/>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3C64579-F691-401C-BBAB-FEC2D1B2EC03}"/>
  </w:font>
  <w:font w:name="黑体">
    <w:panose1 w:val="02010609060101010101"/>
    <w:charset w:val="86"/>
    <w:family w:val="auto"/>
    <w:pitch w:val="default"/>
    <w:sig w:usb0="800002BF" w:usb1="38CF7CFA" w:usb2="00000016" w:usb3="00000000" w:csb0="00040001" w:csb1="00000000"/>
    <w:embedRegular r:id="rId2" w:fontKey="{B8E7DF30-A505-419E-BE0E-E5314C6531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672DC82-4F1B-4C90-84AE-CE7065691443}"/>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entury">
    <w:panose1 w:val="02040604050505020304"/>
    <w:charset w:val="00"/>
    <w:family w:val="roman"/>
    <w:pitch w:val="default"/>
    <w:sig w:usb0="00000287" w:usb1="00000000" w:usb2="00000000" w:usb3="00000000" w:csb0="2000009F" w:csb1="DFD70000"/>
  </w:font>
  <w:font w:name="Cambria Math">
    <w:panose1 w:val="02040503050406030204"/>
    <w:charset w:val="00"/>
    <w:family w:val="roman"/>
    <w:pitch w:val="default"/>
    <w:sig w:usb0="E00006FF" w:usb1="420024FF" w:usb2="02000000" w:usb3="00000000" w:csb0="2000019F" w:csb1="00000000"/>
  </w:font>
  <w:font w:name="Arial Narrow">
    <w:panose1 w:val="020B0606020202030204"/>
    <w:charset w:val="00"/>
    <w:family w:val="swiss"/>
    <w:pitch w:val="default"/>
    <w:sig w:usb0="00000287" w:usb1="00000800" w:usb2="00000000" w:usb3="00000000" w:csb0="2000009F" w:csb1="DFD70000"/>
  </w:font>
  <w:font w:name="汉鼎简书宋">
    <w:altName w:val="宋体"/>
    <w:panose1 w:val="00000000000000000000"/>
    <w:charset w:val="86"/>
    <w:family w:val="modern"/>
    <w:pitch w:val="default"/>
    <w:sig w:usb0="00000000" w:usb1="00000000" w:usb2="00000010" w:usb3="00000000" w:csb0="00040001" w:csb1="00000000"/>
  </w:font>
  <w:font w:name="方正小标宋_GBK">
    <w:panose1 w:val="02000000000000000000"/>
    <w:charset w:val="86"/>
    <w:family w:val="script"/>
    <w:pitch w:val="default"/>
    <w:sig w:usb0="00000001" w:usb1="080E0000" w:usb2="00000000" w:usb3="00000000" w:csb0="00040000" w:csb1="00000000"/>
    <w:embedRegular r:id="rId4" w:fontKey="{1D829CDD-2175-4916-BA7E-208B320FFC44}"/>
  </w:font>
  <w:font w:name="楷体_GB2312">
    <w:altName w:val="楷体"/>
    <w:panose1 w:val="02010609030101010101"/>
    <w:charset w:val="86"/>
    <w:family w:val="modern"/>
    <w:pitch w:val="default"/>
    <w:sig w:usb0="00000000" w:usb1="00000000" w:usb2="00000000" w:usb3="00000000" w:csb0="00040000" w:csb1="00000000"/>
    <w:embedRegular r:id="rId5" w:fontKey="{7E450438-CAFA-45C8-A07F-AA88F20EBA26}"/>
  </w:font>
  <w:font w:name="楷体">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embedRegular r:id="rId6" w:fontKey="{879C8E0E-7A99-4F99-8D89-CC64FEB0B709}"/>
  </w:font>
  <w:font w:name="仿宋">
    <w:panose1 w:val="02010609060101010101"/>
    <w:charset w:val="86"/>
    <w:family w:val="modern"/>
    <w:pitch w:val="default"/>
    <w:sig w:usb0="800002BF" w:usb1="38CF7CFA" w:usb2="00000016" w:usb3="00000000" w:csb0="00040001" w:csb1="00000000"/>
    <w:embedRegular r:id="rId7" w:fontKey="{330F8984-F83E-4C1C-8F93-BCF04FB9898F}"/>
  </w:font>
  <w:font w:name="仿宋_GB2312">
    <w:altName w:val="仿宋"/>
    <w:panose1 w:val="02010609030101010101"/>
    <w:charset w:val="86"/>
    <w:family w:val="auto"/>
    <w:pitch w:val="default"/>
    <w:sig w:usb0="00000000" w:usb1="00000000" w:usb2="00000000" w:usb3="00000000" w:csb0="00040000" w:csb1="00000000"/>
    <w:embedRegular r:id="rId8" w:fontKey="{FBFC9254-C7CB-464D-92E0-0BB7670B8E74}"/>
  </w:font>
  <w:font w:name="微软雅黑">
    <w:panose1 w:val="020B0503020204020204"/>
    <w:charset w:val="86"/>
    <w:family w:val="swiss"/>
    <w:pitch w:val="default"/>
    <w:sig w:usb0="80000287" w:usb1="2ACF3C50" w:usb2="00000016" w:usb3="00000000" w:csb0="0004001F" w:csb1="00000000"/>
    <w:embedRegular r:id="rId9" w:fontKey="{A8B5C7C5-CB8C-4DE5-91E4-7F068A79BA6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D90CC">
    <w:pPr>
      <w:pStyle w:val="20"/>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9D749">
    <w:pPr>
      <w:pStyle w:val="20"/>
      <w:framePr w:wrap="around" w:vAnchor="text" w:hAnchor="margin" w:xAlign="outside" w:y="1"/>
      <w:rPr>
        <w:rStyle w:val="30"/>
      </w:rPr>
    </w:pPr>
    <w:r>
      <w:rPr>
        <w:rStyle w:val="30"/>
      </w:rPr>
      <w:fldChar w:fldCharType="begin"/>
    </w:r>
    <w:r>
      <w:rPr>
        <w:rStyle w:val="30"/>
      </w:rPr>
      <w:instrText xml:space="preserve">PAGE  </w:instrText>
    </w:r>
    <w:r>
      <w:rPr>
        <w:rStyle w:val="30"/>
      </w:rPr>
      <w:fldChar w:fldCharType="end"/>
    </w:r>
  </w:p>
  <w:p w14:paraId="0B43A5D8">
    <w:pPr>
      <w:pStyle w:val="20"/>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BAD99">
    <w:pPr>
      <w:pStyle w:val="20"/>
      <w:ind w:right="360" w:firstLine="360"/>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joinstyle="miter"/>
          <v:imagedata o:title=""/>
          <o:lock v:ext="edit"/>
          <v:textbox inset="0mm,0mm,0mm,0mm" style="mso-fit-shape-to-text:t;">
            <w:txbxContent>
              <w:p w14:paraId="427394DE">
                <w:pPr>
                  <w:pStyle w:val="20"/>
                  <w:rPr>
                    <w:rStyle w:val="30"/>
                    <w:rFonts w:ascii="宋体" w:hAnsi="宋体"/>
                    <w:sz w:val="28"/>
                    <w:szCs w:val="28"/>
                  </w:rPr>
                </w:pPr>
                <w:r>
                  <w:rPr>
                    <w:rStyle w:val="30"/>
                    <w:rFonts w:hint="eastAsia" w:ascii="宋体" w:hAnsi="宋体"/>
                    <w:sz w:val="28"/>
                    <w:szCs w:val="28"/>
                  </w:rPr>
                  <w:t>-</w:t>
                </w:r>
                <w:r>
                  <w:rPr>
                    <w:rStyle w:val="30"/>
                    <w:rFonts w:hint="eastAsia" w:ascii="宋体" w:hAnsi="宋体"/>
                    <w:sz w:val="20"/>
                    <w:szCs w:val="20"/>
                  </w:rPr>
                  <w:t xml:space="preserve">  </w:t>
                </w:r>
                <w:r>
                  <w:rPr>
                    <w:rStyle w:val="30"/>
                    <w:rFonts w:ascii="宋体" w:hAnsi="宋体"/>
                    <w:sz w:val="26"/>
                    <w:szCs w:val="26"/>
                  </w:rPr>
                  <w:fldChar w:fldCharType="begin"/>
                </w:r>
                <w:r>
                  <w:rPr>
                    <w:rStyle w:val="30"/>
                    <w:rFonts w:ascii="宋体" w:hAnsi="宋体"/>
                    <w:sz w:val="26"/>
                    <w:szCs w:val="26"/>
                  </w:rPr>
                  <w:instrText xml:space="preserve">PAGE  </w:instrText>
                </w:r>
                <w:r>
                  <w:rPr>
                    <w:rStyle w:val="30"/>
                    <w:rFonts w:ascii="宋体" w:hAnsi="宋体"/>
                    <w:sz w:val="26"/>
                    <w:szCs w:val="26"/>
                  </w:rPr>
                  <w:fldChar w:fldCharType="separate"/>
                </w:r>
                <w:r>
                  <w:rPr>
                    <w:rStyle w:val="30"/>
                    <w:rFonts w:ascii="宋体" w:hAnsi="宋体"/>
                    <w:sz w:val="26"/>
                    <w:szCs w:val="26"/>
                  </w:rPr>
                  <w:t>55</w:t>
                </w:r>
                <w:r>
                  <w:rPr>
                    <w:rStyle w:val="30"/>
                    <w:rFonts w:ascii="宋体" w:hAnsi="宋体"/>
                    <w:sz w:val="26"/>
                    <w:szCs w:val="26"/>
                  </w:rPr>
                  <w:fldChar w:fldCharType="end"/>
                </w:r>
                <w:r>
                  <w:rPr>
                    <w:rStyle w:val="30"/>
                    <w:rFonts w:hint="eastAsia" w:ascii="宋体" w:hAnsi="宋体"/>
                    <w:sz w:val="20"/>
                    <w:szCs w:val="20"/>
                  </w:rPr>
                  <w:t xml:space="preserve">  </w:t>
                </w:r>
                <w:r>
                  <w:rPr>
                    <w:rStyle w:val="30"/>
                    <w:rFonts w:hint="eastAsia" w:ascii="宋体" w:hAnsi="宋体"/>
                    <w:sz w:val="28"/>
                    <w:szCs w:val="28"/>
                  </w:rPr>
                  <w:t>-</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5CB95E"/>
    <w:multiLevelType w:val="singleLevel"/>
    <w:tmpl w:val="9B5CB95E"/>
    <w:lvl w:ilvl="0" w:tentative="0">
      <w:start w:val="1"/>
      <w:numFmt w:val="decimal"/>
      <w:suff w:val="nothing"/>
      <w:lvlText w:val="（%1）"/>
      <w:lvlJc w:val="left"/>
    </w:lvl>
  </w:abstractNum>
  <w:abstractNum w:abstractNumId="1">
    <w:nsid w:val="A3D8D2C1"/>
    <w:multiLevelType w:val="singleLevel"/>
    <w:tmpl w:val="A3D8D2C1"/>
    <w:lvl w:ilvl="0" w:tentative="0">
      <w:start w:val="1"/>
      <w:numFmt w:val="chineseCounting"/>
      <w:suff w:val="nothing"/>
      <w:lvlText w:val="%1、"/>
      <w:lvlJc w:val="left"/>
      <w:pPr>
        <w:ind w:left="780"/>
      </w:pPr>
      <w:rPr>
        <w:rFonts w:hint="eastAsia"/>
      </w:rPr>
    </w:lvl>
  </w:abstractNum>
  <w:abstractNum w:abstractNumId="2">
    <w:nsid w:val="BE26729A"/>
    <w:multiLevelType w:val="singleLevel"/>
    <w:tmpl w:val="BE26729A"/>
    <w:lvl w:ilvl="0" w:tentative="0">
      <w:start w:val="1"/>
      <w:numFmt w:val="decimal"/>
      <w:suff w:val="nothing"/>
      <w:lvlText w:val="%1"/>
      <w:lvlJc w:val="left"/>
      <w:pPr>
        <w:ind w:left="0" w:firstLine="0"/>
      </w:pPr>
      <w:rPr>
        <w:rFonts w:hint="default"/>
      </w:rPr>
    </w:lvl>
  </w:abstractNum>
  <w:abstractNum w:abstractNumId="3">
    <w:nsid w:val="C9A56881"/>
    <w:multiLevelType w:val="singleLevel"/>
    <w:tmpl w:val="C9A56881"/>
    <w:lvl w:ilvl="0" w:tentative="0">
      <w:start w:val="2"/>
      <w:numFmt w:val="decimal"/>
      <w:suff w:val="nothing"/>
      <w:lvlText w:val="（%1）"/>
      <w:lvlJc w:val="left"/>
    </w:lvl>
  </w:abstractNum>
  <w:abstractNum w:abstractNumId="4">
    <w:nsid w:val="CF8FCC36"/>
    <w:multiLevelType w:val="singleLevel"/>
    <w:tmpl w:val="CF8FCC36"/>
    <w:lvl w:ilvl="0" w:tentative="0">
      <w:start w:val="1"/>
      <w:numFmt w:val="decimal"/>
      <w:suff w:val="nothing"/>
      <w:lvlText w:val="%1"/>
      <w:lvlJc w:val="left"/>
      <w:pPr>
        <w:ind w:left="0" w:firstLine="0"/>
      </w:pPr>
      <w:rPr>
        <w:rFonts w:hint="default"/>
      </w:rPr>
    </w:lvl>
  </w:abstractNum>
  <w:abstractNum w:abstractNumId="5">
    <w:nsid w:val="EDE2AEC5"/>
    <w:multiLevelType w:val="singleLevel"/>
    <w:tmpl w:val="EDE2AEC5"/>
    <w:lvl w:ilvl="0" w:tentative="0">
      <w:start w:val="1"/>
      <w:numFmt w:val="bullet"/>
      <w:pStyle w:val="17"/>
      <w:lvlText w:val=""/>
      <w:lvlJc w:val="left"/>
      <w:pPr>
        <w:tabs>
          <w:tab w:val="left" w:pos="2040"/>
        </w:tabs>
        <w:ind w:left="2040" w:hanging="360"/>
      </w:pPr>
      <w:rPr>
        <w:rFonts w:hint="default" w:ascii="Wingdings" w:hAnsi="Wingdings"/>
      </w:rPr>
    </w:lvl>
  </w:abstractNum>
  <w:num w:numId="1">
    <w:abstractNumId w:val="5"/>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2M1MzQ5YjJjYTY4ZmZjN2I1YmFhNzM4MjFjYTdlY2IifQ=="/>
  </w:docVars>
  <w:rsids>
    <w:rsidRoot w:val="517544A6"/>
    <w:rsid w:val="00250F15"/>
    <w:rsid w:val="002E4AE3"/>
    <w:rsid w:val="00341173"/>
    <w:rsid w:val="006B681C"/>
    <w:rsid w:val="006C6E76"/>
    <w:rsid w:val="007F6EB2"/>
    <w:rsid w:val="00997BE8"/>
    <w:rsid w:val="00AA0705"/>
    <w:rsid w:val="00B604AB"/>
    <w:rsid w:val="00C4180D"/>
    <w:rsid w:val="00C56A9D"/>
    <w:rsid w:val="00F15260"/>
    <w:rsid w:val="00F81A0A"/>
    <w:rsid w:val="00F8217C"/>
    <w:rsid w:val="00FB6B53"/>
    <w:rsid w:val="023C2B54"/>
    <w:rsid w:val="03600692"/>
    <w:rsid w:val="037377CC"/>
    <w:rsid w:val="039C43AB"/>
    <w:rsid w:val="03AF0951"/>
    <w:rsid w:val="047D5105"/>
    <w:rsid w:val="04F67E03"/>
    <w:rsid w:val="0563346C"/>
    <w:rsid w:val="059C7FFC"/>
    <w:rsid w:val="06527FC6"/>
    <w:rsid w:val="06817174"/>
    <w:rsid w:val="07E960BF"/>
    <w:rsid w:val="080E5335"/>
    <w:rsid w:val="097E7AC3"/>
    <w:rsid w:val="09D973F0"/>
    <w:rsid w:val="0A032A1B"/>
    <w:rsid w:val="0AA16587"/>
    <w:rsid w:val="0ABE495C"/>
    <w:rsid w:val="0AC2532D"/>
    <w:rsid w:val="0AD344B5"/>
    <w:rsid w:val="0BEF690E"/>
    <w:rsid w:val="0C623983"/>
    <w:rsid w:val="0D6E4A7D"/>
    <w:rsid w:val="0DD9599C"/>
    <w:rsid w:val="0DFE5677"/>
    <w:rsid w:val="0E3F42E4"/>
    <w:rsid w:val="0F517218"/>
    <w:rsid w:val="0FA3266D"/>
    <w:rsid w:val="0FAB4D82"/>
    <w:rsid w:val="0FEF3884"/>
    <w:rsid w:val="1038173E"/>
    <w:rsid w:val="107C2F3D"/>
    <w:rsid w:val="108045E0"/>
    <w:rsid w:val="10AC1E68"/>
    <w:rsid w:val="122917B6"/>
    <w:rsid w:val="1281041C"/>
    <w:rsid w:val="12984A5A"/>
    <w:rsid w:val="12D841CE"/>
    <w:rsid w:val="135A04DC"/>
    <w:rsid w:val="157F0C8A"/>
    <w:rsid w:val="16B759BA"/>
    <w:rsid w:val="16D6713E"/>
    <w:rsid w:val="17097232"/>
    <w:rsid w:val="17291C0F"/>
    <w:rsid w:val="180C0990"/>
    <w:rsid w:val="18775734"/>
    <w:rsid w:val="188123C3"/>
    <w:rsid w:val="19745637"/>
    <w:rsid w:val="19A23135"/>
    <w:rsid w:val="1A1872D4"/>
    <w:rsid w:val="1AA976C6"/>
    <w:rsid w:val="1C2A1F48"/>
    <w:rsid w:val="1CB27E34"/>
    <w:rsid w:val="1CDA763F"/>
    <w:rsid w:val="1CFF2C03"/>
    <w:rsid w:val="1DD43CFE"/>
    <w:rsid w:val="1E293B35"/>
    <w:rsid w:val="1EA732A6"/>
    <w:rsid w:val="1F1A4A51"/>
    <w:rsid w:val="201834D8"/>
    <w:rsid w:val="201E5705"/>
    <w:rsid w:val="20A564BA"/>
    <w:rsid w:val="20D4311C"/>
    <w:rsid w:val="210E78A5"/>
    <w:rsid w:val="215662E8"/>
    <w:rsid w:val="217C1266"/>
    <w:rsid w:val="21B815F7"/>
    <w:rsid w:val="221F15F1"/>
    <w:rsid w:val="223517D8"/>
    <w:rsid w:val="23F73DB0"/>
    <w:rsid w:val="240312C0"/>
    <w:rsid w:val="24AA1CEC"/>
    <w:rsid w:val="257A080A"/>
    <w:rsid w:val="25DF6207"/>
    <w:rsid w:val="262C5424"/>
    <w:rsid w:val="26C66A5A"/>
    <w:rsid w:val="279202C9"/>
    <w:rsid w:val="28806CF4"/>
    <w:rsid w:val="2901669B"/>
    <w:rsid w:val="2A5568FB"/>
    <w:rsid w:val="2A7A79DE"/>
    <w:rsid w:val="2AA33237"/>
    <w:rsid w:val="2AE449EF"/>
    <w:rsid w:val="2B2B1B0B"/>
    <w:rsid w:val="2BFFF226"/>
    <w:rsid w:val="2C7227C3"/>
    <w:rsid w:val="2D3A675D"/>
    <w:rsid w:val="2D934409"/>
    <w:rsid w:val="2F374C5A"/>
    <w:rsid w:val="2F4F212F"/>
    <w:rsid w:val="2FF722FC"/>
    <w:rsid w:val="300C69B3"/>
    <w:rsid w:val="306A65B9"/>
    <w:rsid w:val="315E130A"/>
    <w:rsid w:val="31722E39"/>
    <w:rsid w:val="32CF2F48"/>
    <w:rsid w:val="343C2AF9"/>
    <w:rsid w:val="34DE1920"/>
    <w:rsid w:val="35030EEC"/>
    <w:rsid w:val="358110D5"/>
    <w:rsid w:val="35D80965"/>
    <w:rsid w:val="361A26D3"/>
    <w:rsid w:val="368A5943"/>
    <w:rsid w:val="36A570BC"/>
    <w:rsid w:val="385F2845"/>
    <w:rsid w:val="3948248C"/>
    <w:rsid w:val="39961BE7"/>
    <w:rsid w:val="39AA3E12"/>
    <w:rsid w:val="39B527DE"/>
    <w:rsid w:val="3A0078FA"/>
    <w:rsid w:val="3A073E4C"/>
    <w:rsid w:val="3A475949"/>
    <w:rsid w:val="3A4B4EF0"/>
    <w:rsid w:val="3A8540EF"/>
    <w:rsid w:val="3AFFBCAC"/>
    <w:rsid w:val="3B273268"/>
    <w:rsid w:val="3B5A0F2C"/>
    <w:rsid w:val="3B820DE6"/>
    <w:rsid w:val="3B9D508F"/>
    <w:rsid w:val="3BCC04D8"/>
    <w:rsid w:val="3BFD1F22"/>
    <w:rsid w:val="3C940DD1"/>
    <w:rsid w:val="3C983125"/>
    <w:rsid w:val="3D5577B1"/>
    <w:rsid w:val="3D5928AA"/>
    <w:rsid w:val="3D5BC4B8"/>
    <w:rsid w:val="3D5D7A2E"/>
    <w:rsid w:val="3D931088"/>
    <w:rsid w:val="3DF16870"/>
    <w:rsid w:val="3E427218"/>
    <w:rsid w:val="3F5E60C6"/>
    <w:rsid w:val="3FB734BF"/>
    <w:rsid w:val="40F70AD4"/>
    <w:rsid w:val="40FC6F44"/>
    <w:rsid w:val="4152236F"/>
    <w:rsid w:val="431D0717"/>
    <w:rsid w:val="4337270C"/>
    <w:rsid w:val="433B57B2"/>
    <w:rsid w:val="4355648A"/>
    <w:rsid w:val="44313516"/>
    <w:rsid w:val="443B699C"/>
    <w:rsid w:val="449E23DD"/>
    <w:rsid w:val="44D64101"/>
    <w:rsid w:val="453A1538"/>
    <w:rsid w:val="456F43A5"/>
    <w:rsid w:val="45BC2E5C"/>
    <w:rsid w:val="45DE303C"/>
    <w:rsid w:val="45E702E2"/>
    <w:rsid w:val="4613358E"/>
    <w:rsid w:val="468269BA"/>
    <w:rsid w:val="46B224A9"/>
    <w:rsid w:val="48922976"/>
    <w:rsid w:val="489D3F6C"/>
    <w:rsid w:val="48B325DE"/>
    <w:rsid w:val="49773EB4"/>
    <w:rsid w:val="497E69F4"/>
    <w:rsid w:val="49B72AE5"/>
    <w:rsid w:val="4A176923"/>
    <w:rsid w:val="4A7F81BA"/>
    <w:rsid w:val="4AD625B4"/>
    <w:rsid w:val="4B5C3AD0"/>
    <w:rsid w:val="4B5C3BD5"/>
    <w:rsid w:val="4C984B4D"/>
    <w:rsid w:val="4D3116D4"/>
    <w:rsid w:val="4DBC0187"/>
    <w:rsid w:val="4E1870B9"/>
    <w:rsid w:val="4F324243"/>
    <w:rsid w:val="4F35288F"/>
    <w:rsid w:val="4F587A3C"/>
    <w:rsid w:val="4F650DE3"/>
    <w:rsid w:val="4FCB0567"/>
    <w:rsid w:val="50597CA2"/>
    <w:rsid w:val="50764560"/>
    <w:rsid w:val="50D13F4A"/>
    <w:rsid w:val="517544A6"/>
    <w:rsid w:val="519E175D"/>
    <w:rsid w:val="519E217A"/>
    <w:rsid w:val="525E1BA5"/>
    <w:rsid w:val="52F95C05"/>
    <w:rsid w:val="537B40F7"/>
    <w:rsid w:val="53806847"/>
    <w:rsid w:val="53A82F4A"/>
    <w:rsid w:val="53C8084A"/>
    <w:rsid w:val="54013DDF"/>
    <w:rsid w:val="542072D7"/>
    <w:rsid w:val="5440050C"/>
    <w:rsid w:val="54745736"/>
    <w:rsid w:val="558B2B87"/>
    <w:rsid w:val="55A9063D"/>
    <w:rsid w:val="56092D10"/>
    <w:rsid w:val="56286BBA"/>
    <w:rsid w:val="56D37483"/>
    <w:rsid w:val="56FA60FC"/>
    <w:rsid w:val="57143949"/>
    <w:rsid w:val="5745349D"/>
    <w:rsid w:val="584E5E80"/>
    <w:rsid w:val="585E06F3"/>
    <w:rsid w:val="5891082B"/>
    <w:rsid w:val="59380C52"/>
    <w:rsid w:val="5A12021A"/>
    <w:rsid w:val="5AB31059"/>
    <w:rsid w:val="5BB70D0F"/>
    <w:rsid w:val="5BF204F4"/>
    <w:rsid w:val="5C69009F"/>
    <w:rsid w:val="5C73325C"/>
    <w:rsid w:val="5D4705D7"/>
    <w:rsid w:val="5D9C4CE4"/>
    <w:rsid w:val="5DC7796E"/>
    <w:rsid w:val="5DCE1DE2"/>
    <w:rsid w:val="5E1B32D4"/>
    <w:rsid w:val="5E3650C8"/>
    <w:rsid w:val="5E5E5C71"/>
    <w:rsid w:val="5F304EF5"/>
    <w:rsid w:val="5F486AB7"/>
    <w:rsid w:val="5F667D08"/>
    <w:rsid w:val="5FDF31B3"/>
    <w:rsid w:val="5FF6E5F7"/>
    <w:rsid w:val="60023FC9"/>
    <w:rsid w:val="600D03CE"/>
    <w:rsid w:val="604A33D1"/>
    <w:rsid w:val="60E2555E"/>
    <w:rsid w:val="60F667AC"/>
    <w:rsid w:val="619223E3"/>
    <w:rsid w:val="62765A2F"/>
    <w:rsid w:val="629B6165"/>
    <w:rsid w:val="634E31D8"/>
    <w:rsid w:val="636B3D8A"/>
    <w:rsid w:val="63D24729"/>
    <w:rsid w:val="655E4299"/>
    <w:rsid w:val="65655057"/>
    <w:rsid w:val="659713CB"/>
    <w:rsid w:val="664448C4"/>
    <w:rsid w:val="667C5506"/>
    <w:rsid w:val="66E6F108"/>
    <w:rsid w:val="67636BC9"/>
    <w:rsid w:val="67814AF6"/>
    <w:rsid w:val="678E0DF1"/>
    <w:rsid w:val="68D9098C"/>
    <w:rsid w:val="68DC320D"/>
    <w:rsid w:val="6942733B"/>
    <w:rsid w:val="69D87E75"/>
    <w:rsid w:val="6A0670C4"/>
    <w:rsid w:val="6AB11D9A"/>
    <w:rsid w:val="6AEE063A"/>
    <w:rsid w:val="6CDC42EF"/>
    <w:rsid w:val="6CF91317"/>
    <w:rsid w:val="6D77344D"/>
    <w:rsid w:val="6D8A3AF6"/>
    <w:rsid w:val="6DDC385F"/>
    <w:rsid w:val="6E5042C4"/>
    <w:rsid w:val="6EDE7E0F"/>
    <w:rsid w:val="6EF7327B"/>
    <w:rsid w:val="6F2303C2"/>
    <w:rsid w:val="6F75727E"/>
    <w:rsid w:val="6F776FD6"/>
    <w:rsid w:val="6FB4197D"/>
    <w:rsid w:val="704A28B1"/>
    <w:rsid w:val="7100559D"/>
    <w:rsid w:val="711C501E"/>
    <w:rsid w:val="715D15A2"/>
    <w:rsid w:val="722332C6"/>
    <w:rsid w:val="72677E12"/>
    <w:rsid w:val="72C07DA8"/>
    <w:rsid w:val="73640D17"/>
    <w:rsid w:val="73936FCF"/>
    <w:rsid w:val="742C74EB"/>
    <w:rsid w:val="74762BCD"/>
    <w:rsid w:val="74FF3282"/>
    <w:rsid w:val="75843EDF"/>
    <w:rsid w:val="75B91E65"/>
    <w:rsid w:val="75C07A78"/>
    <w:rsid w:val="774768D0"/>
    <w:rsid w:val="77651BE7"/>
    <w:rsid w:val="77A63DBF"/>
    <w:rsid w:val="77F531EC"/>
    <w:rsid w:val="79EB224B"/>
    <w:rsid w:val="7A1E16FE"/>
    <w:rsid w:val="7A2B3E1B"/>
    <w:rsid w:val="7A3176E5"/>
    <w:rsid w:val="7C9F2748"/>
    <w:rsid w:val="7D520807"/>
    <w:rsid w:val="7DF75E7F"/>
    <w:rsid w:val="7E3808B5"/>
    <w:rsid w:val="7E5E6C64"/>
    <w:rsid w:val="7EBB2BD6"/>
    <w:rsid w:val="7EBD2391"/>
    <w:rsid w:val="7F470C50"/>
    <w:rsid w:val="7FB23D9D"/>
    <w:rsid w:val="8F594BF4"/>
    <w:rsid w:val="8FAFBB59"/>
    <w:rsid w:val="B7FB717C"/>
    <w:rsid w:val="C5B38584"/>
    <w:rsid w:val="DD7F0D8F"/>
    <w:rsid w:val="DFA72F52"/>
    <w:rsid w:val="ECE51686"/>
    <w:rsid w:val="EDDA383C"/>
    <w:rsid w:val="F2FDCF80"/>
    <w:rsid w:val="F6FD011D"/>
    <w:rsid w:val="FB55CFB7"/>
    <w:rsid w:val="FB5726C7"/>
    <w:rsid w:val="FECFDF8F"/>
    <w:rsid w:val="FFF711BD"/>
    <w:rsid w:val="FFFF82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9"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autoRedefine/>
    <w:unhideWhenUsed/>
    <w:qFormat/>
    <w:uiPriority w:val="0"/>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5"/>
    <w:autoRedefine/>
    <w:qFormat/>
    <w:uiPriority w:val="0"/>
    <w:pPr>
      <w:keepNext/>
      <w:keepLines/>
      <w:spacing w:before="20" w:after="20" w:line="360" w:lineRule="auto"/>
      <w:outlineLvl w:val="2"/>
    </w:pPr>
    <w:rPr>
      <w:rFonts w:ascii="宋体"/>
      <w:b/>
      <w:kern w:val="0"/>
      <w:sz w:val="28"/>
      <w:szCs w:val="20"/>
    </w:rPr>
  </w:style>
  <w:style w:type="paragraph" w:styleId="6">
    <w:name w:val="heading 4"/>
    <w:basedOn w:val="1"/>
    <w:next w:val="1"/>
    <w:autoRedefine/>
    <w:unhideWhenUsed/>
    <w:qFormat/>
    <w:uiPriority w:val="9"/>
    <w:pPr>
      <w:keepNext/>
      <w:keepLines/>
      <w:spacing w:before="120" w:after="120"/>
      <w:outlineLvl w:val="3"/>
    </w:pPr>
    <w:rPr>
      <w:rFonts w:ascii="Cambria" w:hAnsi="Cambria" w:eastAsia="黑体"/>
      <w:bCs/>
      <w:szCs w:val="28"/>
    </w:rPr>
  </w:style>
  <w:style w:type="paragraph" w:styleId="7">
    <w:name w:val="heading 6"/>
    <w:basedOn w:val="1"/>
    <w:next w:val="1"/>
    <w:autoRedefine/>
    <w:qFormat/>
    <w:uiPriority w:val="0"/>
    <w:pPr>
      <w:keepNext/>
      <w:keepLines/>
      <w:adjustRightInd w:val="0"/>
      <w:spacing w:line="320" w:lineRule="atLeast"/>
      <w:jc w:val="left"/>
      <w:textAlignment w:val="baseline"/>
      <w:outlineLvl w:val="5"/>
    </w:pPr>
    <w:rPr>
      <w:rFonts w:ascii="Arial" w:hAnsi="Arial" w:eastAsia="黑体"/>
      <w:b/>
      <w:sz w:val="24"/>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5">
    <w:name w:val="正文中文"/>
    <w:autoRedefine/>
    <w:qFormat/>
    <w:uiPriority w:val="4"/>
    <w:pPr>
      <w:spacing w:line="360" w:lineRule="auto"/>
      <w:ind w:firstLine="200" w:firstLineChars="200"/>
      <w:jc w:val="both"/>
    </w:pPr>
    <w:rPr>
      <w:rFonts w:ascii="Times New Roman" w:hAnsi="Times New Roman" w:eastAsia="宋体" w:cs="Times New Roman"/>
      <w:kern w:val="2"/>
      <w:sz w:val="24"/>
      <w:szCs w:val="28"/>
      <w:lang w:val="en-US" w:eastAsia="zh-CN" w:bidi="ar-SA"/>
    </w:rPr>
  </w:style>
  <w:style w:type="paragraph" w:styleId="8">
    <w:name w:val="Normal Indent"/>
    <w:basedOn w:val="1"/>
    <w:next w:val="9"/>
    <w:autoRedefine/>
    <w:unhideWhenUsed/>
    <w:qFormat/>
    <w:uiPriority w:val="99"/>
    <w:pPr>
      <w:ind w:firstLine="420" w:firstLineChars="200"/>
    </w:pPr>
  </w:style>
  <w:style w:type="paragraph" w:styleId="9">
    <w:name w:val="Body Text First Indent 2"/>
    <w:basedOn w:val="10"/>
    <w:autoRedefine/>
    <w:unhideWhenUsed/>
    <w:qFormat/>
    <w:uiPriority w:val="0"/>
    <w:pPr>
      <w:tabs>
        <w:tab w:val="left" w:pos="360"/>
        <w:tab w:val="left" w:pos="900"/>
      </w:tabs>
      <w:ind w:firstLine="420"/>
    </w:pPr>
  </w:style>
  <w:style w:type="paragraph" w:styleId="10">
    <w:name w:val="Body Text Indent"/>
    <w:basedOn w:val="1"/>
    <w:autoRedefine/>
    <w:semiHidden/>
    <w:qFormat/>
    <w:uiPriority w:val="0"/>
    <w:pPr>
      <w:spacing w:after="120"/>
      <w:ind w:left="420" w:leftChars="200"/>
    </w:pPr>
  </w:style>
  <w:style w:type="paragraph" w:styleId="11">
    <w:name w:val="caption"/>
    <w:basedOn w:val="1"/>
    <w:next w:val="1"/>
    <w:autoRedefine/>
    <w:qFormat/>
    <w:uiPriority w:val="0"/>
    <w:pPr>
      <w:spacing w:beforeLines="50" w:afterLines="50" w:line="360" w:lineRule="auto"/>
      <w:ind w:firstLine="200" w:firstLineChars="200"/>
      <w:jc w:val="center"/>
    </w:pPr>
    <w:rPr>
      <w:rFonts w:ascii="Cambria" w:hAnsi="Cambria" w:eastAsia="黑体" w:cstheme="majorBidi"/>
      <w:bCs/>
      <w:sz w:val="20"/>
      <w:szCs w:val="20"/>
    </w:rPr>
  </w:style>
  <w:style w:type="paragraph" w:styleId="12">
    <w:name w:val="Document Map"/>
    <w:basedOn w:val="1"/>
    <w:link w:val="64"/>
    <w:qFormat/>
    <w:uiPriority w:val="0"/>
    <w:rPr>
      <w:rFonts w:ascii="宋体"/>
      <w:sz w:val="18"/>
      <w:szCs w:val="18"/>
    </w:rPr>
  </w:style>
  <w:style w:type="paragraph" w:styleId="13">
    <w:name w:val="annotation text"/>
    <w:basedOn w:val="1"/>
    <w:link w:val="65"/>
    <w:autoRedefine/>
    <w:semiHidden/>
    <w:qFormat/>
    <w:uiPriority w:val="0"/>
    <w:pPr>
      <w:jc w:val="left"/>
    </w:pPr>
    <w:rPr>
      <w:kern w:val="0"/>
      <w:sz w:val="20"/>
    </w:rPr>
  </w:style>
  <w:style w:type="paragraph" w:styleId="14">
    <w:name w:val="Body Text"/>
    <w:basedOn w:val="1"/>
    <w:autoRedefine/>
    <w:qFormat/>
    <w:uiPriority w:val="0"/>
    <w:pPr>
      <w:widowControl/>
      <w:snapToGrid w:val="0"/>
      <w:spacing w:before="60" w:after="160" w:line="259" w:lineRule="auto"/>
      <w:ind w:right="113"/>
    </w:pPr>
    <w:rPr>
      <w:kern w:val="0"/>
      <w:szCs w:val="18"/>
    </w:rPr>
  </w:style>
  <w:style w:type="paragraph" w:styleId="15">
    <w:name w:val="Block Text"/>
    <w:basedOn w:val="1"/>
    <w:autoRedefine/>
    <w:qFormat/>
    <w:uiPriority w:val="0"/>
    <w:pPr>
      <w:spacing w:after="120"/>
      <w:ind w:left="1440" w:leftChars="700" w:right="1440" w:rightChars="700"/>
    </w:pPr>
  </w:style>
  <w:style w:type="paragraph" w:styleId="16">
    <w:name w:val="Plain Text"/>
    <w:basedOn w:val="1"/>
    <w:link w:val="63"/>
    <w:autoRedefine/>
    <w:qFormat/>
    <w:uiPriority w:val="0"/>
    <w:rPr>
      <w:rFonts w:ascii="宋体" w:hAnsi="Courier New" w:cs="Century"/>
      <w:szCs w:val="21"/>
    </w:rPr>
  </w:style>
  <w:style w:type="paragraph" w:styleId="17">
    <w:name w:val="List Bullet 5"/>
    <w:basedOn w:val="1"/>
    <w:autoRedefine/>
    <w:qFormat/>
    <w:uiPriority w:val="0"/>
    <w:pPr>
      <w:numPr>
        <w:ilvl w:val="0"/>
        <w:numId w:val="1"/>
      </w:numPr>
    </w:pPr>
  </w:style>
  <w:style w:type="paragraph" w:styleId="18">
    <w:name w:val="Body Text Indent 2"/>
    <w:basedOn w:val="1"/>
    <w:next w:val="1"/>
    <w:autoRedefine/>
    <w:qFormat/>
    <w:uiPriority w:val="0"/>
    <w:pPr>
      <w:spacing w:line="360" w:lineRule="auto"/>
      <w:ind w:firstLine="624"/>
    </w:pPr>
    <w:rPr>
      <w:sz w:val="28"/>
    </w:rPr>
  </w:style>
  <w:style w:type="paragraph" w:styleId="19">
    <w:name w:val="Balloon Text"/>
    <w:basedOn w:val="1"/>
    <w:link w:val="67"/>
    <w:qFormat/>
    <w:uiPriority w:val="0"/>
    <w:rPr>
      <w:sz w:val="18"/>
      <w:szCs w:val="18"/>
    </w:rPr>
  </w:style>
  <w:style w:type="paragraph" w:styleId="20">
    <w:name w:val="footer"/>
    <w:basedOn w:val="1"/>
    <w:autoRedefine/>
    <w:qFormat/>
    <w:uiPriority w:val="0"/>
    <w:pPr>
      <w:tabs>
        <w:tab w:val="center" w:pos="4153"/>
        <w:tab w:val="right" w:pos="8306"/>
      </w:tabs>
      <w:snapToGrid w:val="0"/>
      <w:jc w:val="left"/>
    </w:pPr>
    <w:rPr>
      <w:sz w:val="18"/>
      <w:szCs w:val="18"/>
    </w:rPr>
  </w:style>
  <w:style w:type="paragraph" w:styleId="2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2">
    <w:name w:val="Body Text 2"/>
    <w:basedOn w:val="1"/>
    <w:autoRedefine/>
    <w:qFormat/>
    <w:uiPriority w:val="0"/>
    <w:pPr>
      <w:jc w:val="center"/>
    </w:pPr>
    <w:rPr>
      <w:rFonts w:ascii="宋体"/>
    </w:rPr>
  </w:style>
  <w:style w:type="paragraph" w:styleId="23">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24">
    <w:name w:val="annotation subject"/>
    <w:basedOn w:val="13"/>
    <w:next w:val="13"/>
    <w:link w:val="66"/>
    <w:qFormat/>
    <w:uiPriority w:val="0"/>
    <w:rPr>
      <w:b/>
      <w:bCs/>
      <w:kern w:val="2"/>
      <w:sz w:val="21"/>
    </w:rPr>
  </w:style>
  <w:style w:type="paragraph" w:styleId="25">
    <w:name w:val="Body Text First Indent"/>
    <w:basedOn w:val="14"/>
    <w:next w:val="1"/>
    <w:autoRedefine/>
    <w:qFormat/>
    <w:uiPriority w:val="0"/>
    <w:pPr>
      <w:ind w:firstLine="420" w:firstLineChars="100"/>
    </w:pPr>
  </w:style>
  <w:style w:type="table" w:styleId="27">
    <w:name w:val="Table Grid"/>
    <w:basedOn w:val="2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autoRedefine/>
    <w:qFormat/>
    <w:uiPriority w:val="0"/>
    <w:rPr>
      <w:b/>
    </w:rPr>
  </w:style>
  <w:style w:type="character" w:styleId="30">
    <w:name w:val="page number"/>
    <w:basedOn w:val="28"/>
    <w:autoRedefine/>
    <w:qFormat/>
    <w:uiPriority w:val="0"/>
  </w:style>
  <w:style w:type="character" w:styleId="31">
    <w:name w:val="annotation reference"/>
    <w:basedOn w:val="28"/>
    <w:autoRedefine/>
    <w:semiHidden/>
    <w:qFormat/>
    <w:uiPriority w:val="0"/>
    <w:rPr>
      <w:sz w:val="21"/>
    </w:rPr>
  </w:style>
  <w:style w:type="paragraph" w:customStyle="1" w:styleId="32">
    <w:name w:val="Default"/>
    <w:basedOn w:val="33"/>
    <w:autoRedefine/>
    <w:qFormat/>
    <w:uiPriority w:val="0"/>
    <w:pPr>
      <w:autoSpaceDE w:val="0"/>
      <w:autoSpaceDN w:val="0"/>
      <w:adjustRightInd w:val="0"/>
    </w:pPr>
    <w:rPr>
      <w:rFonts w:hAnsi="Times New Roman"/>
      <w:color w:val="000000"/>
      <w:sz w:val="24"/>
      <w:szCs w:val="24"/>
    </w:rPr>
  </w:style>
  <w:style w:type="paragraph" w:customStyle="1" w:styleId="33">
    <w:name w:val="纯文本1"/>
    <w:basedOn w:val="1"/>
    <w:autoRedefine/>
    <w:qFormat/>
    <w:uiPriority w:val="0"/>
    <w:rPr>
      <w:rFonts w:ascii="宋体" w:hAnsi="Courier New" w:cs="宋体"/>
      <w:sz w:val="28"/>
      <w:szCs w:val="28"/>
    </w:rPr>
  </w:style>
  <w:style w:type="paragraph" w:customStyle="1" w:styleId="34">
    <w:name w:val="[1]正文"/>
    <w:basedOn w:val="1"/>
    <w:autoRedefine/>
    <w:qFormat/>
    <w:uiPriority w:val="0"/>
    <w:pPr>
      <w:snapToGrid w:val="0"/>
      <w:spacing w:line="360" w:lineRule="auto"/>
      <w:ind w:firstLine="200" w:firstLineChars="200"/>
    </w:pPr>
    <w:rPr>
      <w:rFonts w:cs="Calibri"/>
      <w:kern w:val="0"/>
      <w:sz w:val="24"/>
      <w:szCs w:val="28"/>
    </w:rPr>
  </w:style>
  <w:style w:type="paragraph" w:customStyle="1" w:styleId="35">
    <w:name w:val="样式5"/>
    <w:basedOn w:val="1"/>
    <w:autoRedefine/>
    <w:qFormat/>
    <w:uiPriority w:val="0"/>
    <w:pPr>
      <w:snapToGrid w:val="0"/>
      <w:spacing w:line="360" w:lineRule="auto"/>
      <w:ind w:firstLine="480" w:firstLineChars="200"/>
    </w:pPr>
  </w:style>
  <w:style w:type="paragraph" w:customStyle="1" w:styleId="36">
    <w:name w:val="样式6"/>
    <w:basedOn w:val="37"/>
    <w:autoRedefine/>
    <w:qFormat/>
    <w:uiPriority w:val="0"/>
    <w:pPr>
      <w:spacing w:line="240" w:lineRule="auto"/>
      <w:ind w:firstLine="0" w:firstLineChars="0"/>
      <w:jc w:val="center"/>
    </w:pPr>
    <w:rPr>
      <w:rFonts w:ascii="黑体" w:eastAsia="黑体"/>
      <w:szCs w:val="21"/>
    </w:rPr>
  </w:style>
  <w:style w:type="paragraph" w:customStyle="1" w:styleId="37">
    <w:name w:val="样式9"/>
    <w:basedOn w:val="1"/>
    <w:autoRedefine/>
    <w:qFormat/>
    <w:uiPriority w:val="0"/>
    <w:pPr>
      <w:snapToGrid w:val="0"/>
      <w:spacing w:line="336" w:lineRule="auto"/>
      <w:ind w:firstLine="480" w:firstLineChars="200"/>
    </w:pPr>
  </w:style>
  <w:style w:type="paragraph" w:customStyle="1" w:styleId="38">
    <w:name w:val="表头"/>
    <w:basedOn w:val="1"/>
    <w:autoRedefine/>
    <w:qFormat/>
    <w:uiPriority w:val="0"/>
    <w:pPr>
      <w:adjustRightInd w:val="0"/>
      <w:spacing w:line="360" w:lineRule="auto"/>
      <w:textAlignment w:val="baseline"/>
    </w:pPr>
    <w:rPr>
      <w:rFonts w:eastAsia="黑体"/>
      <w:color w:val="000000"/>
      <w:szCs w:val="20"/>
    </w:rPr>
  </w:style>
  <w:style w:type="paragraph" w:styleId="39">
    <w:name w:val="No Spacing"/>
    <w:basedOn w:val="1"/>
    <w:autoRedefine/>
    <w:qFormat/>
    <w:uiPriority w:val="1"/>
    <w:pPr>
      <w:jc w:val="center"/>
    </w:pPr>
    <w:rPr>
      <w:rFonts w:ascii="Calibri" w:hAnsi="Calibri"/>
      <w:b/>
      <w:szCs w:val="32"/>
    </w:rPr>
  </w:style>
  <w:style w:type="paragraph" w:customStyle="1" w:styleId="40">
    <w:name w:val="报告表样式"/>
    <w:basedOn w:val="1"/>
    <w:autoRedefine/>
    <w:qFormat/>
    <w:uiPriority w:val="0"/>
    <w:pPr>
      <w:adjustRightInd w:val="0"/>
      <w:snapToGrid w:val="0"/>
      <w:spacing w:line="360" w:lineRule="auto"/>
      <w:ind w:firstLine="200" w:firstLineChars="200"/>
    </w:pPr>
    <w:rPr>
      <w:sz w:val="28"/>
      <w:szCs w:val="28"/>
    </w:rPr>
  </w:style>
  <w:style w:type="paragraph" w:customStyle="1" w:styleId="41">
    <w:name w:val="正文1"/>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42">
    <w:name w:val="HP 表格内容"/>
    <w:autoRedefine/>
    <w:qFormat/>
    <w:uiPriority w:val="0"/>
    <w:pPr>
      <w:jc w:val="center"/>
    </w:pPr>
    <w:rPr>
      <w:rFonts w:ascii="Calibri" w:hAnsi="Calibri" w:eastAsia="宋体" w:cs="Times New Roman"/>
      <w:sz w:val="21"/>
      <w:szCs w:val="21"/>
      <w:lang w:val="en-US" w:eastAsia="zh-CN" w:bidi="ar-SA"/>
    </w:rPr>
  </w:style>
  <w:style w:type="paragraph" w:customStyle="1" w:styleId="43">
    <w:name w:val="文章正文"/>
    <w:basedOn w:val="1"/>
    <w:autoRedefine/>
    <w:qFormat/>
    <w:uiPriority w:val="0"/>
    <w:pPr>
      <w:spacing w:line="440" w:lineRule="exact"/>
      <w:ind w:firstLine="600" w:firstLineChars="200"/>
    </w:pPr>
    <w:rPr>
      <w:kern w:val="0"/>
      <w:sz w:val="24"/>
      <w:szCs w:val="20"/>
    </w:rPr>
  </w:style>
  <w:style w:type="paragraph" w:customStyle="1" w:styleId="44">
    <w:name w:val="样式1"/>
    <w:basedOn w:val="1"/>
    <w:autoRedefine/>
    <w:qFormat/>
    <w:uiPriority w:val="0"/>
    <w:pPr>
      <w:spacing w:line="360" w:lineRule="auto"/>
      <w:ind w:firstLine="200" w:firstLineChars="200"/>
    </w:pPr>
    <w:rPr>
      <w:b/>
      <w:sz w:val="24"/>
    </w:rPr>
  </w:style>
  <w:style w:type="table" w:customStyle="1" w:styleId="45">
    <w:name w:val="Table Normal"/>
    <w:autoRedefine/>
    <w:semiHidden/>
    <w:unhideWhenUsed/>
    <w:qFormat/>
    <w:uiPriority w:val="0"/>
    <w:tblPr>
      <w:tblCellMar>
        <w:top w:w="0" w:type="dxa"/>
        <w:left w:w="0" w:type="dxa"/>
        <w:bottom w:w="0" w:type="dxa"/>
        <w:right w:w="0" w:type="dxa"/>
      </w:tblCellMar>
    </w:tblPr>
  </w:style>
  <w:style w:type="paragraph" w:customStyle="1" w:styleId="46">
    <w:name w:val="Table Text"/>
    <w:basedOn w:val="1"/>
    <w:autoRedefine/>
    <w:semiHidden/>
    <w:qFormat/>
    <w:uiPriority w:val="0"/>
    <w:rPr>
      <w:rFonts w:ascii="宋体" w:hAnsi="宋体" w:cs="宋体"/>
      <w:sz w:val="20"/>
      <w:szCs w:val="20"/>
      <w:lang w:eastAsia="en-US"/>
    </w:rPr>
  </w:style>
  <w:style w:type="paragraph" w:customStyle="1" w:styleId="47">
    <w:name w:val="M表头"/>
    <w:basedOn w:val="1"/>
    <w:next w:val="1"/>
    <w:autoRedefine/>
    <w:qFormat/>
    <w:uiPriority w:val="0"/>
    <w:pPr>
      <w:ind w:firstLine="200" w:firstLineChars="200"/>
      <w:jc w:val="center"/>
    </w:pPr>
    <w:rPr>
      <w:rFonts w:eastAsia="黑体"/>
      <w:bCs/>
      <w:szCs w:val="21"/>
    </w:rPr>
  </w:style>
  <w:style w:type="paragraph" w:customStyle="1" w:styleId="48">
    <w:name w:val="Other|1"/>
    <w:basedOn w:val="1"/>
    <w:autoRedefine/>
    <w:qFormat/>
    <w:uiPriority w:val="0"/>
    <w:rPr>
      <w:rFonts w:ascii="Cambria Math" w:hAnsi="Cambria Math" w:eastAsia="Cambria Math" w:cs="Cambria Math"/>
      <w:sz w:val="30"/>
      <w:szCs w:val="30"/>
      <w:lang w:val="zh-TW" w:eastAsia="zh-TW" w:bidi="zh-TW"/>
    </w:rPr>
  </w:style>
  <w:style w:type="paragraph" w:customStyle="1" w:styleId="49">
    <w:name w:val="样式4"/>
    <w:basedOn w:val="16"/>
    <w:autoRedefine/>
    <w:qFormat/>
    <w:uiPriority w:val="0"/>
    <w:pPr>
      <w:snapToGrid w:val="0"/>
      <w:spacing w:line="360" w:lineRule="auto"/>
    </w:pPr>
    <w:rPr>
      <w:rFonts w:ascii="黑体" w:hAnsi="宋体" w:eastAsia="黑体" w:cs="Times New Roman"/>
      <w:sz w:val="24"/>
      <w:szCs w:val="24"/>
    </w:rPr>
  </w:style>
  <w:style w:type="paragraph" w:customStyle="1" w:styleId="50">
    <w:name w:val="表头-格式"/>
    <w:basedOn w:val="1"/>
    <w:autoRedefine/>
    <w:qFormat/>
    <w:uiPriority w:val="0"/>
    <w:pPr>
      <w:widowControl/>
      <w:adjustRightInd w:val="0"/>
      <w:snapToGrid w:val="0"/>
      <w:spacing w:line="288" w:lineRule="auto"/>
      <w:jc w:val="center"/>
    </w:pPr>
    <w:rPr>
      <w:rFonts w:eastAsia="黑体"/>
      <w:kern w:val="0"/>
      <w:szCs w:val="21"/>
      <w:lang w:val="zh-CN" w:bidi="en-US"/>
    </w:rPr>
  </w:style>
  <w:style w:type="paragraph" w:customStyle="1" w:styleId="51">
    <w:name w:val="表内容"/>
    <w:basedOn w:val="1"/>
    <w:next w:val="1"/>
    <w:autoRedefine/>
    <w:qFormat/>
    <w:uiPriority w:val="0"/>
    <w:pPr>
      <w:spacing w:line="320" w:lineRule="exact"/>
      <w:jc w:val="center"/>
    </w:pPr>
    <w:rPr>
      <w:szCs w:val="21"/>
    </w:rPr>
  </w:style>
  <w:style w:type="paragraph" w:customStyle="1" w:styleId="52">
    <w:name w:val="p0"/>
    <w:basedOn w:val="1"/>
    <w:autoRedefine/>
    <w:qFormat/>
    <w:uiPriority w:val="0"/>
    <w:pPr>
      <w:widowControl/>
      <w:spacing w:line="480" w:lineRule="atLeast"/>
    </w:pPr>
    <w:rPr>
      <w:rFonts w:ascii="Arial" w:hAnsi="Arial" w:cs="Arial"/>
      <w:kern w:val="0"/>
      <w:sz w:val="28"/>
      <w:szCs w:val="28"/>
    </w:rPr>
  </w:style>
  <w:style w:type="paragraph" w:customStyle="1" w:styleId="53">
    <w:name w:val="正文（BYN）"/>
    <w:basedOn w:val="16"/>
    <w:autoRedefine/>
    <w:qFormat/>
    <w:uiPriority w:val="0"/>
    <w:pPr>
      <w:spacing w:line="500" w:lineRule="exact"/>
      <w:ind w:firstLine="200" w:firstLineChars="200"/>
    </w:pPr>
    <w:rPr>
      <w:rFonts w:ascii="Arial Narrow" w:hAnsi="Arial Narrow" w:eastAsia="汉鼎简书宋"/>
      <w:bCs/>
      <w:sz w:val="24"/>
    </w:rPr>
  </w:style>
  <w:style w:type="paragraph" w:customStyle="1" w:styleId="54">
    <w:name w:val="正文（HY）"/>
    <w:basedOn w:val="16"/>
    <w:link w:val="62"/>
    <w:autoRedefine/>
    <w:qFormat/>
    <w:uiPriority w:val="0"/>
    <w:pPr>
      <w:adjustRightInd w:val="0"/>
      <w:spacing w:line="500" w:lineRule="exact"/>
      <w:ind w:firstLine="554" w:firstLineChars="200"/>
    </w:pPr>
    <w:rPr>
      <w:rFonts w:ascii="Arial Narrow" w:hAnsi="Arial Narrow" w:eastAsia="汉鼎简书宋"/>
      <w:bCs/>
      <w:sz w:val="24"/>
    </w:rPr>
  </w:style>
  <w:style w:type="paragraph" w:customStyle="1" w:styleId="55">
    <w:name w:val="表格正文"/>
    <w:basedOn w:val="1"/>
    <w:autoRedefine/>
    <w:qFormat/>
    <w:uiPriority w:val="0"/>
    <w:pPr>
      <w:spacing w:line="300" w:lineRule="exact"/>
      <w:jc w:val="center"/>
    </w:pPr>
    <w:rPr>
      <w:rFonts w:ascii="Arial Narrow" w:hAnsi="Arial Narrow" w:eastAsia="汉鼎简书宋"/>
      <w:szCs w:val="18"/>
    </w:rPr>
  </w:style>
  <w:style w:type="paragraph" w:customStyle="1" w:styleId="56">
    <w:name w:val="表格文字"/>
    <w:autoRedefine/>
    <w:qFormat/>
    <w:uiPriority w:val="0"/>
    <w:pPr>
      <w:snapToGrid w:val="0"/>
      <w:jc w:val="center"/>
    </w:pPr>
    <w:rPr>
      <w:rFonts w:ascii="Arial Narrow" w:hAnsi="Arial Narrow" w:eastAsia="汉鼎简书宋" w:cs="Times New Roman"/>
      <w:sz w:val="21"/>
      <w:lang w:val="en-US" w:eastAsia="zh-CN" w:bidi="ar-SA"/>
    </w:rPr>
  </w:style>
  <w:style w:type="paragraph" w:customStyle="1" w:styleId="57">
    <w:name w:val="四级（HY）"/>
    <w:basedOn w:val="1"/>
    <w:autoRedefine/>
    <w:qFormat/>
    <w:uiPriority w:val="0"/>
    <w:pPr>
      <w:spacing w:line="500" w:lineRule="exact"/>
      <w:outlineLvl w:val="3"/>
    </w:pPr>
    <w:rPr>
      <w:rFonts w:ascii="Arial Narrow" w:hAnsi="Arial Narrow" w:eastAsia="汉鼎简书宋" w:cstheme="minorBidi"/>
      <w:b/>
      <w:sz w:val="24"/>
      <w:szCs w:val="22"/>
    </w:rPr>
  </w:style>
  <w:style w:type="paragraph" w:customStyle="1" w:styleId="58">
    <w:name w:val="样式 标题 2节标题 1.11.1标题2Majorb2标题 2 Char Char Char标题 2 Char3号..."/>
    <w:basedOn w:val="3"/>
    <w:autoRedefine/>
    <w:qFormat/>
    <w:uiPriority w:val="0"/>
    <w:pPr>
      <w:tabs>
        <w:tab w:val="left" w:pos="567"/>
      </w:tabs>
    </w:pPr>
    <w:rPr>
      <w:rFonts w:cs="宋体"/>
      <w:color w:val="008000"/>
    </w:rPr>
  </w:style>
  <w:style w:type="character" w:customStyle="1" w:styleId="59">
    <w:name w:val="特点标题 Char"/>
    <w:autoRedefine/>
    <w:qFormat/>
    <w:uiPriority w:val="0"/>
    <w:rPr>
      <w:rFonts w:ascii="宋体" w:hAnsi="宋体" w:eastAsia="宋体"/>
      <w:kern w:val="2"/>
      <w:sz w:val="24"/>
      <w:szCs w:val="24"/>
      <w:lang w:val="en-US" w:eastAsia="zh-CN" w:bidi="ar-SA"/>
    </w:rPr>
  </w:style>
  <w:style w:type="paragraph" w:styleId="60">
    <w:name w:val="List Paragraph"/>
    <w:basedOn w:val="1"/>
    <w:autoRedefine/>
    <w:qFormat/>
    <w:uiPriority w:val="1"/>
    <w:pPr>
      <w:ind w:left="1271" w:hanging="615"/>
    </w:pPr>
    <w:rPr>
      <w:rFonts w:ascii="宋体" w:hAnsi="宋体" w:cs="宋体"/>
      <w:lang w:val="zh-CN" w:bidi="zh-CN"/>
    </w:rPr>
  </w:style>
  <w:style w:type="paragraph" w:customStyle="1" w:styleId="61">
    <w:name w:val="Table Paragraph"/>
    <w:basedOn w:val="1"/>
    <w:autoRedefine/>
    <w:qFormat/>
    <w:uiPriority w:val="1"/>
    <w:pPr>
      <w:jc w:val="center"/>
    </w:pPr>
    <w:rPr>
      <w:rFonts w:ascii="宋体" w:hAnsi="宋体" w:cs="宋体"/>
      <w:lang w:val="zh-CN" w:bidi="zh-CN"/>
    </w:rPr>
  </w:style>
  <w:style w:type="character" w:customStyle="1" w:styleId="62">
    <w:name w:val="正文（HY） 字符"/>
    <w:basedOn w:val="63"/>
    <w:link w:val="54"/>
    <w:autoRedefine/>
    <w:qFormat/>
    <w:uiPriority w:val="0"/>
    <w:rPr>
      <w:rFonts w:ascii="Arial Narrow" w:hAnsi="Arial Narrow" w:eastAsia="汉鼎简书宋"/>
      <w:bCs/>
      <w:sz w:val="24"/>
    </w:rPr>
  </w:style>
  <w:style w:type="character" w:customStyle="1" w:styleId="63">
    <w:name w:val="纯文本 Char"/>
    <w:link w:val="16"/>
    <w:autoRedefine/>
    <w:qFormat/>
    <w:uiPriority w:val="0"/>
    <w:rPr>
      <w:rFonts w:ascii="宋体" w:hAnsi="Courier New" w:cs="Century"/>
      <w:szCs w:val="21"/>
    </w:rPr>
  </w:style>
  <w:style w:type="character" w:customStyle="1" w:styleId="64">
    <w:name w:val="文档结构图 Char"/>
    <w:basedOn w:val="28"/>
    <w:link w:val="12"/>
    <w:qFormat/>
    <w:uiPriority w:val="0"/>
    <w:rPr>
      <w:rFonts w:ascii="宋体"/>
      <w:kern w:val="2"/>
      <w:sz w:val="18"/>
      <w:szCs w:val="18"/>
    </w:rPr>
  </w:style>
  <w:style w:type="character" w:customStyle="1" w:styleId="65">
    <w:name w:val="批注文字 Char"/>
    <w:basedOn w:val="28"/>
    <w:link w:val="13"/>
    <w:semiHidden/>
    <w:qFormat/>
    <w:uiPriority w:val="0"/>
    <w:rPr>
      <w:szCs w:val="24"/>
    </w:rPr>
  </w:style>
  <w:style w:type="character" w:customStyle="1" w:styleId="66">
    <w:name w:val="批注主题 Char"/>
    <w:basedOn w:val="65"/>
    <w:link w:val="24"/>
    <w:qFormat/>
    <w:uiPriority w:val="0"/>
  </w:style>
  <w:style w:type="character" w:customStyle="1" w:styleId="67">
    <w:name w:val="批注框文本 Char"/>
    <w:basedOn w:val="28"/>
    <w:link w:val="19"/>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3.wmf"/><Relationship Id="rId2" Type="http://schemas.openxmlformats.org/officeDocument/2006/relationships/settings" Target="settings.xml"/><Relationship Id="rId19" Type="http://schemas.openxmlformats.org/officeDocument/2006/relationships/image" Target="media/image12.wmf"/><Relationship Id="rId18" Type="http://schemas.openxmlformats.org/officeDocument/2006/relationships/oleObject" Target="embeddings/oleObject1.bin"/><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customShpExts>
  <extobjs>
    <extobj name="ECB019B1-382A-4266-B25C-5B523AA43C14-1">
      <extobjdata type="ECB019B1-382A-4266-B25C-5B523AA43C14" data="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"/>
    </extobj>
  </extobjs>
</s:customData>
</file>

<file path=customXml/item2.xml><?xml version="1.0" encoding="utf-8"?>
<contractReview xmlns="http://schemas.wps.cn/vas-ai-hub/contract-review">
  <reviewItems>
    <reviewItem>
      <errorID>99c4c063-494f-432f-a7d3-7490ef431d64</errorID>
      <errorWord>升</errorWord>
      <group>L1_AI</group>
      <groupName>深度校对</groupName>
      <ability>L2_AI_Word</ability>
      <abilityName>字词纠错</abilityName>
      <candidateList>
        <item>深</item>
      </candidateList>
      <explain/>
      <paraID>1AE928A4</paraID>
      <start>44</start>
      <end>45</end>
      <status>unmodified</status>
      <modifiedWord/>
      <trackRevisions>false</trackRevisions>
    </reviewItem>
    <reviewItem>
      <errorID>c0f000f3-1e9d-4407-9552-b80a7dd4be31</errorID>
      <errorWord>，</errorWord>
      <group>L1_Format</group>
      <groupName>格式问题</groupName>
      <ability>L2_HalfPunc</ability>
      <abilityName>全半角检查</abilityName>
      <candidateList>
        <item>, </item>
      </candidateList>
      <explain>文本全半角错误。</explain>
      <paraID>5AB99B16</paraID>
      <start>15</start>
      <end>16</end>
      <status>unmodified</status>
      <modifiedWord/>
      <trackRevisions>false</trackRevisions>
    </reviewItem>
    <reviewItem>
      <errorID>08dac0aa-df71-4d5c-84e6-3471c863473c</errorID>
      <errorWord>项</errorWord>
      <group>L1_Word</group>
      <groupName>字词问题</groupName>
      <ability>L2_Typo</ability>
      <abilityName>字词错误</abilityName>
      <candidateList>
        <item>项目</item>
      </candidateList>
      <explain>〈名〉事物分成的门类：服务～｜体育～｜建设～。</explain>
      <paraID>172742BF</paraID>
      <start>76</start>
      <end>77</end>
      <status>unmodified</status>
      <modifiedWord/>
      <trackRevisions>false</trackRevisions>
    </reviewItem>
    <reviewItem>
      <errorID>1eb6050f-c05b-47e6-83ff-5249d8202a77</errorID>
      <errorWord>煤碳</errorWord>
      <group>L1_AI</group>
      <groupName>深度校对</groupName>
      <ability>L2_AI_Word</ability>
      <abilityName>字词纠错</abilityName>
      <candidateList>
        <item>煤矿</item>
      </candidateList>
      <explain/>
      <paraID>591FE08C</paraID>
      <start>47</start>
      <end>49</end>
      <status>unmodified</status>
      <modifiedWord/>
      <trackRevisions>false</trackRevisions>
    </reviewItem>
    <reviewItem>
      <errorID>e8cb3c49-5cda-4e68-997a-67caef6fc6fa</errorID>
      <errorWord>煤碳</errorWord>
      <group>L1_Word</group>
      <groupName>字词问题</groupName>
      <ability>L2_Typo</ability>
      <abilityName>字词错误</abilityName>
      <candidateList>
        <item>煤炭</item>
      </candidateList>
      <explain/>
      <paraID>591FE08C</paraID>
      <start>115</start>
      <end>117</end>
      <status>unmodified</status>
      <modifiedWord/>
      <trackRevisions>false</trackRevisions>
    </reviewItem>
    <reviewItem>
      <errorID>8d8ecc5d-ffb7-4185-842a-aa8d28459b86</errorID>
      <errorWord>各项《规划》</errorWord>
      <group>L1_AI</group>
      <groupName>深度校对</groupName>
      <ability>L2_AI_Word</ability>
      <abilityName>字词纠错</abilityName>
      <candidateList>
        <item>《规划》各项</item>
      </candidateList>
      <explain/>
      <paraID>7B8C9FD8</paraID>
      <start>167</start>
      <end>173</end>
      <status>unmodified</status>
      <modifiedWord/>
      <trackRevisions>false</trackRevisions>
    </reviewItem>
    <reviewItem>
      <errorID>095c3a8b-a552-4baa-8b12-2b42220fd94f</errorID>
      <errorWord>(</errorWord>
      <group>L1_Format</group>
      <groupName>格式问题</groupName>
      <ability>L2_HalfPunc</ability>
      <abilityName>全半角检查</abilityName>
      <candidateList>
        <item>（</item>
      </candidateList>
      <explain>文本全半角错误。</explain>
      <paraID>56A2D3C4</paraID>
      <start>194</start>
      <end>195</end>
      <status>unmodified</status>
      <modifiedWord/>
      <trackRevisions>false</trackRevisions>
    </reviewItem>
    <reviewItem>
      <errorID>4c0ad549-8c11-445a-b8b2-f56d1e435cc0</errorID>
      <errorWord>)</errorWord>
      <group>L1_Format</group>
      <groupName>格式问题</groupName>
      <ability>L2_HalfPunc</ability>
      <abilityName>全半角检查</abilityName>
      <candidateList>
        <item>）</item>
      </candidateList>
      <explain>文本全半角错误。</explain>
      <paraID>56A2D3C4</paraID>
      <start>204</start>
      <end>205</end>
      <status>unmodified</status>
      <modifiedWord/>
      <trackRevisions>false</trackRevisions>
    </reviewItem>
    <reviewItem>
      <errorID>a1c8029e-e7d6-405a-91c4-9dd0d975a47d</errorID>
      <errorWord>(</errorWord>
      <group>L1_Format</group>
      <groupName>格式问题</groupName>
      <ability>L2_HalfPunc</ability>
      <abilityName>全半角检查</abilityName>
      <candidateList>
        <item>（</item>
      </candidateList>
      <explain>文本全半角错误。</explain>
      <paraID>56A2D3C4</paraID>
      <start>206</start>
      <end>207</end>
      <status>unmodified</status>
      <modifiedWord/>
      <trackRevisions>false</trackRevisions>
    </reviewItem>
    <reviewItem>
      <errorID>3717beb8-7fc3-4e99-9788-9d68302e6c35</errorID>
      <errorWord>)</errorWord>
      <group>L1_Format</group>
      <groupName>格式问题</groupName>
      <ability>L2_HalfPunc</ability>
      <abilityName>全半角检查</abilityName>
      <candidateList>
        <item>）</item>
      </candidateList>
      <explain>文本全半角错误。</explain>
      <paraID>56A2D3C4</paraID>
      <start>214</start>
      <end>215</end>
      <status>unmodified</status>
      <modifiedWord/>
      <trackRevisions>false</trackRevisions>
    </reviewItem>
    <reviewItem>
      <errorID>6d2cd46c-94ea-4e68-830d-10228ebc6064</errorID>
      <errorWord>则</errorWord>
      <group>L1_Word</group>
      <groupName>字词问题</groupName>
      <ability>L2_Typo</ability>
      <abilityName>字词错误</abilityName>
      <candidateList>
        <item>则上</item>
      </candidateList>
      <explain/>
      <paraID>56A2D3C4</paraID>
      <start>228</start>
      <end>230</end>
      <status>modified</status>
      <modifiedWord>则上</modifiedWord>
      <trackRevisions>false</trackRevisions>
    </reviewItem>
    <reviewItem>
      <errorID>752958d1-9f18-4595-bacd-2c84a79901a0</errorID>
      <errorWord>(</errorWord>
      <group>L1_Format</group>
      <groupName>格式问题</groupName>
      <ability>L2_HalfPunc</ability>
      <abilityName>全半角检查</abilityName>
      <candidateList>
        <item>（</item>
      </candidateList>
      <explain>文本全半角错误。</explain>
      <paraID>56A2D3C4</paraID>
      <start>258</start>
      <end>259</end>
      <status>unmodified</status>
      <modifiedWord/>
      <trackRevisions>false</trackRevisions>
    </reviewItem>
    <reviewItem>
      <errorID>0fcfba04-f758-4b5c-bdf6-a9ade06a0667</errorID>
      <errorWord>)</errorWord>
      <group>L1_Format</group>
      <groupName>格式问题</groupName>
      <ability>L2_HalfPunc</ability>
      <abilityName>全半角检查</abilityName>
      <candidateList>
        <item>）</item>
      </candidateList>
      <explain>文本全半角错误。</explain>
      <paraID>56A2D3C4</paraID>
      <start>290</start>
      <end>291</end>
      <status>unmodified</status>
      <modifiedWord/>
      <trackRevisions>false</trackRevisions>
    </reviewItem>
    <reviewItem>
      <errorID>d74b3c7f-e3f3-4425-812e-69291bd541d8</errorID>
      <errorWord>(</errorWord>
      <group>L1_Format</group>
      <groupName>格式问题</groupName>
      <ability>L2_HalfPunc</ability>
      <abilityName>全半角检查</abilityName>
      <candidateList>
        <item>（</item>
      </candidateList>
      <explain>文本全半角错误。</explain>
      <paraID>50DD849C</paraID>
      <start>16</start>
      <end>17</end>
      <status>unmodified</status>
      <modifiedWord/>
      <trackRevisions>false</trackRevisions>
    </reviewItem>
    <reviewItem>
      <errorID>c1850b09-fd2f-4776-8dfa-e1534114a2d1</errorID>
      <errorWord>)</errorWord>
      <group>L1_Format</group>
      <groupName>格式问题</groupName>
      <ability>L2_HalfPunc</ability>
      <abilityName>全半角检查</abilityName>
      <candidateList>
        <item>）</item>
      </candidateList>
      <explain>文本全半角错误。</explain>
      <paraID>50DD849C</paraID>
      <start>26</start>
      <end>27</end>
      <status>unmodified</status>
      <modifiedWord/>
      <trackRevisions>false</trackRevisions>
    </reviewItem>
    <reviewItem>
      <errorID>cb924bdd-266d-43bf-87fc-94e8fe736a23</errorID>
      <errorWord> </errorWord>
      <group>L1_AI</group>
      <groupName>深度校对</groupName>
      <ability>L2_AI_Punc</ability>
      <abilityName>标点纠错</abilityName>
      <candidateList>
        <item/>
      </candidateList>
      <explain>此处空格冗余，建议删除。</explain>
      <paraID>50DD849C</paraID>
      <start>371</start>
      <end>372</end>
      <status>unmodified</status>
      <modifiedWord/>
      <trackRevisions>false</trackRevisions>
    </reviewItem>
    <reviewItem>
      <errorID>5385df50-6c3a-44da-aefd-faa8f3df00b5</errorID>
      <errorWord>,改 扩建</errorWord>
      <group>L1_AI</group>
      <groupName>深度校对</groupName>
      <ability>L2_AI_Grammar</ability>
      <abilityName>语法纠错</abilityName>
      <candidateList>
        <item>，改扩建</item>
      </candidateList>
      <explain/>
      <paraID>26C2552E</paraID>
      <start>100</start>
      <end>105</end>
      <status>unmodified</status>
      <modifiedWord/>
      <trackRevisions>false</trackRevisions>
    </reviewItem>
    <reviewItem>
      <errorID>0633b8c1-9f3b-4315-bc91-a851e477fd77</errorID>
      <errorWord>牡</errorWord>
      <group>L1_Word</group>
      <groupName>字词问题</groupName>
      <ability>L2_Typo</ability>
      <abilityName>字词错误</abilityName>
      <candidateList>
        <item>抽</item>
      </candidateList>
      <explain/>
      <paraID>26C2552E</paraID>
      <start>287</start>
      <end>288</end>
      <status>modified</status>
      <modifiedWord>抽</modifiedWord>
      <trackRevisions>false</trackRevisions>
    </reviewItem>
    <reviewItem>
      <errorID>35810148-b241-4c07-a95d-679c978890fc</errorID>
      <errorWord>(</errorWord>
      <group>L1_Format</group>
      <groupName>格式问题</groupName>
      <ability>L2_HalfPunc</ability>
      <abilityName>全半角检查</abilityName>
      <candidateList>
        <item>（</item>
      </candidateList>
      <explain>文本全半角错误。</explain>
      <paraID>26C2552E</paraID>
      <start>304</start>
      <end>305</end>
      <status>unmodified</status>
      <modifiedWord/>
      <trackRevisions>false</trackRevisions>
    </reviewItem>
    <reviewItem>
      <errorID>e1ec1e7a-3082-4d89-a1ea-837d503d0869</errorID>
      <errorWord>)</errorWord>
      <group>L1_Format</group>
      <groupName>格式问题</groupName>
      <ability>L2_HalfPunc</ability>
      <abilityName>全半角检查</abilityName>
      <candidateList>
        <item>）</item>
      </candidateList>
      <explain>文本全半角错误。</explain>
      <paraID>26C2552E</paraID>
      <start>306</start>
      <end>307</end>
      <status>unmodified</status>
      <modifiedWord/>
      <trackRevisions>false</trackRevisions>
    </reviewItem>
    <reviewItem>
      <errorID>1d06ec82-c4c5-454a-a722-01e968957c05</errorID>
      <errorWord>月边</errorWord>
      <group>L1_Word</group>
      <groupName>字词问题</groupName>
      <ability>L2_Typo</ability>
      <abilityName>字词错误</abilityName>
      <candidateList>
        <item>周边</item>
      </candidateList>
      <explain/>
      <paraID>32B82BED</paraID>
      <start>247</start>
      <end>249</end>
      <status>modified</status>
      <modifiedWord>周边</modifiedWord>
      <trackRevisions>false</trackRevisions>
    </reviewItem>
    <reviewItem>
      <errorID>453830e1-69ad-41a5-afa8-40d75426e308</errorID>
      <errorWord>上线</errorWord>
      <group>L1_Word</group>
      <groupName>字词问题</groupName>
      <ability>L2_Typo</ability>
      <abilityName>字词错误</abilityName>
      <candidateList>
        <item>上限</item>
      </candidateList>
      <explain/>
      <paraID>43F4A927</paraID>
      <start>172</start>
      <end>174</end>
      <status>unmodified</status>
      <modifiedWord/>
      <trackRevisions>false</trackRevisions>
    </reviewItem>
    <reviewItem>
      <errorID>be3efbf4-c112-4b09-94e4-6867e76f7245</errorID>
      <errorWord>(</errorWord>
      <group>L1_Format</group>
      <groupName>格式问题</groupName>
      <ability>L2_HalfPunc</ability>
      <abilityName>全半角检查</abilityName>
      <candidateList>
        <item>（</item>
      </candidateList>
      <explain>文本全半角错误。</explain>
      <paraID>4558F047</paraID>
      <start>35</start>
      <end>36</end>
      <status>unmodified</status>
      <modifiedWord/>
      <trackRevisions>false</trackRevisions>
    </reviewItem>
    <reviewItem>
      <errorID>0a31c87f-0210-4628-bdee-cdd7d290421e</errorID>
      <errorWord>)</errorWord>
      <group>L1_Format</group>
      <groupName>格式问题</groupName>
      <ability>L2_HalfPunc</ability>
      <abilityName>全半角检查</abilityName>
      <candidateList>
        <item>）</item>
      </candidateList>
      <explain>文本全半角错误。</explain>
      <paraID>4558F047</paraID>
      <start>38</start>
      <end>39</end>
      <status>unmodified</status>
      <modifiedWord/>
      <trackRevisions>false</trackRevisions>
    </reviewItem>
    <reviewItem>
      <errorID>f08e3b97-33e9-46c4-ae4f-744369fe6567</errorID>
      <errorWord>(</errorWord>
      <group>L1_Format</group>
      <groupName>格式问题</groupName>
      <ability>L2_HalfPunc</ability>
      <abilityName>全半角检查</abilityName>
      <candidateList>
        <item>（</item>
      </candidateList>
      <explain>文本全半角错误。</explain>
      <paraID>414A5C56</paraID>
      <start>20</start>
      <end>21</end>
      <status>unmodified</status>
      <modifiedWord/>
      <trackRevisions>false</trackRevisions>
    </reviewItem>
    <reviewItem>
      <errorID>dafb5f26-6d7e-4530-9561-f319b8dae50d</errorID>
      <errorWord>)</errorWord>
      <group>L1_Format</group>
      <groupName>格式问题</groupName>
      <ability>L2_HalfPunc</ability>
      <abilityName>全半角检查</abilityName>
      <candidateList>
        <item>）</item>
      </candidateList>
      <explain>文本全半角错误。</explain>
      <paraID>414A5C56</paraID>
      <start>27</start>
      <end>28</end>
      <status>unmodified</status>
      <modifiedWord/>
      <trackRevisions>false</trackRevisions>
    </reviewItem>
    <reviewItem>
      <errorID>dfe76fb7-8a1e-4fc7-86f3-6420a06adae0</errorID>
      <errorWord>(</errorWord>
      <group>L1_Format</group>
      <groupName>格式问题</groupName>
      <ability>L2_HalfPunc</ability>
      <abilityName>全半角检查</abilityName>
      <candidateList>
        <item>（</item>
      </candidateList>
      <explain>文本全半角错误。</explain>
      <paraID>414A5C56</paraID>
      <start>63</start>
      <end>64</end>
      <status>unmodified</status>
      <modifiedWord/>
      <trackRevisions>false</trackRevisions>
    </reviewItem>
    <reviewItem>
      <errorID>4e41df42-e6ea-4c37-9d8a-f883a23a1529</errorID>
      <errorWord>)</errorWord>
      <group>L1_Format</group>
      <groupName>格式问题</groupName>
      <ability>L2_HalfPunc</ability>
      <abilityName>全半角检查</abilityName>
      <candidateList>
        <item>）</item>
      </candidateList>
      <explain>文本全半角错误。</explain>
      <paraID>414A5C56</paraID>
      <start>66</start>
      <end>67</end>
      <status>unmodified</status>
      <modifiedWord/>
      <trackRevisions>false</trackRevisions>
    </reviewItem>
    <reviewItem>
      <errorID>f2048899-b5ab-4ce1-9a08-86382a21b808</errorID>
      <errorWord>(</errorWord>
      <group>L1_Format</group>
      <groupName>格式问题</groupName>
      <ability>L2_HalfPunc</ability>
      <abilityName>全半角检查</abilityName>
      <candidateList>
        <item>（</item>
      </candidateList>
      <explain>文本全半角错误。</explain>
      <paraID>414A5C56</paraID>
      <start>68</start>
      <end>69</end>
      <status>unmodified</status>
      <modifiedWord/>
      <trackRevisions>false</trackRevisions>
    </reviewItem>
    <reviewItem>
      <errorID>1f3fef53-367a-4272-b499-58e02577693c</errorID>
      <errorWord>(2018)11号</errorWord>
      <group>L1_Knowledge</group>
      <groupName>知识性问题</groupName>
      <ability>L2_Knowledge</ability>
      <abilityName>其他知识</abilityName>
      <candidateList>
        <item>〔2018〕11号</item>
      </candidateList>
      <explain>发文字号格式错误</explain>
      <paraID>414A5C56</paraID>
      <start>72</start>
      <end>81</end>
      <status>modified</status>
      <modifiedWord>〔2018〕11号</modifiedWord>
      <trackRevisions>false</trackRevisions>
    </reviewItem>
    <reviewItem>
      <errorID>5a3821c9-e98f-40aa-87d9-0ae928db42ec</errorID>
      <errorWord>)</errorWord>
      <group>L1_Format</group>
      <groupName>格式问题</groupName>
      <ability>L2_HalfPunc</ability>
      <abilityName>全半角检查</abilityName>
      <candidateList>
        <item>）</item>
      </candidateList>
      <explain>文本全半角错误。</explain>
      <paraID>414A5C56</paraID>
      <start>81</start>
      <end>82</end>
      <status>unmodified</status>
      <modifiedWord/>
      <trackRevisions>false</trackRevisions>
    </reviewItem>
    <reviewItem>
      <errorID>0a014f95-0060-42f4-95ed-6f785018ab84</errorID>
      <errorWord>井工</errorWord>
      <group>L1_Word</group>
      <groupName>字词问题</groupName>
      <ability>L2_Typo</ability>
      <abilityName>字词错误</abilityName>
      <candidateList>
        <item>井下</item>
      </candidateList>
      <explain>存在字形相近字词的误用。</explain>
      <paraID>7F0451E6</paraID>
      <start>70</start>
      <end>72</end>
      <status>unmodified</status>
      <modifiedWord/>
      <trackRevisions>false</trackRevisions>
    </reviewItem>
    <reviewItem>
      <errorID>6261ef74-2996-4dd2-8bb4-33c1d64535d0</errorID>
      <errorWord>(</errorWord>
      <group>L1_Format</group>
      <groupName>格式问题</groupName>
      <ability>L2_HalfPunc</ability>
      <abilityName>全半角检查</abilityName>
      <candidateList>
        <item>（</item>
      </candidateList>
      <explain>文本全半角错误。</explain>
      <paraID>53E2E56B</paraID>
      <start>19</start>
      <end>20</end>
      <status>unmodified</status>
      <modifiedWord/>
      <trackRevisions>false</trackRevisions>
    </reviewItem>
    <reviewItem>
      <errorID>37f8b91b-6c05-4fbc-9914-9ad07ed9e5b9</errorID>
      <errorWord>)</errorWord>
      <group>L1_Format</group>
      <groupName>格式问题</groupName>
      <ability>L2_HalfPunc</ability>
      <abilityName>全半角检查</abilityName>
      <candidateList>
        <item>）</item>
      </candidateList>
      <explain>文本全半角错误。</explain>
      <paraID>53E2E56B</paraID>
      <start>29</start>
      <end>30</end>
      <status>unmodified</status>
      <modifiedWord/>
      <trackRevisions>false</trackRevisions>
    </reviewItem>
    <reviewItem>
      <errorID>7b102844-103b-4461-8fb0-501efab1d778</errorID>
      <errorWord>地</errorWord>
      <group>L1_Word</group>
      <groupName>字词问题</groupName>
      <ability>L2_Typo</ability>
      <abilityName>字词错误</abilityName>
      <candidateList>
        <item>地及</item>
      </candidateList>
      <explain/>
      <paraID>37B33D4E</paraID>
      <start>23</start>
      <end>25</end>
      <status>modified</status>
      <modifiedWord>地及</modifiedWord>
      <trackRevisions>false</trackRevisions>
    </reviewItem>
    <reviewItem>
      <errorID>5caf9e45-8e12-49ee-9cf9-056bd888f89a</errorID>
      <errorWord>地</errorWord>
      <group>L1_Word</group>
      <groupName>字词问题</groupName>
      <ability>L2_Typo</ability>
      <abilityName>字词错误</abilityName>
      <candidateList>
        <item>地及</item>
      </candidateList>
      <explain/>
      <paraID> CBAFF79</paraID>
      <start>12</start>
      <end>14</end>
      <status>modified</status>
      <modifiedWord>地及</modifiedWord>
      <trackRevisions>false</trackRevisions>
    </reviewItem>
    <reviewItem>
      <errorID>07163abd-041b-4e84-95b4-4784e7efff78</errorID>
      <errorWord>(</errorWord>
      <group>L1_Format</group>
      <groupName>格式问题</groupName>
      <ability>L2_HalfPunc</ability>
      <abilityName>全半角检查</abilityName>
      <candidateList>
        <item>（</item>
      </candidateList>
      <explain>文本全半角错误。</explain>
      <paraID>3D2F40A6</paraID>
      <start>92</start>
      <end>93</end>
      <status>unmodified</status>
      <modifiedWord/>
      <trackRevisions>false</trackRevisions>
    </reviewItem>
    <reviewItem>
      <errorID>dd4d4d2b-6bd2-4afb-b113-679df8b7a213</errorID>
      <errorWord>)</errorWord>
      <group>L1_Format</group>
      <groupName>格式问题</groupName>
      <ability>L2_HalfPunc</ability>
      <abilityName>全半角检查</abilityName>
      <candidateList>
        <item>）</item>
      </candidateList>
      <explain>文本全半角错误。</explain>
      <paraID>3D2F40A6</paraID>
      <start>95</start>
      <end>96</end>
      <status>unmodified</status>
      <modifiedWord/>
      <trackRevisions>false</trackRevisions>
    </reviewItem>
    <reviewItem>
      <errorID>766b508c-f680-4b2a-a0bc-4abfe0df994e</errorID>
      <errorWord>(</errorWord>
      <group>L1_Format</group>
      <groupName>格式问题</groupName>
      <ability>L2_HalfPunc</ability>
      <abilityName>全半角检查</abilityName>
      <candidateList>
        <item>（</item>
      </candidateList>
      <explain>文本全半角错误。</explain>
      <paraID>3D2F40A6</paraID>
      <start>97</start>
      <end>98</end>
      <status>unmodified</status>
      <modifiedWord/>
      <trackRevisions>false</trackRevisions>
    </reviewItem>
    <reviewItem>
      <errorID>fffa9f5a-2a0d-485e-bde2-ed263f9d9b4d</errorID>
      <errorWord>)</errorWord>
      <group>L1_Format</group>
      <groupName>格式问题</groupName>
      <ability>L2_HalfPunc</ability>
      <abilityName>全半角检查</abilityName>
      <candidateList>
        <item>）</item>
      </candidateList>
      <explain>文本全半角错误。</explain>
      <paraID>3D2F40A6</paraID>
      <start>108</start>
      <end>109</end>
      <status>unmodified</status>
      <modifiedWord/>
      <trackRevisions>false</trackRevisions>
    </reviewItem>
    <reviewItem>
      <errorID>adc87560-2cdf-462a-8ceb-ee2e7942871c</errorID>
      <errorWord>及</errorWord>
      <group>L1_Word</group>
      <groupName>字词问题</groupName>
      <ability>L2_Typo</ability>
      <abilityName>字词错误</abilityName>
      <candidateList>
        <item>及其</item>
      </candidateList>
      <explain/>
      <paraID>569A7652</paraID>
      <start>23</start>
      <end>25</end>
      <status>modified</status>
      <modifiedWord>及其</modifiedWord>
      <trackRevisions>false</trackRevisions>
    </reviewItem>
    <reviewItem>
      <errorID>c4f7bcc8-1403-4bf7-b0a2-396c4a9cba12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912B6BB</paraID>
      <start>61</start>
      <end>62</end>
      <status>modified</status>
      <modifiedWord>地</modifiedWord>
      <trackRevisions>false</trackRevisions>
    </reviewItem>
    <reviewItem>
      <errorID>fac1ec82-0ea0-4c31-b792-395dfbac56d9</errorID>
      <errorWord>(</errorWord>
      <group>L1_Format</group>
      <groupName>格式问题</groupName>
      <ability>L2_HalfPunc</ability>
      <abilityName>全半角检查</abilityName>
      <candidateList>
        <item>（</item>
      </candidateList>
      <explain>文本全半角错误。</explain>
      <paraID>  450461</paraID>
      <start>112</start>
      <end>113</end>
      <status>unmodified</status>
      <modifiedWord/>
      <trackRevisions>false</trackRevisions>
    </reviewItem>
    <reviewItem>
      <errorID>f28c2a76-c6fc-4dd8-8b52-e3ee8e311175</errorID>
      <errorWord>)</errorWord>
      <group>L1_Format</group>
      <groupName>格式问题</groupName>
      <ability>L2_HalfPunc</ability>
      <abilityName>全半角检查</abilityName>
      <candidateList>
        <item>）</item>
      </candidateList>
      <explain>文本全半角错误。</explain>
      <paraID>  450461</paraID>
      <start>119</start>
      <end>120</end>
      <status>unmodified</status>
      <modifiedWord/>
      <trackRevisions>false</trackRevisions>
    </reviewItem>
    <reviewItem>
      <errorID>68e35a96-8a92-4be4-91a5-c12cd70621d7</errorID>
      <errorWord>二、三盘</errorWord>
      <group>L1_Punc</group>
      <groupName>标点问题</groupName>
      <ability>L2_Punc</ability>
      <abilityName>标点符号检查</abilityName>
      <candidateList>
        <item>二三盘</item>
      </candidateList>
      <explain>根据国标GB/T 15834-2011《标点符号用法》中的4.5.3.4节，相邻或相近两数字连用表概数时，通常不使用顿号。如“只能看到八九公里范围内的地面”。</explain>
      <paraID>  450461</paraID>
      <start>192</start>
      <end>196</end>
      <status>unmodified</status>
      <modifiedWord/>
      <trackRevisions>false</trackRevisions>
    </reviewItem>
    <reviewItem>
      <errorID>6e74af2b-2e59-4cbc-8802-c8246e39000e</errorID>
      <errorWord>(</errorWord>
      <group>L1_Format</group>
      <groupName>格式问题</groupName>
      <ability>L2_HalfPunc</ability>
      <abilityName>全半角检查</abilityName>
      <candidateList>
        <item>（</item>
      </candidateList>
      <explain>文本全半角错误。</explain>
      <paraID>2A93FD89</paraID>
      <start>53</start>
      <end>54</end>
      <status>unmodified</status>
      <modifiedWord/>
      <trackRevisions>false</trackRevisions>
    </reviewItem>
    <reviewItem>
      <errorID>5cb1c85c-d30c-47a1-b436-ddf0bab19e9b</errorID>
      <errorWord>)</errorWord>
      <group>L1_Format</group>
      <groupName>格式问题</groupName>
      <ability>L2_HalfPunc</ability>
      <abilityName>全半角检查</abilityName>
      <candidateList>
        <item>）</item>
      </candidateList>
      <explain>文本全半角错误。</explain>
      <paraID>2A93FD89</paraID>
      <start>64</start>
      <end>65</end>
      <status>unmodified</status>
      <modifiedWord/>
      <trackRevisions>false</trackRevisions>
    </reviewItem>
    <reviewItem>
      <errorID>1d08314c-b45d-4158-a95e-13abe2578b8e</errorID>
      <errorWord>(</errorWord>
      <group>L1_Format</group>
      <groupName>格式问题</groupName>
      <ability>L2_HalfPunc</ability>
      <abilityName>全半角检查</abilityName>
      <candidateList>
        <item>（</item>
      </candidateList>
      <explain>文本全半角错误。</explain>
      <paraID>641A3998</paraID>
      <start>30</start>
      <end>31</end>
      <status>unmodified</status>
      <modifiedWord/>
      <trackRevisions>false</trackRevisions>
    </reviewItem>
    <reviewItem>
      <errorID>236f9cf6-55e9-43c9-93e8-ddf7cd5dcf1e</errorID>
      <errorWord>)</errorWord>
      <group>L1_Format</group>
      <groupName>格式问题</groupName>
      <ability>L2_HalfPunc</ability>
      <abilityName>全半角检查</abilityName>
      <candidateList>
        <item>）</item>
      </candidateList>
      <explain>文本全半角错误。</explain>
      <paraID>641A3998</paraID>
      <start>41</start>
      <end>42</end>
      <status>unmodified</status>
      <modifiedWord/>
      <trackRevisions>false</trackRevisions>
    </reviewItem>
    <reviewItem>
      <errorID>d75c8a47-3e1c-4e8a-bd81-9bb167b857db</errorID>
      <errorWord>二、三盘</errorWord>
      <group>L1_Punc</group>
      <groupName>标点问题</groupName>
      <ability>L2_Punc</ability>
      <abilityName>标点符号检查</abilityName>
      <candidateList>
        <item>二三盘</item>
      </candidateList>
      <explain>根据国标GB/T 15834-2011《标点符号用法》中的4.5.3.4节，相邻或相近两数字连用表概数时，通常不使用顿号。如“只能看到八九公里范围内的地面”。</explain>
      <paraID>392560E4</paraID>
      <start>11</start>
      <end>15</end>
      <status>unmodified</status>
      <modifiedWord/>
      <trackRevisions>false</trackRevisions>
    </reviewItem>
    <reviewItem>
      <errorID>3028e4e8-5a3f-4121-8dbf-62df8a184a36</errorID>
      <errorWord>圆型</errorWord>
      <group>L1_Word</group>
      <groupName>字词问题</groupName>
      <ability>L2_Typo</ability>
      <abilityName>字词错误</abilityName>
      <candidateList>
        <item>圆形</item>
      </candidateList>
      <explain>存在发音相同字词的误用。</explain>
      <paraID> D245C8A</paraID>
      <start>14</start>
      <end>16</end>
      <status>modified</status>
      <modifiedWord>圆形</modifiedWord>
      <trackRevisions>false</trackRevisions>
    </reviewItem>
    <reviewItem>
      <errorID>503d68c2-a5b5-4a2a-b2c7-429401ffd903</errorID>
      <errorWord>圆型</errorWord>
      <group>L1_Word</group>
      <groupName>字词问题</groupName>
      <ability>L2_Typo</ability>
      <abilityName>字词错误</abilityName>
      <candidateList>
        <item>圆形</item>
      </candidateList>
      <explain>存在发音相同字词的误用。</explain>
      <paraID> D245C8A</paraID>
      <start>27</start>
      <end>29</end>
      <status>modified</status>
      <modifiedWord>圆形</modifiedWord>
      <trackRevisions>false</trackRevisions>
    </reviewItem>
    <reviewItem>
      <errorID>ad467ee1-645b-4990-8a3d-27394d478994</errorID>
      <errorWord>产</errorWord>
      <group>L1_Word</group>
      <groupName>字词问题</groupName>
      <ability>L2_Typo</ability>
      <abilityName>字词错误</abilityName>
      <candidateList>
        <item>厂</item>
      </candidateList>
      <explain>存在发音相近字词的误用。</explain>
      <paraID>60FC39BF</paraID>
      <start>28</start>
      <end>29</end>
      <status>modified</status>
      <modifiedWord>厂</modifiedWord>
      <trackRevisions>false</trackRevisions>
    </reviewItem>
    <reviewItem>
      <errorID>a92e0c58-09f6-445e-a877-4d5f9c56430e</errorID>
      <errorWord>(</errorWord>
      <group>L1_Format</group>
      <groupName>格式问题</groupName>
      <ability>L2_HalfPunc</ability>
      <abilityName>全半角检查</abilityName>
      <candidateList>
        <item>（</item>
      </candidateList>
      <explain>文本全半角错误。</explain>
      <paraID>60FC39BF</paraID>
      <start>75</start>
      <end>76</end>
      <status>unmodified</status>
      <modifiedWord/>
      <trackRevisions>false</trackRevisions>
    </reviewItem>
    <reviewItem>
      <errorID>4d22bf8a-107c-4900-967d-1a5ae26b18fa</errorID>
      <errorWord>)</errorWord>
      <group>L1_Format</group>
      <groupName>格式问题</groupName>
      <ability>L2_HalfPunc</ability>
      <abilityName>全半角检查</abilityName>
      <candidateList>
        <item>）</item>
      </candidateList>
      <explain>文本全半角错误。</explain>
      <paraID>60FC39BF</paraID>
      <start>78</start>
      <end>79</end>
      <status>unmodified</status>
      <modifiedWord/>
      <trackRevisions>false</trackRevisions>
    </reviewItem>
    <reviewItem>
      <errorID>40b20050-6aad-4034-a00f-a78fb50bac41</errorID>
      <errorWord>拌合站</errorWord>
      <group>L1_Word</group>
      <groupName>字词问题</groupName>
      <ability>L2_Typo</ability>
      <abilityName>字词错误</abilityName>
      <candidateList>
        <item>拌和站</item>
      </candidateList>
      <explain>存在发音相同字词的误用。</explain>
      <paraID>6AA3E6BF</paraID>
      <start>94</start>
      <end>97</end>
      <status>unmodified</status>
      <modifiedWord/>
      <trackRevisions>false</trackRevisions>
    </reviewItem>
    <reviewItem>
      <errorID>01e89f70-5156-4eab-a20c-cf0ff78a360a</errorID>
      <errorWord>程</errorWord>
      <group>L1_Word</group>
      <groupName>字词问题</groupName>
      <ability>L2_Typo</ability>
      <abilityName>字词错误</abilityName>
      <candidateList>
        <item>程中</item>
      </candidateList>
      <explain/>
      <paraID>380EAD7E</paraID>
      <start>3</start>
      <end>5</end>
      <status>modified</status>
      <modifiedWord>程中</modifiedWord>
      <trackRevisions>false</trackRevisions>
    </reviewItem>
    <reviewItem>
      <errorID>73e30b2e-24f9-438d-abfc-d002e272506f</errorID>
      <errorWord>井厂</errorWord>
      <group>L1_Word</group>
      <groupName>字词问题</groupName>
      <ability>L2_Typo</ability>
      <abilityName>字词错误</abilityName>
      <candidateList>
        <item>井场</item>
      </candidateList>
      <explain/>
      <paraID>4420812B</paraID>
      <start>47</start>
      <end>49</end>
      <status>unmodified</status>
      <modifiedWord/>
      <trackRevisions>false</trackRevisions>
    </reviewItem>
    <reviewItem>
      <errorID>536ceba9-a157-4bc9-8bef-ceb273a90fe1</errorID>
      <errorWord>厂</errorWord>
      <group>L1_Word</group>
      <groupName>字词问题</groupName>
      <ability>L2_Typo</ability>
      <abilityName>字词错误</abilityName>
      <candidateList>
        <item>场</item>
      </candidateList>
      <explain>存在发音相同字词的误用。</explain>
      <paraID>35573112</paraID>
      <start>2</start>
      <end>3</end>
      <status>modified</status>
      <modifiedWord>场</modifiedWord>
      <trackRevisions>false</trackRevisions>
    </reviewItem>
    <reviewItem>
      <errorID>e170b30e-9d23-4ae3-af3c-503f618dc812</errorID>
      <errorWord>(</errorWord>
      <group>L1_Format</group>
      <groupName>格式问题</groupName>
      <ability>L2_HalfPunc</ability>
      <abilityName>全半角检查</abilityName>
      <candidateList>
        <item>（</item>
      </candidateList>
      <explain>文本全半角错误。</explain>
      <paraID>59D7832C</paraID>
      <start>7</start>
      <end>8</end>
      <status>unmodified</status>
      <modifiedWord/>
      <trackRevisions>false</trackRevisions>
    </reviewItem>
    <reviewItem>
      <errorID>74a5c906-e3ff-4340-a8f5-a144bad6d613</errorID>
      <errorWord>)</errorWord>
      <group>L1_Format</group>
      <groupName>格式问题</groupName>
      <ability>L2_HalfPunc</ability>
      <abilityName>全半角检查</abilityName>
      <candidateList>
        <item>）</item>
      </candidateList>
      <explain>文本全半角错误。</explain>
      <paraID>59D7832C</paraID>
      <start>10</start>
      <end>11</end>
      <status>unmodified</status>
      <modifiedWord/>
      <trackRevisions>false</trackRevisions>
    </reviewItem>
    <reviewItem>
      <errorID>48115357-86c2-4f2e-8a88-d3fe3ed4a5ae</errorID>
      <errorWord>，</errorWord>
      <group>L1_Word</group>
      <groupName>字词问题</groupName>
      <ability>L2_Typo</ability>
      <abilityName>字词错误</abilityName>
      <candidateList>
        <item>，在</item>
      </candidateList>
      <explain/>
      <paraID>48E091BE</paraID>
      <start>53</start>
      <end>55</end>
      <status>modified</status>
      <modifiedWord>，在</modifiedWord>
      <trackRevisions>false</trackRevisions>
    </reviewItem>
    <reviewItem>
      <errorID>2ab817cb-99fb-4eb7-98d6-d0b38df54862</errorID>
      <errorWord>污</errorWord>
      <group>L1_Word</group>
      <groupName>字词问题</groupName>
      <ability>L2_Typo</ability>
      <abilityName>字词错误</abilityName>
      <candidateList>
        <item>污水</item>
      </candidateList>
      <explain/>
      <paraID>48E091BE</paraID>
      <start>108</start>
      <end>110</end>
      <status>modified</status>
      <modifiedWord>污水</modifiedWord>
      <trackRevisions>false</trackRevisions>
    </reviewItem>
    <reviewItem>
      <errorID>3541cf6a-7757-4860-a6e8-39ac2e257371</errorID>
      <errorWord>厂</errorWord>
      <group>L1_Word</group>
      <groupName>字词问题</groupName>
      <ability>L2_Typo</ability>
      <abilityName>字词错误</abilityName>
      <candidateList>
        <item>场</item>
      </candidateList>
      <explain>存在发音相同字词的误用。</explain>
      <paraID>1772C298</paraID>
      <start>10</start>
      <end>11</end>
      <status>modified</status>
      <modifiedWord>场</modifiedWord>
      <trackRevisions>false</trackRevisions>
    </reviewItem>
    <reviewItem>
      <errorID>a81a6ec6-cfae-4892-8400-ed30faa4af71</errorID>
      <errorWord>-</errorWord>
      <group>L1_Format</group>
      <groupName>格式问题</groupName>
      <ability>L2_HalfPunc</ability>
      <abilityName>全半角检查</abilityName>
      <candidateList>
        <item>－</item>
      </candidateList>
      <explain>文本全半角错误。</explain>
      <paraID>47D64149</paraID>
      <start>50</start>
      <end>51</end>
      <status>unmodified</status>
      <modifiedWord/>
      <trackRevisions>false</trackRevisions>
    </reviewItem>
    <reviewItem>
      <errorID>6caf5b06-9ebf-49f4-99eb-0604b807f1a6</errorID>
      <errorWord>拌合站</errorWord>
      <group>L1_Word</group>
      <groupName>字词问题</groupName>
      <ability>L2_Typo</ability>
      <abilityName>字词错误</abilityName>
      <candidateList>
        <item>拌和站</item>
      </candidateList>
      <explain>存在发音相同字词的误用。</explain>
      <paraID>6B41CAE6</paraID>
      <start>62</start>
      <end>65</end>
      <status>unmodified</status>
      <modifiedWord/>
      <trackRevisions>false</trackRevisions>
    </reviewItem>
    <reviewItem>
      <errorID>414cdeb3-da2a-4522-96b3-aabb10e32e1b</errorID>
      <errorWord>起动</errorWord>
      <group>L1_Word</group>
      <groupName>字词问题</groupName>
      <ability>L2_Typo</ability>
      <abilityName>字词错误</abilityName>
      <candidateList>
        <item>启动</item>
      </candidateList>
      <explain>存在发音相同字词的误用。</explain>
      <paraID>6563C6D6</paraID>
      <start>98</start>
      <end>100</end>
      <status>modified</status>
      <modifiedWord>启动</modifiedWord>
      <trackRevisions>false</trackRevisions>
    </reviewItem>
    <reviewItem>
      <errorID>daa12fcd-f030-41df-918a-ed065600104d</errorID>
      <errorWord>二、三盘</errorWord>
      <group>L1_Punc</group>
      <groupName>标点问题</groupName>
      <ability>L2_Punc</ability>
      <abilityName>标点符号检查</abilityName>
      <candidateList>
        <item>二三盘</item>
      </candidateList>
      <explain>根据国标GB/T 15834-2011《标点符号用法》中的4.5.3.4节，相邻或相近两数字连用表概数时，通常不使用顿号。如“只能看到八九公里范围内的地面”。</explain>
      <paraID>72EFC306</paraID>
      <start>13</start>
      <end>17</end>
      <status>unmodified</status>
      <modifiedWord/>
      <trackRevisions>false</trackRevisions>
    </reviewItem>
    <reviewItem>
      <errorID>a1f19a7b-d74c-4807-9985-ff25518e39bc</errorID>
      <errorWord>内蒙自治区</errorWord>
      <group>L1_Political</group>
      <groupName>政治性问题</groupName>
      <ability>L2_Keyword</ability>
      <abilityName>固定表述</abilityName>
      <candidateList>
        <item>内蒙古自治区</item>
      </candidateList>
      <explain>词汇“内蒙古自治区”在特定场景下为固定表述形式，请确认此处的“内蒙自治区”是否存在不当。</explain>
      <paraID>24DBE675</paraID>
      <start>26</start>
      <end>32</end>
      <status>modified</status>
      <modifiedWord>内蒙古自治区</modifiedWord>
      <trackRevisions>false</trackRevisions>
    </reviewItem>
    <reviewItem>
      <errorID>6a50a299-06b0-479b-864e-a05994295033</errorID>
      <errorWord>生态多样性保护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词汇“生物多样性保护”在特定场景下为固定表述形式，请确认此处的“生态多样性保护”是否存在不当。</explain>
      <paraID>24DBE675</paraID>
      <start>107</start>
      <end>114</end>
      <status>unmodified</status>
      <modifiedWord/>
      <trackRevisions>false</trackRevisions>
    </reviewItem>
    <reviewItem>
      <errorID>6013b683-fe18-4c54-8e6a-168b6097e9c9</errorID>
      <errorWord>平</errorWord>
      <group>L1_Word</group>
      <groupName>字词问题</groupName>
      <ability>L2_Typo</ability>
      <abilityName>字词错误</abilityName>
      <candidateList>
        <item>平方</item>
      </candidateList>
      <explain/>
      <paraID>325E1284</paraID>
      <start>3</start>
      <end>4</end>
      <status>unmodified</status>
      <modifiedWord/>
      <trackRevisions>false</trackRevisions>
    </reviewItem>
    <reviewItem>
      <errorID>daec29ca-c349-4df1-a968-d58bfabd7993</errorID>
      <errorWord>平</errorWord>
      <group>L1_Word</group>
      <groupName>字词问题</groupName>
      <ability>L2_Typo</ability>
      <abilityName>字词错误</abilityName>
      <candidateList>
        <item>平方</item>
      </candidateList>
      <explain/>
      <paraID>2098E49D</paraID>
      <start>3</start>
      <end>4</end>
      <status>unmodified</status>
      <modifiedWord/>
      <trackRevisions>false</trackRevisions>
    </reviewItem>
    <reviewItem>
      <errorID>aef6f64f-cd5d-4801-8b08-cd5d28614d28</errorID>
      <errorWord>，</errorWord>
      <group>L1_Word</group>
      <groupName>字词问题</groupName>
      <ability>L2_Typo</ability>
      <abilityName>字词错误</abilityName>
      <candidateList>
        <item>，以</item>
      </candidateList>
      <explain/>
      <paraID>44915022</paraID>
      <start>21</start>
      <end>22</end>
      <status>unmodified</status>
      <modifiedWord/>
      <trackRevisions>false</trackRevisions>
    </reviewItem>
    <reviewItem>
      <errorID>b207279d-7385-4ce1-a128-872b17f994dc</errorID>
      <errorWord>平</errorWord>
      <group>L1_Word</group>
      <groupName>字词问题</groupName>
      <ability>L2_Typo</ability>
      <abilityName>字词错误</abilityName>
      <candidateList>
        <item>平方</item>
      </candidateList>
      <explain/>
      <paraID>5D25B4FB</paraID>
      <start>3</start>
      <end>4</end>
      <status>unmodified</status>
      <modifiedWord/>
      <trackRevisions>false</trackRevisions>
    </reviewItem>
    <reviewItem>
      <errorID>70e7031f-2793-4947-ae29-5e6b8f874761</errorID>
      <errorWord>平</errorWord>
      <group>L1_Word</group>
      <groupName>字词问题</groupName>
      <ability>L2_Typo</ability>
      <abilityName>字词错误</abilityName>
      <candidateList>
        <item>平方</item>
      </candidateList>
      <explain/>
      <paraID> A198C6E</paraID>
      <start>3</start>
      <end>4</end>
      <status>unmodified</status>
      <modifiedWord/>
      <trackRevisions>false</trackRevisions>
    </reviewItem>
    <reviewItem>
      <errorID>9bcbd063-f40c-40ca-ae4a-aefd636b2be6</errorID>
      <errorWord>平</errorWord>
      <group>L1_Word</group>
      <groupName>字词问题</groupName>
      <ability>L2_Typo</ability>
      <abilityName>字词错误</abilityName>
      <candidateList>
        <item>平方</item>
      </candidateList>
      <explain/>
      <paraID>20BC4D60</paraID>
      <start>3</start>
      <end>4</end>
      <status>unmodified</status>
      <modifiedWord/>
      <trackRevisions>false</trackRevisions>
    </reviewItem>
    <reviewItem>
      <errorID>5999b098-5f21-4c50-a947-9362cf01b869</errorID>
      <errorWord>平</errorWord>
      <group>L1_Word</group>
      <groupName>字词问题</groupName>
      <ability>L2_Typo</ability>
      <abilityName>字词错误</abilityName>
      <candidateList>
        <item>平方</item>
      </candidateList>
      <explain/>
      <paraID> C3880BF</paraID>
      <start>3</start>
      <end>4</end>
      <status>unmodified</status>
      <modifiedWord/>
      <trackRevisions>false</trackRevisions>
    </reviewItem>
    <reviewItem>
      <errorID>2a4d9778-7aac-4c0c-8226-6c5c80e50682</errorID>
      <errorWord>/）</errorWord>
      <group>L1_Punc</group>
      <groupName>标点问题</groupName>
      <ability>L2_Punc</ability>
      <abilityName>标点符号检查</abilityName>
      <candidateList>
        <item>）</item>
      </candidateList>
      <explain/>
      <paraID>174F5564</paraID>
      <start>54</start>
      <end>56</end>
      <status>unmodified</status>
      <modifiedWord/>
      <trackRevisions>false</trackRevisions>
    </reviewItem>
    <reviewItem>
      <errorID>91725c93-685f-4c67-9289-f0b00cd1df24</errorID>
      <errorWord>ug/m3</errorWord>
      <group>L1_Word</group>
      <groupName>字词问题</groupName>
      <ability>L2_Typo</ability>
      <abilityName>字词错误</abilityName>
      <candidateList>
        <item>μg/m3</item>
      </candidateList>
      <explain/>
      <paraID>174F5564</paraID>
      <start>99</start>
      <end>104</end>
      <status>unmodified</status>
      <modifiedWord/>
      <trackRevisions>false</trackRevisions>
    </reviewItem>
    <reviewItem>
      <errorID>0150e48b-fdaf-404e-86fe-4e824563de9c</errorID>
      <errorWord>ug/m3</errorWord>
      <group>L1_Word</group>
      <groupName>字词问题</groupName>
      <ability>L2_Typo</ability>
      <abilityName>字词错误</abilityName>
      <candidateList>
        <item>μg/m3</item>
      </candidateList>
      <explain/>
      <paraID>174F5564</paraID>
      <start>108</start>
      <end>113</end>
      <status>unmodified</status>
      <modifiedWord/>
      <trackRevisions>false</trackRevisions>
    </reviewItem>
    <reviewItem>
      <errorID>6040154d-74ff-441d-a57f-602c5c5443b6</errorID>
      <errorWord>ug/m3</errorWord>
      <group>L1_Word</group>
      <groupName>字词问题</groupName>
      <ability>L2_Typo</ability>
      <abilityName>字词错误</abilityName>
      <candidateList>
        <item>μg/m3</item>
      </candidateList>
      <explain/>
      <paraID>174F5564</paraID>
      <start>117</start>
      <end>122</end>
      <status>unmodified</status>
      <modifiedWord/>
      <trackRevisions>false</trackRevisions>
    </reviewItem>
    <reviewItem>
      <errorID>9fe96afb-a7bf-4d15-86c5-6121bc42b3a7</errorID>
      <errorWord>ug/m3</errorWord>
      <group>L1_Word</group>
      <groupName>字词问题</groupName>
      <ability>L2_Typo</ability>
      <abilityName>字词错误</abilityName>
      <candidateList>
        <item>μg/m3</item>
      </candidateList>
      <explain/>
      <paraID>174F5564</paraID>
      <start>126</start>
      <end>131</end>
      <status>unmodified</status>
      <modifiedWord/>
      <trackRevisions>false</trackRevisions>
    </reviewItem>
    <reviewItem>
      <errorID>c060663c-2893-406a-87d0-b8f7e849ac16</errorID>
      <errorWord>ug/m3</errorWord>
      <group>L1_Word</group>
      <groupName>字词问题</groupName>
      <ability>L2_Typo</ability>
      <abilityName>字词错误</abilityName>
      <candidateList>
        <item>μg/m3</item>
      </candidateList>
      <explain/>
      <paraID>174F5564</paraID>
      <start>179</start>
      <end>184</end>
      <status>unmodified</status>
      <modifiedWord/>
      <trackRevisions>false</trackRevisions>
    </reviewItem>
    <reviewItem>
      <errorID>7f40ac38-e733-4fcd-9c96-506424f191aa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734CC5A0</paraID>
      <start>106</start>
      <end>107</end>
      <status>unmodified</status>
      <modifiedWord/>
      <trackRevisions>false</trackRevisions>
    </reviewItem>
    <reviewItem>
      <errorID>672ac805-c61c-40f1-bbe1-5ec997a1f90b</errorID>
      <errorWord>，</errorWord>
      <group>L1_Format</group>
      <groupName>格式问题</groupName>
      <ability>L2_HalfPunc</ability>
      <abilityName>全半角检查</abilityName>
      <candidateList>
        <item>, </item>
      </candidateList>
      <explain>文本全半角错误。</explain>
      <paraID>6DE2918A</paraID>
      <start>15</start>
      <end>16</end>
      <status>unmodified</status>
      <modifiedWord/>
      <trackRevisions>false</trackRevisions>
    </reviewItem>
    <reviewItem>
      <errorID>b71b0ade-9ab8-4e9a-bbd5-0bce4b44eabe</errorID>
      <errorWord>～</errorWord>
      <group>L1_Format</group>
      <groupName>格式问题</groupName>
      <ability>L2_HalfPunc</ability>
      <abilityName>全半角检查</abilityName>
      <candidateList>
        <item>~</item>
      </candidateList>
      <explain>文本全半角错误。</explain>
      <paraID>7A73D177</paraID>
      <start>3</start>
      <end>4</end>
      <status>unmodified</status>
      <modifiedWord/>
      <trackRevisions>false</trackRevisions>
    </reviewItem>
    <reviewItem>
      <errorID>9046c4b0-d5b9-456f-8ca5-ada339bd9292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4D8A897D</paraID>
      <start>239</start>
      <end>240</end>
      <status>modified</status>
      <modifiedWord>地</modifiedWord>
      <trackRevisions>false</trackRevisions>
    </reviewItem>
    <reviewItem>
      <errorID>01d182d6-2008-4c11-9265-ad2864f7cee8</errorID>
      <errorWord>（</errorWord>
      <group>L1_Format</group>
      <groupName>格式问题</groupName>
      <ability>L2_HalfPunc</ability>
      <abilityName>全半角检查</abilityName>
      <candidateList>
        <item>(</item>
      </candidateList>
      <explain>文本全半角错误。</explain>
      <paraID>682F4B50</paraID>
      <start>5</start>
      <end>6</end>
      <status>unmodified</status>
      <modifiedWord/>
      <trackRevisions>false</trackRevisions>
    </reviewItem>
    <reviewItem>
      <errorID>8ed18325-7612-44f5-87f4-e862029c1dd9</errorID>
      <errorWord>）</errorWord>
      <group>L1_Format</group>
      <groupName>格式问题</groupName>
      <ability>L2_HalfPunc</ability>
      <abilityName>全半角检查</abilityName>
      <candidateList>
        <item>)</item>
      </candidateList>
      <explain>文本全半角错误。</explain>
      <paraID>682F4B50</paraID>
      <start>12</start>
      <end>13</end>
      <status>unmodified</status>
      <modifiedWord/>
      <trackRevisions>false</trackRevisions>
    </reviewItem>
    <reviewItem>
      <errorID>556b4a1d-33a0-402d-a1db-ace8eafd6b53</errorID>
      <errorWord>-</errorWord>
      <group>L1_Format</group>
      <groupName>格式问题</groupName>
      <ability>L2_HalfPunc</ability>
      <abilityName>全半角检查</abilityName>
      <candidateList>
        <item>－</item>
      </candidateList>
      <explain>文本全半角错误。</explain>
      <paraID>59CACD69</paraID>
      <start>4</start>
      <end>5</end>
      <status>unmodified</status>
      <modifiedWord/>
      <trackRevisions>false</trackRevisions>
    </reviewItem>
    <reviewItem>
      <errorID>b9b14301-5edb-41a8-babe-f3fb40a964a9</errorID>
      <errorWord>-</errorWord>
      <group>L1_Format</group>
      <groupName>格式问题</groupName>
      <ability>L2_HalfPunc</ability>
      <abilityName>全半角检查</abilityName>
      <candidateList>
        <item>－</item>
      </candidateList>
      <explain>文本全半角错误。</explain>
      <paraID>3C2B1C49</paraID>
      <start>2</start>
      <end>3</end>
      <status>unmodified</status>
      <modifiedWord/>
      <trackRevisions>false</trackRevisions>
    </reviewItem>
    <reviewItem>
      <errorID>fe054a9b-210b-4c86-baab-bf1310b8116b</errorID>
      <errorWord>（</errorWord>
      <group>L1_Format</group>
      <groupName>格式问题</groupName>
      <ability>L2_HalfPunc</ability>
      <abilityName>全半角检查</abilityName>
      <candidateList>
        <item>(</item>
      </candidateList>
      <explain>文本全半角错误。</explain>
      <paraID>763995CC</paraID>
      <start>7</start>
      <end>8</end>
      <status>unmodified</status>
      <modifiedWord/>
      <trackRevisions>false</trackRevisions>
    </reviewItem>
    <reviewItem>
      <errorID>66903cad-7afc-4632-b592-366581d3215b</errorID>
      <errorWord>）（</errorWord>
      <group>L1_Format</group>
      <groupName>格式问题</groupName>
      <ability>L2_HalfPunc</ability>
      <abilityName>全半角检查</abilityName>
      <candidateList>
        <item>)(</item>
      </candidateList>
      <explain>文本全半角错误。</explain>
      <paraID>763995CC</paraID>
      <start>11</start>
      <end>13</end>
      <status>unmodified</status>
      <modifiedWord/>
      <trackRevisions>false</trackRevisions>
    </reviewItem>
    <reviewItem>
      <errorID>04f2ef55-e445-47e6-aa95-de46affb038d</errorID>
      <errorWord>）</errorWord>
      <group>L1_Format</group>
      <groupName>格式问题</groupName>
      <ability>L2_HalfPunc</ability>
      <abilityName>全半角检查</abilityName>
      <candidateList>
        <item>)</item>
      </candidateList>
      <explain>文本全半角错误。</explain>
      <paraID>763995CC</paraID>
      <start>18</start>
      <end>19</end>
      <status>unmodified</status>
      <modifiedWord/>
      <trackRevisions>false</trackRevisions>
    </reviewItem>
    <reviewItem>
      <errorID>7722a935-1112-4ebc-b419-1f3fe42bc55b</errorID>
      <errorWord>（</errorWord>
      <group>L1_Format</group>
      <groupName>格式问题</groupName>
      <ability>L2_HalfPunc</ability>
      <abilityName>全半角检查</abilityName>
      <candidateList>
        <item>(</item>
      </candidateList>
      <explain>文本全半角错误。</explain>
      <paraID>763995CC</paraID>
      <start>23</start>
      <end>24</end>
      <status>unmodified</status>
      <modifiedWord/>
      <trackRevisions>false</trackRevisions>
    </reviewItem>
    <reviewItem>
      <errorID>487339cd-b19a-4875-a7fa-5dc67e872748</errorID>
      <errorWord>）</errorWord>
      <group>L1_Format</group>
      <groupName>格式问题</groupName>
      <ability>L2_HalfPunc</ability>
      <abilityName>全半角检查</abilityName>
      <candidateList>
        <item>)</item>
      </candidateList>
      <explain>文本全半角错误。</explain>
      <paraID>763995CC</paraID>
      <start>29</start>
      <end>30</end>
      <status>unmodified</status>
      <modifiedWord/>
      <trackRevisions>false</trackRevisions>
    </reviewItem>
    <reviewItem>
      <errorID>b446a584-c823-43ae-8906-58067d0c6015</errorID>
      <errorWord>-</errorWord>
      <group>L1_Format</group>
      <groupName>格式问题</groupName>
      <ability>L2_HalfPunc</ability>
      <abilityName>全半角检查</abilityName>
      <candidateList>
        <item>－</item>
      </candidateList>
      <explain>文本全半角错误。</explain>
      <paraID>4D4C677A</paraID>
      <start>5</start>
      <end>6</end>
      <status>unmodified</status>
      <modifiedWord/>
      <trackRevisions>false</trackRevisions>
    </reviewItem>
    <reviewItem>
      <errorID>90eb453e-b7f3-4e51-9b04-137706526795</errorID>
      <errorWord>-</errorWord>
      <group>L1_Format</group>
      <groupName>格式问题</groupName>
      <ability>L2_HalfPunc</ability>
      <abilityName>全半角检查</abilityName>
      <candidateList>
        <item>－</item>
      </candidateList>
      <explain>文本全半角错误。</explain>
      <paraID>35946BE0</paraID>
      <start>2</start>
      <end>3</end>
      <status>unmodified</status>
      <modifiedWord/>
      <trackRevisions>false</trackRevisions>
    </reviewItem>
    <reviewItem>
      <errorID>6fdb8eb8-eb47-4ed3-909b-9852790b7ce3</errorID>
      <errorWord>-</errorWord>
      <group>L1_Format</group>
      <groupName>格式问题</groupName>
      <ability>L2_HalfPunc</ability>
      <abilityName>全半角检查</abilityName>
      <candidateList>
        <item>－</item>
      </candidateList>
      <explain>文本全半角错误。</explain>
      <paraID> C777148</paraID>
      <start>2</start>
      <end>3</end>
      <status>unmodified</status>
      <modifiedWord/>
      <trackRevisions>false</trackRevisions>
    </reviewItem>
    <reviewItem>
      <errorID>5d9f8463-2cb6-4a2e-a534-15ec2fa468e4</errorID>
      <errorWord>-</errorWord>
      <group>L1_Format</group>
      <groupName>格式问题</groupName>
      <ability>L2_HalfPunc</ability>
      <abilityName>全半角检查</abilityName>
      <candidateList>
        <item>－</item>
      </candidateList>
      <explain>文本全半角错误。</explain>
      <paraID>4D5A78CB</paraID>
      <start>2</start>
      <end>3</end>
      <status>unmodified</status>
      <modifiedWord/>
      <trackRevisions>false</trackRevisions>
    </reviewItem>
    <reviewItem>
      <errorID>04f3a361-a940-4419-80ab-3253a151c765</errorID>
      <errorWord>（</errorWord>
      <group>L1_Punc</group>
      <groupName>标点问题</groupName>
      <ability>L2_Punc</ability>
      <abilityName>标点符号检查</abilityName>
      <candidateList/>
      <explain>同一形式括号套用。</explain>
      <paraID>6B5B78F2</paraID>
      <start>7</start>
      <end>8</end>
      <status>unmodified</status>
      <modifiedWord/>
      <trackRevisions>false</trackRevisions>
    </reviewItem>
    <reviewItem>
      <errorID>70b5a638-ba06-45dc-9f7e-c4c8b157b942</errorID>
      <errorWord>）</errorWord>
      <group>L1_Punc</group>
      <groupName>标点问题</groupName>
      <ability>L2_Punc</ability>
      <abilityName>标点符号检查</abilityName>
      <candidateList/>
      <explain>同一形式括号套用。</explain>
      <paraID>6B5B78F2</paraID>
      <start>9</start>
      <end>10</end>
      <status>unmodified</status>
      <modifiedWord/>
      <trackRevisions>false</trackRevisions>
    </reviewItem>
    <reviewItem>
      <errorID>db0c98ac-faf9-4502-b04c-e436b3950759</errorID>
      <errorWord>～</errorWord>
      <group>L1_Format</group>
      <groupName>格式问题</groupName>
      <ability>L2_HalfPunc</ability>
      <abilityName>全半角检查</abilityName>
      <candidateList>
        <item>~</item>
      </candidateList>
      <explain>文本全半角错误。</explain>
      <paraID>4615EB76</paraID>
      <start>2</start>
      <end>3</end>
      <status>unmodified</status>
      <modifiedWord/>
      <trackRevisions>false</trackRevisions>
    </reviewItem>
    <reviewItem>
      <errorID>ad3707c5-3bec-4dda-8d9d-5045fb3ad3b4</errorID>
      <errorWord>～</errorWord>
      <group>L1_Format</group>
      <groupName>格式问题</groupName>
      <ability>L2_HalfPunc</ability>
      <abilityName>全半角检查</abilityName>
      <candidateList>
        <item>~</item>
      </candidateList>
      <explain>文本全半角错误。</explain>
      <paraID>78D21859</paraID>
      <start>2</start>
      <end>3</end>
      <status>unmodified</status>
      <modifiedWord/>
      <trackRevisions>false</trackRevisions>
    </reviewItem>
    <reviewItem>
      <errorID>1695aa85-d9ab-4045-8c44-421469376916</errorID>
      <errorWord>～</errorWord>
      <group>L1_Format</group>
      <groupName>格式问题</groupName>
      <ability>L2_HalfPunc</ability>
      <abilityName>全半角检查</abilityName>
      <candidateList>
        <item>~</item>
      </candidateList>
      <explain>文本全半角错误。</explain>
      <paraID> 5925D3D</paraID>
      <start>2</start>
      <end>3</end>
      <status>unmodified</status>
      <modifiedWord/>
      <trackRevisions>false</trackRevisions>
    </reviewItem>
    <reviewItem>
      <errorID>475758d3-4282-4d60-a133-4e42dbd71794</errorID>
      <errorWord>～</errorWord>
      <group>L1_Format</group>
      <groupName>格式问题</groupName>
      <ability>L2_HalfPunc</ability>
      <abilityName>全半角检查</abilityName>
      <candidateList>
        <item>~</item>
      </candidateList>
      <explain>文本全半角错误。</explain>
      <paraID>725D2073</paraID>
      <start>2</start>
      <end>3</end>
      <status>unmodified</status>
      <modifiedWord/>
      <trackRevisions>false</trackRevisions>
    </reviewItem>
    <reviewItem>
      <errorID>a3b286e8-05a3-4620-b5f7-0dc00f0aecc4</errorID>
      <errorWord>（</errorWord>
      <group>L1_Format</group>
      <groupName>格式问题</groupName>
      <ability>L2_HalfPunc</ability>
      <abilityName>全半角检查</abilityName>
      <candidateList>
        <item>(</item>
      </candidateList>
      <explain>文本全半角错误。</explain>
      <paraID> EE2A3FF</paraID>
      <start>2</start>
      <end>3</end>
      <status>unmodified</status>
      <modifiedWord/>
      <trackRevisions>false</trackRevisions>
    </reviewItem>
    <reviewItem>
      <errorID>3892b90e-3f81-46d9-8da4-4be41de7a1d8</errorID>
      <errorWord>）</errorWord>
      <group>L1_Format</group>
      <groupName>格式问题</groupName>
      <ability>L2_HalfPunc</ability>
      <abilityName>全半角检查</abilityName>
      <candidateList>
        <item>)</item>
      </candidateList>
      <explain>文本全半角错误。</explain>
      <paraID> EE2A3FF</paraID>
      <start>4</start>
      <end>5</end>
      <status>unmodified</status>
      <modifiedWord/>
      <trackRevisions>false</trackRevisions>
    </reviewItem>
    <reviewItem>
      <errorID>565f2d8d-8b1f-42f0-bad3-ea1e1d1c3a6b</errorID>
      <errorWord>（</errorWord>
      <group>L1_Format</group>
      <groupName>格式问题</groupName>
      <ability>L2_HalfPunc</ability>
      <abilityName>全半角检查</abilityName>
      <candidateList>
        <item>(</item>
      </candidateList>
      <explain>文本全半角错误。</explain>
      <paraID> EE2A3FF</paraID>
      <start>8</start>
      <end>9</end>
      <status>unmodified</status>
      <modifiedWord/>
      <trackRevisions>false</trackRevisions>
    </reviewItem>
    <reviewItem>
      <errorID>4f20d340-0665-4c92-bb29-22afa9a9fb58</errorID>
      <errorWord>）</errorWord>
      <group>L1_Format</group>
      <groupName>格式问题</groupName>
      <ability>L2_HalfPunc</ability>
      <abilityName>全半角检查</abilityName>
      <candidateList>
        <item>)</item>
      </candidateList>
      <explain>文本全半角错误。</explain>
      <paraID> EE2A3FF</paraID>
      <start>11</start>
      <end>12</end>
      <status>unmodified</status>
      <modifiedWord/>
      <trackRevisions>false</trackRevisions>
    </reviewItem>
    <reviewItem>
      <errorID>a60df6bb-c665-43a9-8669-3d2ca9bc3965</errorID>
      <errorWord>（</errorWord>
      <group>L1_Format</group>
      <groupName>格式问题</groupName>
      <ability>L2_HalfPunc</ability>
      <abilityName>全半角检查</abilityName>
      <candidateList>
        <item>(</item>
      </candidateList>
      <explain>文本全半角错误。</explain>
      <paraID> EE2A3FF</paraID>
      <start>17</start>
      <end>18</end>
      <status>unmodified</status>
      <modifiedWord/>
      <trackRevisions>false</trackRevisions>
    </reviewItem>
    <reviewItem>
      <errorID>ead4d634-cebb-46f9-9e36-094670abdad3</errorID>
      <errorWord>）</errorWord>
      <group>L1_Format</group>
      <groupName>格式问题</groupName>
      <ability>L2_HalfPunc</ability>
      <abilityName>全半角检查</abilityName>
      <candidateList>
        <item>)</item>
      </candidateList>
      <explain>文本全半角错误。</explain>
      <paraID> EE2A3FF</paraID>
      <start>22</start>
      <end>23</end>
      <status>unmodified</status>
      <modifiedWord/>
      <trackRevisions>false</trackRevisions>
    </reviewItem>
    <reviewItem>
      <errorID>112e7cdd-fe6b-4609-9380-f28727a0c01d</errorID>
      <errorWord>-</errorWord>
      <group>L1_Format</group>
      <groupName>格式问题</groupName>
      <ability>L2_HalfPunc</ability>
      <abilityName>全半角检查</abilityName>
      <candidateList>
        <item>－</item>
      </candidateList>
      <explain>文本全半角错误。</explain>
      <paraID>2CBC6A66</paraID>
      <start>8</start>
      <end>9</end>
      <status>unmodified</status>
      <modifiedWord/>
      <trackRevisions>false</trackRevisions>
    </reviewItem>
    <reviewItem>
      <errorID>e2149b68-7db8-43f2-a54b-33bc00a64b40</errorID>
      <errorWord>-</errorWord>
      <group>L1_Format</group>
      <groupName>格式问题</groupName>
      <ability>L2_HalfPunc</ability>
      <abilityName>全半角检查</abilityName>
      <candidateList>
        <item>－</item>
      </candidateList>
      <explain>文本全半角错误。</explain>
      <paraID>2CBC6A66</paraID>
      <start>9</start>
      <end>10</end>
      <status>unmodified</status>
      <modifiedWord/>
      <trackRevisions>false</trackRevisions>
    </reviewItem>
    <reviewItem>
      <errorID>17c9549e-a370-4e81-9a81-290101df1f6c</errorID>
      <errorWord>-</errorWord>
      <group>L1_Format</group>
      <groupName>格式问题</groupName>
      <ability>L2_HalfPunc</ability>
      <abilityName>全半角检查</abilityName>
      <candidateList>
        <item>－</item>
      </candidateList>
      <explain>文本全半角错误。</explain>
      <paraID>13F78132</paraID>
      <start>2</start>
      <end>3</end>
      <status>unmodified</status>
      <modifiedWord/>
      <trackRevisions>false</trackRevisions>
    </reviewItem>
    <reviewItem>
      <errorID>467107e2-6c46-4464-a0fa-a0996503f1e7</errorID>
      <errorWord>-</errorWord>
      <group>L1_Format</group>
      <groupName>格式问题</groupName>
      <ability>L2_HalfPunc</ability>
      <abilityName>全半角检查</abilityName>
      <candidateList>
        <item>－</item>
      </candidateList>
      <explain>文本全半角错误。</explain>
      <paraID>373FC7A5</paraID>
      <start>3</start>
      <end>4</end>
      <status>unmodified</status>
      <modifiedWord/>
      <trackRevisions>false</trackRevisions>
    </reviewItem>
    <reviewItem>
      <errorID>b7d04d2a-286a-4fb4-85b1-69e24ab14129</errorID>
      <errorWord>（</errorWord>
      <group>L1_Punc</group>
      <groupName>标点问题</groupName>
      <ability>L2_Punc</ability>
      <abilityName>标点符号检查</abilityName>
      <candidateList/>
      <explain>同一形式括号套用。</explain>
      <paraID>561FF2DD</paraID>
      <start>16</start>
      <end>17</end>
      <status>unmodified</status>
      <modifiedWord/>
      <trackRevisions>false</trackRevisions>
    </reviewItem>
    <reviewItem>
      <errorID>9b561272-224e-478d-84a6-392b11005960</errorID>
      <errorWord>）</errorWord>
      <group>L1_Punc</group>
      <groupName>标点问题</groupName>
      <ability>L2_Punc</ability>
      <abilityName>标点符号检查</abilityName>
      <candidateList/>
      <explain>同一形式括号套用。</explain>
      <paraID>561FF2DD</paraID>
      <start>18</start>
      <end>19</end>
      <status>unmodified</status>
      <modifiedWord/>
      <trackRevisions>false</trackRevisions>
    </reviewItem>
    <reviewItem>
      <errorID>89869e31-1aca-41ed-acb2-ec106f2d80df</errorID>
      <errorWord>设</errorWord>
      <group>L1_Word</group>
      <groupName>字词问题</groupName>
      <ability>L2_Typo</ability>
      <abilityName>字词错误</abilityName>
      <candidateList>
        <item>设置</item>
      </candidateList>
      <explain>〈动〉❶设立：这座剧院是为儿童～的。❷安放；安装：～障碍。</explain>
      <paraID>4E4F58E0</paraID>
      <start>150</start>
      <end>152</end>
      <status>modified</status>
      <modifiedWord>设置</modifiedWord>
      <trackRevisions>false</trackRevisions>
    </reviewItem>
    <reviewItem>
      <errorID>6ec2501c-b693-4719-9fcd-4273e5344412</errorID>
      <errorWord>土岩</errorWord>
      <group>L1_Word</group>
      <groupName>字词问题</groupName>
      <ability>L2_Typo</ability>
      <abilityName>字词错误</abilityName>
      <candidateList>
        <item>土石</item>
      </candidateList>
      <explain/>
      <paraID>4342F437</paraID>
      <start>31</start>
      <end>33</end>
      <status>unmodified</status>
      <modifiedWord/>
      <trackRevisions>false</trackRevisions>
    </reviewItem>
    <reviewItem>
      <errorID>4e46e20b-3aa9-47a8-a472-d51f19fe4a5b</errorID>
      <errorWord>[2018]292号</errorWord>
      <group>L1_Knowledge</group>
      <groupName>知识性问题</groupName>
      <ability>L2_Knowledge</ability>
      <abilityName>其他知识</abilityName>
      <candidateList>
        <item>〔2018〕292号</item>
      </candidateList>
      <explain>发文字号格式错误</explain>
      <paraID>6594BEF8</paraID>
      <start>29</start>
      <end>39</end>
      <status>modified</status>
      <modifiedWord>〔2018〕292号</modifiedWord>
      <trackRevisions>false</trackRevisions>
    </reviewItem>
    <reviewItem>
      <errorID>bac4685f-2b27-41c3-a105-90f017c2f8a6</errorID>
      <errorWord>【2024】123号</errorWord>
      <group>L1_Knowledge</group>
      <groupName>知识性问题</groupName>
      <ability>L2_Knowledge</ability>
      <abilityName>其他知识</abilityName>
      <candidateList>
        <item>〔2024〕123号</item>
      </candidateList>
      <explain>发文字号格式错误</explain>
      <paraID>6C53338F</paraID>
      <start>55</start>
      <end>65</end>
      <status>modified</status>
      <modifiedWord>〔2024〕123号</modifiedWord>
      <trackRevisions>false</trackRevisions>
    </reviewItem>
    <reviewItem>
      <errorID>62a5a0a3-80d8-42e4-ac32-1c6b7216eacc</errorID>
      <errorWord>期</errorWord>
      <group>L1_Word</group>
      <groupName>字词问题</groupName>
      <ability>L2_Typo</ability>
      <abilityName>字词错误</abilityName>
      <candidateList>
        <item>期间</item>
      </candidateList>
      <explain>〈名〉某个时期里面：农忙～｜春节～｜抗战～。</explain>
      <paraID>251E5CA5</paraID>
      <start>3</start>
      <end>5</end>
      <status>modified</status>
      <modifiedWord>期间</modifiedWord>
      <trackRevisions>false</trackRevisions>
    </reviewItem>
    <reviewItem>
      <errorID>9f567766-cb20-4efb-9e7f-9cf05bb8f12c</errorID>
      <errorWord>有</errorWord>
      <group>L1_Word</group>
      <groupName>字词问题</groupName>
      <ability>L2_Typo</ability>
      <abilityName>字词错误</abilityName>
      <candidateList>
        <item>由</item>
      </candidateList>
      <explain>存在发音相同字词的误用。</explain>
      <paraID>2597CBB7</paraID>
      <start>7</start>
      <end>8</end>
      <status>modified</status>
      <modifiedWord>由</modifiedWord>
      <trackRevisions>false</trackRevisions>
    </reviewItem>
    <reviewItem>
      <errorID>214e460c-41ba-4437-bd3f-e9df4346f0b9</errorID>
      <errorWord>-</errorWord>
      <group>L1_Format</group>
      <groupName>格式问题</groupName>
      <ability>L2_HalfPunc</ability>
      <abilityName>全半角检查</abilityName>
      <candidateList>
        <item>－</item>
      </candidateList>
      <explain>文本全半角错误。</explain>
      <paraID>7F7EC5A9</paraID>
      <start>4</start>
      <end>5</end>
      <status>unmodified</status>
      <modifiedWord/>
      <trackRevisions>false</trackRevisions>
    </reviewItem>
    <reviewItem>
      <errorID>43f1f3b6-7c29-4e15-b4a9-95d9ab0b1512</errorID>
      <errorWord>-</errorWord>
      <group>L1_Format</group>
      <groupName>格式问题</groupName>
      <ability>L2_HalfPunc</ability>
      <abilityName>全半角检查</abilityName>
      <candidateList>
        <item>－</item>
      </candidateList>
      <explain>文本全半角错误。</explain>
      <paraID>345E6F39</paraID>
      <start>1</start>
      <end>2</end>
      <status>unmodified</status>
      <modifiedWord/>
      <trackRevisions>false</trackRevisions>
    </reviewItem>
    <reviewItem>
      <errorID>18675597-d978-4ec8-a582-a3dd5758a620</errorID>
      <errorWord>场</errorWord>
      <group>L1_Word</group>
      <groupName>字词问题</groupName>
      <ability>L2_Typo</ability>
      <abilityName>字词错误</abilityName>
      <candidateList>
        <item>厂</item>
      </candidateList>
      <explain>存在发音相同字词的误用。</explain>
      <paraID>5172B0F3</paraID>
      <start>3</start>
      <end>4</end>
      <status>unmodified</status>
      <modifiedWord/>
      <trackRevisions>false</trackRevisions>
    </reviewItem>
    <reviewItem>
      <errorID>860584b8-b46a-4cc9-87bd-d5d8db3b817f</errorID>
      <errorWord>（</errorWord>
      <group>L1_Punc</group>
      <groupName>标点问题</groupName>
      <ability>L2_Punc</ability>
      <abilityName>标点符号检查</abilityName>
      <candidateList/>
      <explain>同一形式括号套用。</explain>
      <paraID>6820ED65</paraID>
      <start>81</start>
      <end>82</end>
      <status>unmodified</status>
      <modifiedWord/>
      <trackRevisions>false</trackRevisions>
    </reviewItem>
    <reviewItem>
      <errorID>11090526-6453-4129-a1a7-e30a7ba5e08b</errorID>
      <errorWord>）</errorWord>
      <group>L1_Punc</group>
      <groupName>标点问题</groupName>
      <ability>L2_Punc</ability>
      <abilityName>标点符号检查</abilityName>
      <candidateList/>
      <explain>同一形式括号套用。</explain>
      <paraID>6820ED65</paraID>
      <start>83</start>
      <end>84</end>
      <status>unmodified</status>
      <modifiedWord/>
      <trackRevisions>false</trackRevisions>
    </reviewItem>
    <reviewItem>
      <errorID>638cc2a9-451d-4fc2-87b6-1d5157dabf6a</errorID>
      <errorWord>（</errorWord>
      <group>L1_Punc</group>
      <groupName>标点问题</groupName>
      <ability>L2_Punc</ability>
      <abilityName>标点符号检查</abilityName>
      <candidateList/>
      <explain>同一形式括号套用。</explain>
      <paraID>6820ED65</paraID>
      <start>91</start>
      <end>92</end>
      <status>unmodified</status>
      <modifiedWord/>
      <trackRevisions>false</trackRevisions>
    </reviewItem>
    <reviewItem>
      <errorID>455d34c9-7171-4aca-97f9-8406643ed27c</errorID>
      <errorWord>）</errorWord>
      <group>L1_Punc</group>
      <groupName>标点问题</groupName>
      <ability>L2_Punc</ability>
      <abilityName>标点符号检查</abilityName>
      <candidateList/>
      <explain>同一形式括号套用。</explain>
      <paraID>6820ED65</paraID>
      <start>93</start>
      <end>94</end>
      <status>unmodified</status>
      <modifiedWord/>
      <trackRevisions>false</trackRevisions>
    </reviewItem>
    <reviewItem>
      <errorID>3b76c82e-7138-4d3b-bbd8-367ea72571e3</errorID>
      <errorWord>一下</errorWord>
      <group>L1_Word</group>
      <groupName>字词问题</groupName>
      <ability>L2_Typo</ability>
      <abilityName>字词错误</abilityName>
      <candidateList>
        <item>以下</item>
      </candidateList>
      <explain/>
      <paraID> 18E11B0</paraID>
      <start>13</start>
      <end>15</end>
      <status>modified</status>
      <modifiedWord>以下</modifiedWord>
      <trackRevisions>false</trackRevisions>
    </reviewItem>
    <reviewItem>
      <errorID>28ee6712-0a1b-4f81-b8cc-91a433f28c3d</errorID>
      <errorWord>(</errorWord>
      <group>L1_Format</group>
      <groupName>格式问题</groupName>
      <ability>L2_HalfPunc</ability>
      <abilityName>全半角检查</abilityName>
      <candidateList>
        <item>（</item>
      </candidateList>
      <explain>文本全半角错误。</explain>
      <paraID> 18E11B0</paraID>
      <start>30</start>
      <end>31</end>
      <status>unmodified</status>
      <modifiedWord/>
      <trackRevisions>false</trackRevisions>
    </reviewItem>
    <reviewItem>
      <errorID>fdf885d6-edae-4fab-8e19-504dade60e64</errorID>
      <errorWord>)</errorWord>
      <group>L1_Format</group>
      <groupName>格式问题</groupName>
      <ability>L2_HalfPunc</ability>
      <abilityName>全半角检查</abilityName>
      <candidateList>
        <item>）</item>
      </candidateList>
      <explain>文本全半角错误。</explain>
      <paraID> 18E11B0</paraID>
      <start>32</start>
      <end>33</end>
      <status>unmodified</status>
      <modifiedWord/>
      <trackRevisions>false</trackRevisions>
    </reviewItem>
    <reviewItem>
      <errorID>958cea21-d9e9-44c9-ad0c-7dd9123bc04f</errorID>
      <errorWord>恶</errorWord>
      <group>L1_Word</group>
      <groupName>字词问题</groupName>
      <ability>L2_Typo</ability>
      <abilityName>字词错误</abilityName>
      <candidateList>
        <item>噁</item>
      </candidateList>
      <explain/>
      <paraID>1496C587</paraID>
      <start>30</start>
      <end>31</end>
      <status>modified</status>
      <modifiedWord>噁</modifiedWord>
      <trackRevisions>false</trackRevisions>
    </reviewItem>
    <reviewItem>
      <errorID>0d57ea19-5b06-41d5-9684-017121c6810e</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7366BB1E</paraID>
      <start>29</start>
      <end>30</end>
      <status>modified</status>
      <modifiedWord>地</modifiedWord>
      <trackRevisions>false</trackRevisions>
    </reviewItem>
    <reviewItem>
      <errorID>01618e0e-1a3c-4068-8591-da5186a5706d</errorID>
      <errorWord>提高</errorWord>
      <group>L1_Word</group>
      <groupName>字词问题</groupName>
      <ability>L2_Typo</ability>
      <abilityName>字词错误</abilityName>
      <candidateList>
        <item>增强</item>
      </candidateList>
      <explain>“提高～意识”搭配不当，建议修改为“增强～意识”。</explain>
      <paraID>2EDB72BD</paraID>
      <start>11</start>
      <end>13</end>
      <status>unmodified</status>
      <modifiedWord/>
      <trackRevisions>false</trackRevisions>
    </reviewItem>
    <reviewItem>
      <errorID>05c4840e-1fb0-4520-900d-60129d16659c</errorID>
      <errorWord>，</errorWord>
      <group>L1_Format</group>
      <groupName>格式问题</groupName>
      <ability>L2_HalfPunc</ability>
      <abilityName>全半角检查</abilityName>
      <candidateList>
        <item>, </item>
      </candidateList>
      <explain>文本全半角错误。</explain>
      <paraID>19F4E355</paraID>
      <start>15</start>
      <end>16</end>
      <status>unmodified</status>
      <modifiedWord/>
      <trackRevisions>false</trackRevisions>
    </reviewItem>
    <reviewItem>
      <errorID>6a64f9bc-aa78-411b-9e46-90d202192b1e</errorID>
      <errorWord>恶</errorWord>
      <group>L1_Word</group>
      <groupName>字词问题</groupName>
      <ability>L2_Typo</ability>
      <abilityName>字词错误</abilityName>
      <candidateList>
        <item>噁</item>
      </candidateList>
      <explain/>
      <paraID>7097C5C3</paraID>
      <start>30</start>
      <end>31</end>
      <status>modified</status>
      <modifiedWord>噁</modifiedWord>
      <trackRevisions>false</trackRevisions>
    </reviewItem>
    <reviewItem>
      <errorID>40ac6465-36ee-43bd-b402-eeffaff15bd5</errorID>
      <errorWord>电器设备</errorWord>
      <group>L1_Word</group>
      <groupName>字词问题</groupName>
      <ability>L2_Typo</ability>
      <abilityName>字词错误</abilityName>
      <candidateList>
        <item>电气设备</item>
      </candidateList>
      <explain/>
      <paraID>514C640D</paraID>
      <start>17</start>
      <end>21</end>
      <status>modified</status>
      <modifiedWord>电气设备</modifiedWord>
      <trackRevisions>false</trackRevisions>
    </reviewItem>
    <reviewItem>
      <errorID>5e638939-fa8f-4a69-898d-5562a835dec9</errorID>
      <errorWord>提高</errorWord>
      <group>L1_Word</group>
      <groupName>字词问题</groupName>
      <ability>L2_Typo</ability>
      <abilityName>字词错误</abilityName>
      <candidateList>
        <item>增强</item>
      </candidateList>
      <explain>“提高～意识”搭配不当，建议修改为“增强～意识”。</explain>
      <paraID>54B34C09</paraID>
      <start>24</start>
      <end>26</end>
      <status>unmodified</status>
      <modifiedWord/>
      <trackRevisions>false</trackRevisions>
    </reviewItem>
    <reviewItem>
      <errorID>3888021f-fd86-4559-86bb-f159a9813765</errorID>
      <errorWord>地</errorWord>
      <group>L1_Word</group>
      <groupName>字词问题</groupName>
      <ability>L2_Typo</ability>
      <abilityName>字词错误</abilityName>
      <candidateList>
        <item>地及</item>
      </candidateList>
      <explain/>
      <paraID>1F0A2B6E</paraID>
      <start>42</start>
      <end>44</end>
      <status>modified</status>
      <modifiedWord>地及</modifiedWord>
      <trackRevisions>false</trackRevisions>
    </reviewItem>
    <reviewItem>
      <errorID>6020009f-9020-488d-9cb9-da4d241ca9b4</errorID>
      <errorWord>(</errorWord>
      <group>L1_Format</group>
      <groupName>格式问题</groupName>
      <ability>L2_HalfPunc</ability>
      <abilityName>全半角检查</abilityName>
      <candidateList>
        <item>（</item>
      </candidateList>
      <explain>文本全半角错误。</explain>
      <paraID>3B97DD9F</paraID>
      <start>53</start>
      <end>54</end>
      <status>unmodified</status>
      <modifiedWord/>
      <trackRevisions>false</trackRevisions>
    </reviewItem>
    <reviewItem>
      <errorID>071d0f83-524e-4cd7-9b92-aae484a7e89f</errorID>
      <errorWord>)</errorWord>
      <group>L1_Format</group>
      <groupName>格式问题</groupName>
      <ability>L2_HalfPunc</ability>
      <abilityName>全半角检查</abilityName>
      <candidateList>
        <item>）</item>
      </candidateList>
      <explain>文本全半角错误。</explain>
      <paraID>3B97DD9F</paraID>
      <start>64</start>
      <end>65</end>
      <status>unmodified</status>
      <modifiedWord/>
      <trackRevisions>false</trackRevisions>
    </reviewItem>
    <reviewItem>
      <errorID>06e63a5c-5455-41a4-b1bf-5261fcceb2fd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6D062256</paraID>
      <start>89</start>
      <end>92</end>
      <status>unmodified</status>
      <modifiedWord/>
      <trackRevisions>false</trackRevisions>
    </reviewItem>
    <reviewItem>
      <errorID>3bd64d45-4173-4ac5-81be-3d2314465bd5</errorID>
      <errorWord>期</errorWord>
      <group>L1_Word</group>
      <groupName>字词问题</groupName>
      <ability>L2_Typo</ability>
      <abilityName>字词错误</abilityName>
      <candidateList>
        <item>期间</item>
      </candidateList>
      <explain>〈名〉某个时期里面：农忙～｜春节～｜抗战～。</explain>
      <paraID>2D4ACE4E</paraID>
      <start>3</start>
      <end>4</end>
      <status>unmodified</status>
      <modifiedWord/>
      <trackRevisions>false</trackRevisions>
    </reviewItem>
    <reviewItem>
      <errorID>04e3b00d-3c7b-40c0-945a-e0228a1b1f47</errorID>
      <errorWord>抛撒</errorWord>
      <group>L1_Word</group>
      <groupName>字词问题</groupName>
      <ability>L2_Typo</ability>
      <abilityName>字词错误</abilityName>
      <candidateList>
        <item>抛洒</item>
      </candidateList>
      <explain>存在发音相同字词的误用。</explain>
      <paraID>15C8A916</paraID>
      <start>46</start>
      <end>48</end>
      <status>unmodified</status>
      <modifiedWord/>
      <trackRevisions>false</trackRevisions>
    </reviewItem>
    <reviewItem>
      <errorID>93ca8ec4-fbb5-4ec7-9546-dd67a3d1b315</errorID>
      <errorWord>工地</errorWord>
      <group>L1_Word</group>
      <groupName>字词问题</groupName>
      <ability>L2_Typo</ability>
      <abilityName>字词错误</abilityName>
      <candidateList>
        <item>场地</item>
      </candidateList>
      <explain>存在字形相近字词的误用。</explain>
      <paraID>5AD83D42</paraID>
      <start>95</start>
      <end>97</end>
      <status>unmodified</status>
      <modifiedWord/>
      <trackRevisions>false</trackRevisions>
    </reviewItem>
    <reviewItem>
      <errorID>ca1876d7-c398-47c8-b8fa-58c3a0cc70b2</errorID>
      <errorWord>减短</errorWord>
      <group>L1_Word</group>
      <groupName>字词问题</groupName>
      <ability>L2_Typo</ability>
      <abilityName>字词错误</abilityName>
      <candidateList>
        <item>缩短</item>
      </candidateList>
      <explain/>
      <paraID>36AF502F</paraID>
      <start>33</start>
      <end>35</end>
      <status>modified</status>
      <modifiedWord>缩短</modifiedWord>
      <trackRevisions>false</trackRevisions>
    </reviewItem>
    <reviewItem>
      <errorID>4a186b7f-0dc8-41df-9504-87f79848ea47</errorID>
      <errorWord>检测报告</errorWord>
      <group>L1_Word</group>
      <groupName>字词问题</groupName>
      <ability>L2_Typo</ability>
      <abilityName>字词错误</abilityName>
      <candidateList>
        <item>监测报告</item>
      </candidateList>
      <explain/>
      <paraID>67EF566B</paraID>
      <start>138</start>
      <end>142</end>
      <status>unmodified</status>
      <modifiedWord/>
      <trackRevisions>false</trackRevisions>
    </reviewItem>
    <reviewItem>
      <errorID>96b35382-138f-4ef7-b5a4-70d252555cb3</errorID>
      <errorWord>竖立</errorWord>
      <group>L1_Word</group>
      <groupName>字词问题</groupName>
      <ability>L2_Typo</ability>
      <abilityName>字词错误</abilityName>
      <candidateList>
        <item>树立</item>
      </candidateList>
      <explain>〈动〉建立（多用于抽象的好的事情）：～榜样｜～典型｜～助人为乐的风尚。</explain>
      <paraID> 23752EE</paraID>
      <start>27</start>
      <end>29</end>
      <status>modified</status>
      <modifiedWord>树立</modifiedWord>
      <trackRevisions>false</trackRevisions>
    </reviewItem>
    <reviewItem>
      <errorID>6d563e15-2175-4782-9778-c0c4798b8aaf</errorID>
      <errorWord>，</errorWord>
      <group>L1_Word</group>
      <groupName>字词问题</groupName>
      <ability>L2_Typo</ability>
      <abilityName>字词错误</abilityName>
      <candidateList>
        <item>，对</item>
      </candidateList>
      <explain/>
      <paraID>2816D595</paraID>
      <start>69</start>
      <end>70</end>
      <status>unmodified</status>
      <modifiedWord/>
      <trackRevisions>false</trackRevisions>
    </reviewItem>
    <reviewItem>
      <errorID>c7fa0e7f-cb5f-4475-ac35-7919c5a914d9</errorID>
      <errorWord>，</errorWord>
      <group>L1_Word</group>
      <groupName>字词问题</groupName>
      <ability>L2_Typo</ability>
      <abilityName>字词错误</abilityName>
      <candidateList>
        <item>，在</item>
      </candidateList>
      <explain/>
      <paraID>393EDFE6</paraID>
      <start>14</start>
      <end>15</end>
      <status>unmodified</status>
      <modifiedWord/>
      <trackRevisions>false</trackRevisions>
    </reviewItem>
    <reviewItem>
      <errorID>b66c63cc-c5ef-4b85-9fbb-c6be1b4e464f</errorID>
      <errorWord>，</errorWord>
      <group>L1_Word</group>
      <groupName>字词问题</groupName>
      <ability>L2_Typo</ability>
      <abilityName>字词错误</abilityName>
      <candidateList>
        <item>，在</item>
      </candidateList>
      <explain/>
      <paraID>52524E3C</paraID>
      <start>11</start>
      <end>12</end>
      <status>unmodified</status>
      <modifiedWord/>
      <trackRevisions>false</trackRevisions>
    </reviewItem>
    <reviewItem>
      <errorID>d7cfaa46-24af-4ad1-9f3e-783de9dd651e</errorID>
      <errorWord>：</errorWord>
      <group>L1_Format</group>
      <groupName>格式问题</groupName>
      <ability>L2_HalfPunc</ability>
      <abilityName>全半角检查</abilityName>
      <candidateList>
        <item>:</item>
      </candidateList>
      <explain>文本全半角错误。</explain>
      <paraID>3BA90642</paraID>
      <start>142</start>
      <end>143</end>
      <status>unmodified</status>
      <modifiedWord/>
      <trackRevisions>false</trackRevisions>
    </reviewItem>
    <reviewItem>
      <errorID>79b63333-c4db-4eb2-87b4-74b12b5b5fc9</errorID>
      <errorWord>：</errorWord>
      <group>L1_Format</group>
      <groupName>格式问题</groupName>
      <ability>L2_HalfPunc</ability>
      <abilityName>全半角检查</abilityName>
      <candidateList>
        <item>:</item>
      </candidateList>
      <explain>文本全半角错误。</explain>
      <paraID>3BA90642</paraID>
      <start>148</start>
      <end>149</end>
      <status>unmodified</status>
      <modifiedWord/>
      <trackRevisions>false</trackRevisions>
    </reviewItem>
    <reviewItem>
      <errorID>2d60a1f0-cd39-40c0-8c4a-67aa6553569b</errorID>
      <errorWord>：</errorWord>
      <group>L1_Format</group>
      <groupName>格式问题</groupName>
      <ability>L2_HalfPunc</ability>
      <abilityName>全半角检查</abilityName>
      <candidateList>
        <item>:</item>
      </candidateList>
      <explain>文本全半角错误。</explain>
      <paraID>3BA90642</paraID>
      <start>156</start>
      <end>157</end>
      <status>unmodified</status>
      <modifiedWord/>
      <trackRevisions>false</trackRevisions>
    </reviewItem>
    <reviewItem>
      <errorID>2783ef0c-c7f8-4a03-ad1c-8adbe8100d73</errorID>
      <errorWord>-</errorWord>
      <group>L1_Format</group>
      <groupName>格式问题</groupName>
      <ability>L2_HalfPunc</ability>
      <abilityName>全半角检查</abilityName>
      <candidateList>
        <item>－</item>
      </candidateList>
      <explain>文本全半角错误。</explain>
      <paraID>3BA90642</paraID>
      <start>159</start>
      <end>160</end>
      <status>unmodified</status>
      <modifiedWord/>
      <trackRevisions>false</trackRevisions>
    </reviewItem>
    <reviewItem>
      <errorID>d73ca444-d153-449b-be83-e537076419eb</errorID>
      <errorWord>：</errorWord>
      <group>L1_Format</group>
      <groupName>格式问题</groupName>
      <ability>L2_HalfPunc</ability>
      <abilityName>全半角检查</abilityName>
      <candidateList>
        <item>:</item>
      </candidateList>
      <explain>文本全半角错误。</explain>
      <paraID>3BA90642</paraID>
      <start>163</start>
      <end>164</end>
      <status>unmodified</status>
      <modifiedWord/>
      <trackRevisions>false</trackRevisions>
    </reviewItem>
    <reviewItem>
      <errorID>ed7d78ca-dc0b-48f7-9767-857200e79df6</errorID>
      <errorWord>处</errorWord>
      <group>L1_Word</group>
      <groupName>字词问题</groupName>
      <ability>L2_Typo</ability>
      <abilityName>字词错误</abilityName>
      <candidateList>
        <item>处理</item>
      </candidateList>
      <explain/>
      <paraID>2ECD7FAB</paraID>
      <start>7</start>
      <end>9</end>
      <status>modified</status>
      <modifiedWord>处理</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b9c30e-122b-441c-b443-bfb9ce38b37b}">
  <ds:schemaRefs/>
</ds:datastoreItem>
</file>

<file path=docProps/app.xml><?xml version="1.0" encoding="utf-8"?>
<Properties xmlns="http://schemas.openxmlformats.org/officeDocument/2006/extended-properties" xmlns:vt="http://schemas.openxmlformats.org/officeDocument/2006/docPropsVTypes">
  <Template>Normal.dotm</Template>
  <Pages>61</Pages>
  <Words>7612</Words>
  <Characters>7978</Characters>
  <Lines>289</Lines>
  <Paragraphs>81</Paragraphs>
  <TotalTime>1964</TotalTime>
  <ScaleCrop>false</ScaleCrop>
  <LinksUpToDate>false</LinksUpToDate>
  <CharactersWithSpaces>8031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2025-09-26T05:19:00Z</dcterms:created>
  <dc:creator>平生我自知</dc:creator>
  <cp:lastModifiedBy>初心す</cp:lastModifiedBy>
  <cp:lastPrinted>2022-06-23T01:41:00Z</cp:lastPrinted>
  <dcterms:modified xsi:type="dcterms:W3CDTF">2025-11-05T08:48:16Z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ADB4D29F824F47BBB553EC1D1A14859D_13</vt:lpwstr>
  </property>
  <property fmtid="{D5CDD505-2E9C-101B-9397-08002B2CF9AE}" pid="4" name="KSOTemplateDocerSaveRecord">
    <vt:lpwstr>eyJoZGlkIjoiM2EyOWVkMDQ1ZDJiMmU2YTY0Y2RjZjk2MTY4MmNjZTAiLCJ1c2VySWQiOiIzMTQyNjY5OTIifQ==</vt:lpwstr>
  </property>
</Properties>
</file>