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cs="Times New Roman"/>
          <w:snapToGrid w:val="0"/>
          <w:color w:val="auto"/>
          <w:sz w:val="30"/>
          <w:szCs w:val="30"/>
          <w:highlight w:val="none"/>
        </w:rPr>
      </w:pPr>
    </w:p>
    <w:p>
      <w:pPr>
        <w:pStyle w:val="10"/>
        <w:rPr>
          <w:rFonts w:ascii="Times New Roman" w:hAnsi="Times New Roman" w:cs="Times New Roman"/>
          <w:color w:val="auto"/>
          <w:sz w:val="20"/>
          <w:highlight w:val="none"/>
        </w:rPr>
      </w:pPr>
    </w:p>
    <w:p>
      <w:pPr>
        <w:pStyle w:val="10"/>
        <w:rPr>
          <w:rFonts w:ascii="Times New Roman" w:hAnsi="Times New Roman" w:cs="Times New Roman"/>
          <w:color w:val="auto"/>
          <w:sz w:val="20"/>
          <w:highlight w:val="none"/>
        </w:rPr>
      </w:pPr>
    </w:p>
    <w:p>
      <w:pPr>
        <w:pStyle w:val="10"/>
        <w:rPr>
          <w:rFonts w:ascii="Times New Roman" w:hAnsi="Times New Roman" w:cs="Times New Roman"/>
          <w:color w:val="auto"/>
          <w:sz w:val="20"/>
          <w:highlight w:val="none"/>
        </w:rPr>
      </w:pPr>
    </w:p>
    <w:p>
      <w:pPr>
        <w:pStyle w:val="10"/>
        <w:rPr>
          <w:rFonts w:ascii="Times New Roman" w:hAnsi="Times New Roman" w:cs="Times New Roman"/>
          <w:color w:val="auto"/>
          <w:sz w:val="20"/>
          <w:highlight w:val="none"/>
        </w:rPr>
      </w:pPr>
    </w:p>
    <w:p>
      <w:pPr>
        <w:pStyle w:val="10"/>
        <w:rPr>
          <w:rFonts w:ascii="Times New Roman" w:hAnsi="Times New Roman" w:cs="Times New Roman"/>
          <w:color w:val="auto"/>
          <w:sz w:val="20"/>
          <w:highlight w:val="none"/>
        </w:rPr>
      </w:pPr>
    </w:p>
    <w:p>
      <w:pPr>
        <w:pStyle w:val="10"/>
        <w:rPr>
          <w:rFonts w:ascii="Times New Roman" w:hAnsi="Times New Roman" w:cs="Times New Roman"/>
          <w:color w:val="auto"/>
          <w:sz w:val="20"/>
          <w:highlight w:val="none"/>
        </w:rPr>
      </w:pPr>
    </w:p>
    <w:p>
      <w:pPr>
        <w:pStyle w:val="10"/>
        <w:rPr>
          <w:rFonts w:ascii="Times New Roman" w:hAnsi="Times New Roman" w:cs="Times New Roman"/>
          <w:color w:val="auto"/>
          <w:sz w:val="20"/>
          <w:highlight w:val="none"/>
        </w:rPr>
      </w:pPr>
    </w:p>
    <w:p>
      <w:pPr>
        <w:pStyle w:val="10"/>
        <w:rPr>
          <w:rFonts w:ascii="Times New Roman" w:hAnsi="Times New Roman" w:cs="Times New Roman"/>
          <w:color w:val="auto"/>
          <w:sz w:val="20"/>
          <w:highlight w:val="none"/>
        </w:rPr>
      </w:pPr>
    </w:p>
    <w:p>
      <w:pPr>
        <w:spacing w:before="60"/>
        <w:ind w:left="442" w:right="464"/>
        <w:jc w:val="center"/>
        <w:rPr>
          <w:rFonts w:ascii="Times New Roman" w:hAnsi="Times New Roman" w:eastAsia="微软雅黑" w:cs="Times New Roman"/>
          <w:color w:val="auto"/>
          <w:sz w:val="72"/>
          <w:highlight w:val="none"/>
        </w:rPr>
      </w:pPr>
      <w:bookmarkStart w:id="0" w:name="建设项目环境影响报告表"/>
      <w:bookmarkEnd w:id="0"/>
      <w:r>
        <w:rPr>
          <w:rFonts w:ascii="Times New Roman" w:hAnsi="Times New Roman" w:eastAsia="微软雅黑" w:cs="Times New Roman"/>
          <w:color w:val="auto"/>
          <w:sz w:val="72"/>
          <w:highlight w:val="none"/>
        </w:rPr>
        <w:t>建设项目环境影响报告表</w:t>
      </w:r>
    </w:p>
    <w:p>
      <w:pPr>
        <w:spacing w:before="149"/>
        <w:ind w:left="442" w:right="464"/>
        <w:jc w:val="center"/>
        <w:rPr>
          <w:rFonts w:hint="default" w:ascii="Times New Roman" w:hAnsi="Times New Roman" w:eastAsia="楷体" w:cs="Times New Roman"/>
          <w:color w:val="auto"/>
          <w:sz w:val="48"/>
          <w:highlight w:val="none"/>
          <w:lang w:val="en-US" w:eastAsia="zh-CN"/>
        </w:rPr>
      </w:pPr>
      <w:r>
        <w:rPr>
          <w:rFonts w:ascii="Times New Roman" w:hAnsi="Times New Roman" w:eastAsia="楷体" w:cs="Times New Roman"/>
          <w:color w:val="auto"/>
          <w:sz w:val="48"/>
          <w:highlight w:val="none"/>
        </w:rPr>
        <w:t>（污染影响类）</w:t>
      </w:r>
    </w:p>
    <w:p>
      <w:pPr>
        <w:pStyle w:val="10"/>
        <w:rPr>
          <w:rFonts w:ascii="Times New Roman" w:hAnsi="Times New Roman" w:cs="Times New Roman"/>
          <w:color w:val="auto"/>
          <w:sz w:val="48"/>
          <w:highlight w:val="none"/>
        </w:rPr>
      </w:pPr>
    </w:p>
    <w:p>
      <w:pPr>
        <w:pStyle w:val="10"/>
        <w:rPr>
          <w:rFonts w:ascii="Times New Roman" w:hAnsi="Times New Roman" w:cs="Times New Roman"/>
          <w:color w:val="auto"/>
          <w:sz w:val="48"/>
          <w:highlight w:val="none"/>
        </w:rPr>
      </w:pPr>
    </w:p>
    <w:p>
      <w:pPr>
        <w:pStyle w:val="10"/>
        <w:rPr>
          <w:rFonts w:ascii="Times New Roman" w:hAnsi="Times New Roman" w:cs="Times New Roman"/>
          <w:color w:val="auto"/>
          <w:sz w:val="48"/>
          <w:highlight w:val="none"/>
        </w:rPr>
      </w:pPr>
    </w:p>
    <w:p>
      <w:pPr>
        <w:pStyle w:val="10"/>
        <w:rPr>
          <w:rFonts w:ascii="Times New Roman" w:hAnsi="Times New Roman" w:cs="Times New Roman"/>
          <w:color w:val="auto"/>
          <w:sz w:val="48"/>
          <w:highlight w:val="none"/>
        </w:rPr>
      </w:pPr>
    </w:p>
    <w:p>
      <w:pPr>
        <w:pStyle w:val="10"/>
        <w:spacing w:before="8"/>
        <w:rPr>
          <w:rFonts w:hint="eastAsia" w:ascii="仿宋" w:hAnsi="仿宋" w:eastAsia="仿宋" w:cs="仿宋"/>
          <w:color w:val="auto"/>
          <w:sz w:val="66"/>
          <w:highlight w:val="none"/>
        </w:rPr>
      </w:pPr>
    </w:p>
    <w:p>
      <w:pPr>
        <w:adjustRightInd w:val="0"/>
        <w:snapToGrid w:val="0"/>
        <w:spacing w:line="360" w:lineRule="auto"/>
        <w:ind w:left="1320" w:leftChars="600" w:firstLine="0" w:firstLineChars="0"/>
        <w:jc w:val="left"/>
        <w:rPr>
          <w:rFonts w:hint="eastAsia" w:ascii="仿宋" w:hAnsi="仿宋" w:eastAsia="仿宋" w:cs="仿宋"/>
          <w:b w:val="0"/>
          <w:bCs w:val="0"/>
          <w:color w:val="auto"/>
          <w:sz w:val="36"/>
          <w:szCs w:val="36"/>
          <w:highlight w:val="none"/>
          <w:u w:val="single"/>
          <w:lang w:val="en-US" w:eastAsia="zh-CN"/>
        </w:rPr>
      </w:pPr>
      <w:r>
        <w:rPr>
          <w:rFonts w:hint="eastAsia" w:eastAsia="宋体"/>
          <w:lang w:eastAsia="zh-CN"/>
        </w:rPr>
        <w:drawing>
          <wp:anchor distT="0" distB="0" distL="114300" distR="114300" simplePos="0" relativeHeight="251668480" behindDoc="1" locked="0" layoutInCell="1" allowOverlap="1">
            <wp:simplePos x="0" y="0"/>
            <wp:positionH relativeFrom="column">
              <wp:posOffset>3406140</wp:posOffset>
            </wp:positionH>
            <wp:positionV relativeFrom="paragraph">
              <wp:posOffset>351790</wp:posOffset>
            </wp:positionV>
            <wp:extent cx="1624330" cy="1504950"/>
            <wp:effectExtent l="0" t="0" r="13970" b="0"/>
            <wp:wrapNone/>
            <wp:docPr id="78" name="图片 78" descr="修改图片背景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修改图片背景 (2)"/>
                    <pic:cNvPicPr>
                      <a:picLocks noChangeAspect="1"/>
                    </pic:cNvPicPr>
                  </pic:nvPicPr>
                  <pic:blipFill>
                    <a:blip r:embed="rId13"/>
                    <a:srcRect l="6740" t="11780" r="9573" b="7656"/>
                    <a:stretch>
                      <a:fillRect/>
                    </a:stretch>
                  </pic:blipFill>
                  <pic:spPr>
                    <a:xfrm>
                      <a:off x="0" y="0"/>
                      <a:ext cx="1624330" cy="1504950"/>
                    </a:xfrm>
                    <a:prstGeom prst="rect">
                      <a:avLst/>
                    </a:prstGeom>
                  </pic:spPr>
                </pic:pic>
              </a:graphicData>
            </a:graphic>
          </wp:anchor>
        </w:drawing>
      </w:r>
      <w:r>
        <w:rPr>
          <w:rFonts w:hint="eastAsia" w:ascii="仿宋" w:hAnsi="仿宋" w:eastAsia="仿宋" w:cs="仿宋"/>
          <w:b w:val="0"/>
          <w:bCs w:val="0"/>
          <w:color w:val="auto"/>
          <w:sz w:val="36"/>
          <w:szCs w:val="36"/>
          <w:highlight w:val="none"/>
        </w:rPr>
        <w:t>项目名称：</w:t>
      </w:r>
      <w:r>
        <w:rPr>
          <w:rFonts w:hint="eastAsia" w:ascii="仿宋" w:hAnsi="仿宋" w:eastAsia="仿宋" w:cs="仿宋"/>
          <w:b w:val="0"/>
          <w:bCs w:val="0"/>
          <w:color w:val="auto"/>
          <w:sz w:val="36"/>
          <w:szCs w:val="36"/>
          <w:highlight w:val="none"/>
          <w:u w:val="single"/>
        </w:rPr>
        <w:t>内蒙古蒙瑞环保科技有限公司</w:t>
      </w:r>
      <w:r>
        <w:rPr>
          <w:rFonts w:hint="eastAsia" w:ascii="仿宋" w:hAnsi="仿宋" w:eastAsia="仿宋" w:cs="仿宋"/>
          <w:b w:val="0"/>
          <w:bCs w:val="0"/>
          <w:color w:val="auto"/>
          <w:sz w:val="36"/>
          <w:szCs w:val="36"/>
          <w:highlight w:val="none"/>
          <w:u w:val="single"/>
          <w:lang w:val="en-US" w:eastAsia="zh-CN"/>
        </w:rPr>
        <w:t>废塑料回收利用</w:t>
      </w:r>
      <w:r>
        <w:rPr>
          <w:rFonts w:hint="eastAsia" w:ascii="仿宋" w:hAnsi="仿宋" w:eastAsia="仿宋" w:cs="仿宋"/>
          <w:b w:val="0"/>
          <w:bCs w:val="0"/>
          <w:color w:val="auto"/>
          <w:sz w:val="36"/>
          <w:szCs w:val="36"/>
          <w:highlight w:val="none"/>
          <w:u w:val="single"/>
        </w:rPr>
        <w:t>项目</w:t>
      </w:r>
    </w:p>
    <w:p>
      <w:pPr>
        <w:tabs>
          <w:tab w:val="left" w:pos="9020"/>
          <w:tab w:val="left" w:pos="9240"/>
        </w:tabs>
        <w:adjustRightInd w:val="0"/>
        <w:snapToGrid w:val="0"/>
        <w:spacing w:line="360" w:lineRule="auto"/>
        <w:ind w:left="1320" w:leftChars="600" w:right="660" w:rightChars="300" w:firstLine="0" w:firstLineChars="0"/>
        <w:jc w:val="left"/>
        <w:rPr>
          <w:rFonts w:hint="eastAsia" w:ascii="仿宋" w:hAnsi="仿宋" w:eastAsia="仿宋" w:cs="仿宋"/>
          <w:b w:val="0"/>
          <w:bCs w:val="0"/>
          <w:color w:val="auto"/>
          <w:sz w:val="36"/>
          <w:szCs w:val="36"/>
          <w:highlight w:val="none"/>
          <w:u w:val="single"/>
          <w:lang w:val="en-US" w:eastAsia="zh-CN"/>
        </w:rPr>
      </w:pPr>
      <w:r>
        <w:rPr>
          <w:rFonts w:hint="eastAsia" w:ascii="仿宋" w:hAnsi="仿宋" w:eastAsia="仿宋" w:cs="仿宋"/>
          <w:b w:val="0"/>
          <w:bCs w:val="0"/>
          <w:color w:val="auto"/>
          <w:sz w:val="36"/>
          <w:szCs w:val="36"/>
          <w:highlight w:val="none"/>
        </w:rPr>
        <w:t>建设单位（盖章）：</w:t>
      </w:r>
      <w:r>
        <w:rPr>
          <w:rFonts w:hint="eastAsia" w:ascii="仿宋" w:hAnsi="仿宋" w:eastAsia="仿宋" w:cs="仿宋"/>
          <w:b w:val="0"/>
          <w:bCs w:val="0"/>
          <w:color w:val="auto"/>
          <w:sz w:val="36"/>
          <w:szCs w:val="36"/>
          <w:highlight w:val="none"/>
          <w:u w:val="single"/>
        </w:rPr>
        <w:t>内蒙古蒙瑞环保科技有限公司</w:t>
      </w:r>
    </w:p>
    <w:p>
      <w:pPr>
        <w:adjustRightInd w:val="0"/>
        <w:snapToGrid w:val="0"/>
        <w:spacing w:line="360" w:lineRule="auto"/>
        <w:ind w:left="1320" w:leftChars="600" w:firstLine="0" w:firstLineChars="0"/>
        <w:jc w:val="left"/>
        <w:rPr>
          <w:rFonts w:hint="eastAsia" w:ascii="仿宋" w:hAnsi="仿宋" w:eastAsia="仿宋" w:cs="仿宋"/>
          <w:b w:val="0"/>
          <w:bCs w:val="0"/>
          <w:color w:val="auto"/>
          <w:sz w:val="36"/>
          <w:szCs w:val="36"/>
          <w:highlight w:val="none"/>
          <w:u w:val="single"/>
        </w:rPr>
      </w:pPr>
      <w:r>
        <w:rPr>
          <w:rFonts w:hint="eastAsia" w:ascii="仿宋" w:hAnsi="仿宋" w:eastAsia="仿宋" w:cs="仿宋"/>
          <w:b w:val="0"/>
          <w:bCs w:val="0"/>
          <w:color w:val="auto"/>
          <w:sz w:val="36"/>
          <w:szCs w:val="36"/>
          <w:highlight w:val="none"/>
        </w:rPr>
        <w:t>编制日期：</w:t>
      </w:r>
      <w:r>
        <w:rPr>
          <w:rFonts w:hint="eastAsia" w:ascii="仿宋" w:hAnsi="仿宋" w:eastAsia="仿宋" w:cs="仿宋"/>
          <w:b w:val="0"/>
          <w:bCs w:val="0"/>
          <w:color w:val="auto"/>
          <w:sz w:val="36"/>
          <w:szCs w:val="36"/>
          <w:highlight w:val="none"/>
          <w:u w:val="single"/>
        </w:rPr>
        <w:t>202</w:t>
      </w:r>
      <w:r>
        <w:rPr>
          <w:rFonts w:hint="eastAsia" w:ascii="仿宋" w:hAnsi="仿宋" w:eastAsia="仿宋" w:cs="仿宋"/>
          <w:b w:val="0"/>
          <w:bCs w:val="0"/>
          <w:color w:val="auto"/>
          <w:sz w:val="36"/>
          <w:szCs w:val="36"/>
          <w:highlight w:val="none"/>
          <w:u w:val="single"/>
          <w:lang w:val="en-US" w:eastAsia="zh-CN"/>
        </w:rPr>
        <w:t>5</w:t>
      </w:r>
      <w:r>
        <w:rPr>
          <w:rFonts w:hint="eastAsia" w:ascii="仿宋" w:hAnsi="仿宋" w:eastAsia="仿宋" w:cs="仿宋"/>
          <w:b w:val="0"/>
          <w:bCs w:val="0"/>
          <w:color w:val="auto"/>
          <w:sz w:val="36"/>
          <w:szCs w:val="36"/>
          <w:highlight w:val="none"/>
          <w:u w:val="single"/>
        </w:rPr>
        <w:t>年</w:t>
      </w:r>
      <w:r>
        <w:rPr>
          <w:rFonts w:hint="eastAsia" w:ascii="仿宋" w:hAnsi="仿宋" w:eastAsia="仿宋" w:cs="仿宋"/>
          <w:b w:val="0"/>
          <w:bCs w:val="0"/>
          <w:color w:val="auto"/>
          <w:sz w:val="36"/>
          <w:szCs w:val="36"/>
          <w:highlight w:val="none"/>
          <w:u w:val="single"/>
          <w:lang w:val="en-US" w:eastAsia="zh-CN"/>
        </w:rPr>
        <w:t>9</w:t>
      </w:r>
      <w:r>
        <w:rPr>
          <w:rFonts w:hint="eastAsia" w:ascii="仿宋" w:hAnsi="仿宋" w:eastAsia="仿宋" w:cs="仿宋"/>
          <w:b w:val="0"/>
          <w:bCs w:val="0"/>
          <w:color w:val="auto"/>
          <w:sz w:val="36"/>
          <w:szCs w:val="36"/>
          <w:highlight w:val="none"/>
          <w:u w:val="single"/>
        </w:rPr>
        <w:t>月</w:t>
      </w:r>
    </w:p>
    <w:p>
      <w:pPr>
        <w:pStyle w:val="10"/>
        <w:rPr>
          <w:rFonts w:ascii="Times New Roman" w:hAnsi="Times New Roman" w:cs="Times New Roman"/>
          <w:color w:val="auto"/>
          <w:sz w:val="21"/>
          <w:szCs w:val="28"/>
          <w:highlight w:val="none"/>
        </w:rPr>
      </w:pPr>
    </w:p>
    <w:p>
      <w:pPr>
        <w:pStyle w:val="10"/>
        <w:rPr>
          <w:rFonts w:ascii="Times New Roman" w:hAnsi="Times New Roman" w:cs="Times New Roman"/>
          <w:color w:val="auto"/>
          <w:sz w:val="21"/>
          <w:szCs w:val="28"/>
          <w:highlight w:val="none"/>
        </w:rPr>
      </w:pPr>
    </w:p>
    <w:p>
      <w:pPr>
        <w:pStyle w:val="10"/>
        <w:rPr>
          <w:rFonts w:ascii="Times New Roman" w:hAnsi="Times New Roman" w:cs="Times New Roman"/>
          <w:color w:val="auto"/>
          <w:sz w:val="21"/>
          <w:szCs w:val="28"/>
          <w:highlight w:val="none"/>
        </w:rPr>
      </w:pPr>
    </w:p>
    <w:p>
      <w:pPr>
        <w:pStyle w:val="10"/>
        <w:rPr>
          <w:rFonts w:ascii="Times New Roman" w:hAnsi="Times New Roman" w:cs="Times New Roman"/>
          <w:color w:val="auto"/>
          <w:sz w:val="21"/>
          <w:szCs w:val="28"/>
          <w:highlight w:val="none"/>
        </w:rPr>
      </w:pPr>
    </w:p>
    <w:p>
      <w:pPr>
        <w:pStyle w:val="10"/>
        <w:rPr>
          <w:rFonts w:ascii="Times New Roman" w:hAnsi="Times New Roman" w:cs="Times New Roman"/>
          <w:color w:val="auto"/>
          <w:sz w:val="21"/>
          <w:szCs w:val="28"/>
          <w:highlight w:val="none"/>
        </w:rPr>
      </w:pPr>
    </w:p>
    <w:p>
      <w:pPr>
        <w:pStyle w:val="10"/>
        <w:rPr>
          <w:rFonts w:ascii="Times New Roman" w:hAnsi="Times New Roman" w:cs="Times New Roman"/>
          <w:color w:val="auto"/>
          <w:sz w:val="21"/>
          <w:szCs w:val="28"/>
          <w:highlight w:val="none"/>
        </w:rPr>
      </w:pPr>
    </w:p>
    <w:p>
      <w:pPr>
        <w:pStyle w:val="10"/>
        <w:rPr>
          <w:rFonts w:ascii="Times New Roman" w:hAnsi="Times New Roman" w:cs="Times New Roman"/>
          <w:color w:val="auto"/>
          <w:sz w:val="21"/>
          <w:szCs w:val="28"/>
          <w:highlight w:val="none"/>
        </w:rPr>
      </w:pPr>
    </w:p>
    <w:p>
      <w:pPr>
        <w:pStyle w:val="10"/>
        <w:spacing w:before="1"/>
        <w:rPr>
          <w:rFonts w:ascii="Times New Roman" w:hAnsi="Times New Roman" w:cs="Times New Roman"/>
          <w:color w:val="auto"/>
          <w:sz w:val="16"/>
          <w:szCs w:val="28"/>
          <w:highlight w:val="none"/>
        </w:rPr>
      </w:pPr>
    </w:p>
    <w:p>
      <w:pPr>
        <w:pStyle w:val="5"/>
        <w:ind w:left="0" w:leftChars="0" w:firstLine="0" w:firstLineChars="0"/>
        <w:jc w:val="center"/>
        <w:rPr>
          <w:rFonts w:ascii="Times New Roman" w:hAnsi="Times New Roman" w:eastAsia="楷体" w:cs="Times New Roman"/>
          <w:color w:val="auto"/>
          <w:sz w:val="36"/>
          <w:szCs w:val="22"/>
          <w:highlight w:val="none"/>
        </w:rPr>
      </w:pPr>
      <w:r>
        <w:rPr>
          <w:rFonts w:ascii="Times New Roman" w:hAnsi="Times New Roman" w:eastAsia="楷体" w:cs="Times New Roman"/>
          <w:color w:val="auto"/>
          <w:sz w:val="40"/>
          <w:szCs w:val="24"/>
          <w:highlight w:val="none"/>
        </w:rPr>
        <w:t>中华人民共和国生态环境部制</w:t>
      </w:r>
    </w:p>
    <w:p>
      <w:pPr>
        <w:pStyle w:val="19"/>
        <w:spacing w:before="0" w:beforeAutospacing="0" w:after="0" w:afterAutospacing="0"/>
        <w:jc w:val="center"/>
        <w:outlineLvl w:val="0"/>
        <w:rPr>
          <w:rFonts w:ascii="Times New Roman" w:hAnsi="Times New Roman" w:eastAsia="黑体" w:cs="Times New Roman"/>
          <w:snapToGrid w:val="0"/>
          <w:color w:val="auto"/>
          <w:sz w:val="32"/>
          <w:szCs w:val="32"/>
          <w:highlight w:val="none"/>
        </w:rPr>
        <w:sectPr>
          <w:footerReference r:id="rId3" w:type="default"/>
          <w:pgSz w:w="11905" w:h="16838"/>
          <w:pgMar w:top="1440" w:right="1104" w:bottom="918" w:left="901" w:header="0" w:footer="737" w:gutter="0"/>
          <w:pgBorders>
            <w:top w:val="none" w:sz="0" w:space="0"/>
            <w:left w:val="none" w:sz="0" w:space="0"/>
            <w:bottom w:val="none" w:sz="0" w:space="0"/>
            <w:right w:val="none" w:sz="0" w:space="0"/>
          </w:pgBorders>
          <w:pgNumType w:start="1"/>
          <w:cols w:space="0" w:num="1"/>
          <w:rtlGutter w:val="0"/>
          <w:docGrid w:linePitch="312" w:charSpace="0"/>
        </w:sectPr>
      </w:pPr>
    </w:p>
    <w:p>
      <w:pPr>
        <w:pStyle w:val="19"/>
        <w:spacing w:before="0" w:beforeAutospacing="0" w:after="0" w:afterAutospacing="0"/>
        <w:jc w:val="center"/>
        <w:outlineLvl w:val="0"/>
        <w:rPr>
          <w:rFonts w:ascii="Times New Roman" w:hAnsi="Times New Roman" w:eastAsia="黑体" w:cs="Times New Roman"/>
          <w:snapToGrid w:val="0"/>
          <w:color w:val="auto"/>
          <w:sz w:val="30"/>
          <w:szCs w:val="30"/>
          <w:highlight w:val="none"/>
        </w:rPr>
      </w:pPr>
      <w:r>
        <w:rPr>
          <w:rFonts w:ascii="Times New Roman" w:hAnsi="Times New Roman" w:eastAsia="黑体" w:cs="Times New Roman"/>
          <w:snapToGrid w:val="0"/>
          <w:color w:val="auto"/>
          <w:sz w:val="30"/>
          <w:szCs w:val="30"/>
          <w:highlight w:val="none"/>
        </w:rPr>
        <w:t>一、建设项目基本情况</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19"/>
        <w:gridCol w:w="2100"/>
        <w:gridCol w:w="2058"/>
        <w:gridCol w:w="27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建设项目名称</w:t>
            </w:r>
          </w:p>
        </w:tc>
        <w:tc>
          <w:tcPr>
            <w:tcW w:w="6951" w:type="dxa"/>
            <w:gridSpan w:val="3"/>
            <w:vAlign w:val="center"/>
          </w:tcPr>
          <w:p>
            <w:pPr>
              <w:adjustRightInd w:val="0"/>
              <w:snapToGrid w:val="0"/>
              <w:jc w:val="cente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内蒙古蒙瑞环保科技有限公司</w:t>
            </w:r>
            <w:r>
              <w:rPr>
                <w:rFonts w:hint="eastAsia" w:ascii="Times New Roman" w:hAnsi="Times New Roman" w:cs="Times New Roman"/>
                <w:color w:val="auto"/>
                <w:sz w:val="24"/>
                <w:szCs w:val="24"/>
                <w:highlight w:val="none"/>
                <w:lang w:val="en-US" w:eastAsia="zh-CN"/>
              </w:rPr>
              <w:t>废塑料回收利用</w:t>
            </w:r>
            <w:r>
              <w:rPr>
                <w:rFonts w:hint="eastAsia" w:ascii="Times New Roman" w:hAnsi="Times New Roman" w:cs="Times New Roman"/>
                <w:color w:val="auto"/>
                <w:sz w:val="24"/>
                <w:szCs w:val="24"/>
                <w:highlight w:val="none"/>
              </w:rPr>
              <w:t>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项目代码</w:t>
            </w:r>
          </w:p>
        </w:tc>
        <w:tc>
          <w:tcPr>
            <w:tcW w:w="6951" w:type="dxa"/>
            <w:gridSpan w:val="3"/>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2506-150697-04-03-446684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建设单位联系人</w:t>
            </w:r>
          </w:p>
        </w:tc>
        <w:tc>
          <w:tcPr>
            <w:tcW w:w="2100" w:type="dxa"/>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黄文兵</w:t>
            </w:r>
          </w:p>
        </w:tc>
        <w:tc>
          <w:tcPr>
            <w:tcW w:w="2058" w:type="dxa"/>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联系方式</w:t>
            </w:r>
          </w:p>
        </w:tc>
        <w:tc>
          <w:tcPr>
            <w:tcW w:w="2793" w:type="dxa"/>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13572403131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建设地点</w:t>
            </w:r>
          </w:p>
        </w:tc>
        <w:tc>
          <w:tcPr>
            <w:tcW w:w="6951" w:type="dxa"/>
            <w:gridSpan w:val="3"/>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空港物流园区中央生态大道上行线东、纬十四路南、经三南路西、纬十三路北A03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地理坐标</w:t>
            </w:r>
          </w:p>
        </w:tc>
        <w:tc>
          <w:tcPr>
            <w:tcW w:w="6951" w:type="dxa"/>
            <w:gridSpan w:val="3"/>
            <w:vAlign w:val="center"/>
          </w:tcPr>
          <w:p>
            <w:pPr>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东经</w:t>
            </w:r>
            <w:r>
              <w:rPr>
                <w:rFonts w:hint="eastAsia" w:ascii="Times New Roman" w:hAnsi="Times New Roman" w:cs="Times New Roman"/>
                <w:color w:val="auto"/>
                <w:sz w:val="24"/>
                <w:szCs w:val="24"/>
                <w:highlight w:val="none"/>
                <w:lang w:val="en-US" w:eastAsia="zh-CN"/>
              </w:rPr>
              <w:t>109</w:t>
            </w:r>
            <w:r>
              <w:rPr>
                <w:rFonts w:ascii="Times New Roman" w:hAnsi="Times New Roman" w:cs="Times New Roman"/>
                <w:color w:val="auto"/>
                <w:sz w:val="24"/>
                <w:szCs w:val="24"/>
                <w:highlight w:val="none"/>
              </w:rPr>
              <w:t>度</w:t>
            </w:r>
            <w:r>
              <w:rPr>
                <w:rFonts w:hint="eastAsia" w:ascii="Times New Roman" w:hAnsi="Times New Roman" w:cs="Times New Roman"/>
                <w:color w:val="auto"/>
                <w:sz w:val="24"/>
                <w:szCs w:val="24"/>
                <w:highlight w:val="none"/>
                <w:lang w:val="en-US" w:eastAsia="zh-CN"/>
              </w:rPr>
              <w:t>52</w:t>
            </w:r>
            <w:r>
              <w:rPr>
                <w:rFonts w:ascii="Times New Roman" w:hAnsi="Times New Roman" w:cs="Times New Roman"/>
                <w:color w:val="auto"/>
                <w:sz w:val="24"/>
                <w:szCs w:val="24"/>
                <w:highlight w:val="none"/>
                <w:lang w:val="en-US"/>
              </w:rPr>
              <w:t>分</w:t>
            </w:r>
            <w:r>
              <w:rPr>
                <w:rFonts w:hint="eastAsia" w:ascii="Times New Roman" w:hAnsi="Times New Roman" w:cs="Times New Roman"/>
                <w:color w:val="auto"/>
                <w:sz w:val="24"/>
                <w:szCs w:val="24"/>
                <w:highlight w:val="none"/>
                <w:lang w:val="en-US" w:eastAsia="zh-CN"/>
              </w:rPr>
              <w:t>36.325</w:t>
            </w:r>
            <w:r>
              <w:rPr>
                <w:rFonts w:ascii="Times New Roman" w:hAnsi="Times New Roman" w:cs="Times New Roman"/>
                <w:color w:val="auto"/>
                <w:sz w:val="24"/>
                <w:szCs w:val="24"/>
                <w:highlight w:val="none"/>
              </w:rPr>
              <w:t>秒，</w:t>
            </w:r>
            <w:r>
              <w:rPr>
                <w:rFonts w:hint="eastAsia" w:ascii="Times New Roman" w:hAnsi="Times New Roman" w:cs="Times New Roman"/>
                <w:color w:val="auto"/>
                <w:sz w:val="24"/>
                <w:szCs w:val="24"/>
                <w:highlight w:val="none"/>
                <w:lang w:eastAsia="zh-CN"/>
              </w:rPr>
              <w:t>北纬</w:t>
            </w:r>
            <w:r>
              <w:rPr>
                <w:rFonts w:ascii="Times New Roman" w:hAnsi="Times New Roman" w:cs="Times New Roman"/>
                <w:color w:val="auto"/>
                <w:sz w:val="24"/>
                <w:szCs w:val="24"/>
                <w:highlight w:val="none"/>
              </w:rPr>
              <w:t>3</w:t>
            </w:r>
            <w:r>
              <w:rPr>
                <w:rFonts w:hint="eastAsia" w:ascii="Times New Roman" w:hAnsi="Times New Roman" w:cs="Times New Roman"/>
                <w:color w:val="auto"/>
                <w:sz w:val="24"/>
                <w:szCs w:val="24"/>
                <w:highlight w:val="none"/>
                <w:lang w:val="en-US" w:eastAsia="zh-CN"/>
              </w:rPr>
              <w:t>9</w:t>
            </w:r>
            <w:r>
              <w:rPr>
                <w:rFonts w:ascii="Times New Roman" w:hAnsi="Times New Roman" w:cs="Times New Roman"/>
                <w:color w:val="auto"/>
                <w:sz w:val="24"/>
                <w:szCs w:val="24"/>
                <w:highlight w:val="none"/>
              </w:rPr>
              <w:t>度</w:t>
            </w:r>
            <w:r>
              <w:rPr>
                <w:rFonts w:hint="eastAsia" w:ascii="Times New Roman" w:hAnsi="Times New Roman" w:cs="Times New Roman"/>
                <w:color w:val="auto"/>
                <w:sz w:val="24"/>
                <w:szCs w:val="24"/>
                <w:highlight w:val="none"/>
                <w:lang w:val="en-US" w:eastAsia="zh-CN"/>
              </w:rPr>
              <w:t>32</w:t>
            </w:r>
            <w:r>
              <w:rPr>
                <w:rFonts w:ascii="Times New Roman" w:hAnsi="Times New Roman" w:cs="Times New Roman"/>
                <w:color w:val="auto"/>
                <w:sz w:val="24"/>
                <w:szCs w:val="24"/>
                <w:highlight w:val="none"/>
                <w:lang w:val="en-US"/>
              </w:rPr>
              <w:t>分</w:t>
            </w:r>
            <w:r>
              <w:rPr>
                <w:rFonts w:hint="eastAsia" w:ascii="Times New Roman" w:hAnsi="Times New Roman" w:cs="Times New Roman"/>
                <w:color w:val="auto"/>
                <w:sz w:val="24"/>
                <w:szCs w:val="24"/>
                <w:highlight w:val="none"/>
                <w:lang w:val="en-US" w:eastAsia="zh-CN"/>
              </w:rPr>
              <w:t>10.835</w:t>
            </w:r>
            <w:r>
              <w:rPr>
                <w:rFonts w:ascii="Times New Roman" w:hAnsi="Times New Roman" w:cs="Times New Roman"/>
                <w:color w:val="auto"/>
                <w:sz w:val="24"/>
                <w:szCs w:val="24"/>
                <w:highlight w:val="none"/>
                <w:lang w:val="en-US"/>
              </w:rPr>
              <w:t>秒</w:t>
            </w:r>
            <w:r>
              <w:rPr>
                <w:rFonts w:ascii="Times New Roman" w:hAnsi="Times New Roman" w:cs="Times New Roman"/>
                <w:color w:val="auto"/>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国民经济</w:t>
            </w:r>
          </w:p>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行业类别</w:t>
            </w:r>
          </w:p>
        </w:tc>
        <w:tc>
          <w:tcPr>
            <w:tcW w:w="2100" w:type="dxa"/>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C4220非金属废料和碎屑加工处理</w:t>
            </w:r>
          </w:p>
        </w:tc>
        <w:tc>
          <w:tcPr>
            <w:tcW w:w="2058" w:type="dxa"/>
            <w:vAlign w:val="center"/>
          </w:tcPr>
          <w:p>
            <w:pPr>
              <w:adjustRightInd w:val="0"/>
              <w:snapToGrid w:val="0"/>
              <w:jc w:val="center"/>
              <w:rPr>
                <w:rFonts w:ascii="Times New Roman" w:hAnsi="Times New Roman" w:cs="Times New Roman"/>
                <w:color w:val="auto"/>
                <w:sz w:val="24"/>
                <w:szCs w:val="24"/>
                <w:highlight w:val="none"/>
              </w:rPr>
            </w:pPr>
            <w:bookmarkStart w:id="1" w:name="_Hlk49843745"/>
            <w:r>
              <w:rPr>
                <w:rFonts w:ascii="Times New Roman" w:hAnsi="Times New Roman" w:cs="Times New Roman"/>
                <w:color w:val="auto"/>
                <w:sz w:val="24"/>
                <w:szCs w:val="24"/>
                <w:highlight w:val="none"/>
              </w:rPr>
              <w:t>建设项目</w:t>
            </w:r>
          </w:p>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行业类别</w:t>
            </w:r>
            <w:bookmarkEnd w:id="1"/>
          </w:p>
        </w:tc>
        <w:tc>
          <w:tcPr>
            <w:tcW w:w="2793" w:type="dxa"/>
            <w:vAlign w:val="center"/>
          </w:tcPr>
          <w:p>
            <w:pPr>
              <w:adjustRightInd w:val="0"/>
              <w:snapToGrid w:val="0"/>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 xml:space="preserve">三十九、废弃资源综合利用业85、金属废料和碎屑加工 </w:t>
            </w:r>
          </w:p>
          <w:p>
            <w:pPr>
              <w:adjustRightInd w:val="0"/>
              <w:snapToGrid w:val="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处理421；非金属废料和碎屑加工处理422（421和422均不含原料为危险废物的，均不含仅分拣、破碎的）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建设</w:t>
            </w:r>
          </w:p>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性质</w:t>
            </w:r>
          </w:p>
        </w:tc>
        <w:tc>
          <w:tcPr>
            <w:tcW w:w="2100" w:type="dxa"/>
            <w:vAlign w:val="center"/>
          </w:tcPr>
          <w:p>
            <w:pP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新建（迁建）</w:t>
            </w:r>
          </w:p>
          <w:p>
            <w:pP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改建</w:t>
            </w:r>
          </w:p>
          <w:p>
            <w:pP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扩建</w:t>
            </w:r>
          </w:p>
          <w:p>
            <w:pP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技术改造</w:t>
            </w:r>
          </w:p>
        </w:tc>
        <w:tc>
          <w:tcPr>
            <w:tcW w:w="2058" w:type="dxa"/>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建设项目</w:t>
            </w:r>
          </w:p>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申报情形</w:t>
            </w:r>
          </w:p>
        </w:tc>
        <w:tc>
          <w:tcPr>
            <w:tcW w:w="2793" w:type="dxa"/>
            <w:vAlign w:val="center"/>
          </w:tcPr>
          <w:p>
            <w:pP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 xml:space="preserve">首次申报项目             </w:t>
            </w:r>
          </w:p>
          <w:p>
            <w:pP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不予批准后再次申报项目</w:t>
            </w:r>
          </w:p>
          <w:p>
            <w:pP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 xml:space="preserve">超五年重新审核项目     </w:t>
            </w:r>
          </w:p>
          <w:p>
            <w:pP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项目审批（核准/</w:t>
            </w:r>
          </w:p>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备案）部门（选填）</w:t>
            </w:r>
          </w:p>
        </w:tc>
        <w:tc>
          <w:tcPr>
            <w:tcW w:w="2100" w:type="dxa"/>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鄂尔多斯空港物流园区经济发展局</w:t>
            </w:r>
          </w:p>
        </w:tc>
        <w:tc>
          <w:tcPr>
            <w:tcW w:w="2058" w:type="dxa"/>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项目审批（核准/</w:t>
            </w:r>
          </w:p>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备案）文号（选填）</w:t>
            </w:r>
          </w:p>
        </w:tc>
        <w:tc>
          <w:tcPr>
            <w:tcW w:w="2793" w:type="dxa"/>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olor w:val="auto"/>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总投资（万元）</w:t>
            </w:r>
          </w:p>
        </w:tc>
        <w:tc>
          <w:tcPr>
            <w:tcW w:w="2100" w:type="dxa"/>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300</w:t>
            </w:r>
          </w:p>
        </w:tc>
        <w:tc>
          <w:tcPr>
            <w:tcW w:w="2058"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环保投资（万元）</w:t>
            </w:r>
          </w:p>
        </w:tc>
        <w:tc>
          <w:tcPr>
            <w:tcW w:w="2793" w:type="dxa"/>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66.75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环保投资占比（%）</w:t>
            </w:r>
          </w:p>
        </w:tc>
        <w:tc>
          <w:tcPr>
            <w:tcW w:w="2100" w:type="dxa"/>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22.25</w:t>
            </w:r>
            <w:r>
              <w:rPr>
                <w:rFonts w:hint="default" w:ascii="Times New Roman" w:hAnsi="Times New Roman" w:eastAsia="宋体" w:cs="Times New Roman"/>
                <w:color w:val="auto"/>
                <w:sz w:val="24"/>
                <w:szCs w:val="24"/>
                <w:highlight w:val="none"/>
                <w:lang w:val="en-US" w:eastAsia="zh-CN"/>
              </w:rPr>
              <w:t>%</w:t>
            </w:r>
          </w:p>
        </w:tc>
        <w:tc>
          <w:tcPr>
            <w:tcW w:w="2058"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施工工期（月）</w:t>
            </w:r>
          </w:p>
        </w:tc>
        <w:tc>
          <w:tcPr>
            <w:tcW w:w="2793" w:type="dxa"/>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19"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是否开工建设</w:t>
            </w:r>
          </w:p>
        </w:tc>
        <w:tc>
          <w:tcPr>
            <w:tcW w:w="2100" w:type="dxa"/>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highlight w:val="none"/>
              </w:rPr>
              <w:t>☑</w:t>
            </w:r>
            <w:r>
              <w:rPr>
                <w:rFonts w:ascii="Times New Roman" w:hAnsi="Times New Roman" w:cs="Times New Roman"/>
                <w:color w:val="auto"/>
                <w:sz w:val="24"/>
                <w:szCs w:val="24"/>
                <w:highlight w:val="none"/>
              </w:rPr>
              <w:t>否</w:t>
            </w:r>
          </w:p>
          <w:p>
            <w:pPr>
              <w:adjustRightInd w:val="0"/>
              <w:snapToGrid w:val="0"/>
              <w:jc w:val="cente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是</w:t>
            </w:r>
          </w:p>
        </w:tc>
        <w:tc>
          <w:tcPr>
            <w:tcW w:w="2058" w:type="dxa"/>
            <w:tcMar>
              <w:top w:w="16" w:type="dxa"/>
              <w:left w:w="16" w:type="dxa"/>
              <w:right w:w="16" w:type="dxa"/>
            </w:tcMar>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用地面积（m</w:t>
            </w:r>
            <w:r>
              <w:rPr>
                <w:rFonts w:ascii="Times New Roman" w:hAnsi="Times New Roman" w:cs="Times New Roman"/>
                <w:color w:val="auto"/>
                <w:spacing w:val="-6"/>
                <w:sz w:val="24"/>
                <w:szCs w:val="24"/>
                <w:highlight w:val="none"/>
                <w:vertAlign w:val="superscript"/>
              </w:rPr>
              <w:t>2</w:t>
            </w:r>
            <w:r>
              <w:rPr>
                <w:rFonts w:ascii="Times New Roman" w:hAnsi="Times New Roman" w:cs="Times New Roman"/>
                <w:color w:val="auto"/>
                <w:spacing w:val="-6"/>
                <w:sz w:val="24"/>
                <w:szCs w:val="24"/>
                <w:highlight w:val="none"/>
              </w:rPr>
              <w:t>）</w:t>
            </w:r>
          </w:p>
        </w:tc>
        <w:tc>
          <w:tcPr>
            <w:tcW w:w="2793" w:type="dxa"/>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5000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919" w:type="dxa"/>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专项评价设置情况</w:t>
            </w:r>
          </w:p>
        </w:tc>
        <w:tc>
          <w:tcPr>
            <w:tcW w:w="6951"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表1-1  专项评价设置对照一览表</w:t>
            </w:r>
          </w:p>
          <w:tbl>
            <w:tblPr>
              <w:tblStyle w:val="23"/>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936"/>
              <w:gridCol w:w="286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13"/>
                      <w:sz w:val="21"/>
                      <w:szCs w:val="21"/>
                      <w:highlight w:val="none"/>
                      <w:lang w:val="en-US" w:eastAsia="zh-CN"/>
                    </w:rPr>
                  </w:pPr>
                  <w:r>
                    <w:rPr>
                      <w:rFonts w:hint="default" w:ascii="Times New Roman" w:hAnsi="Times New Roman" w:eastAsia="宋体" w:cs="Times New Roman"/>
                      <w:b/>
                      <w:bCs/>
                      <w:color w:val="auto"/>
                      <w:spacing w:val="13"/>
                      <w:sz w:val="21"/>
                      <w:szCs w:val="21"/>
                      <w:highlight w:val="none"/>
                    </w:rPr>
                    <w:t>专项评价的类别</w:t>
                  </w:r>
                </w:p>
              </w:tc>
              <w:tc>
                <w:tcPr>
                  <w:tcW w:w="2179"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pacing w:val="13"/>
                      <w:sz w:val="21"/>
                      <w:szCs w:val="21"/>
                      <w:highlight w:val="none"/>
                    </w:rPr>
                    <w:t>专</w:t>
                  </w:r>
                  <w:r>
                    <w:rPr>
                      <w:rFonts w:hint="default" w:ascii="Times New Roman" w:hAnsi="Times New Roman" w:eastAsia="宋体" w:cs="Times New Roman"/>
                      <w:b/>
                      <w:bCs/>
                      <w:color w:val="auto"/>
                      <w:spacing w:val="8"/>
                      <w:sz w:val="21"/>
                      <w:szCs w:val="21"/>
                      <w:highlight w:val="none"/>
                    </w:rPr>
                    <w:t>项评价的类别设计项目类别</w:t>
                  </w:r>
                </w:p>
              </w:tc>
              <w:tc>
                <w:tcPr>
                  <w:tcW w:w="2127"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本项目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pacing w:val="4"/>
                      <w:sz w:val="21"/>
                      <w:szCs w:val="21"/>
                      <w:highlight w:val="none"/>
                    </w:rPr>
                    <w:t>大</w:t>
                  </w:r>
                  <w:r>
                    <w:rPr>
                      <w:rFonts w:hint="default" w:ascii="Times New Roman" w:hAnsi="Times New Roman" w:eastAsia="宋体" w:cs="Times New Roman"/>
                      <w:color w:val="auto"/>
                      <w:spacing w:val="3"/>
                      <w:sz w:val="21"/>
                      <w:szCs w:val="21"/>
                      <w:highlight w:val="none"/>
                    </w:rPr>
                    <w:t>气</w:t>
                  </w:r>
                </w:p>
              </w:tc>
              <w:tc>
                <w:tcPr>
                  <w:tcW w:w="2179"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排放废气含有毒有害污染、</w:t>
                  </w:r>
                  <w:r>
                    <w:rPr>
                      <w:rFonts w:hint="eastAsia" w:eastAsia="宋体" w:cs="Times New Roman"/>
                      <w:color w:val="auto"/>
                      <w:sz w:val="21"/>
                      <w:szCs w:val="21"/>
                      <w:highlight w:val="none"/>
                      <w:vertAlign w:val="baseline"/>
                      <w:lang w:val="en-US" w:eastAsia="zh-CN"/>
                    </w:rPr>
                    <w:t>二噁英</w:t>
                  </w:r>
                  <w:r>
                    <w:rPr>
                      <w:rFonts w:hint="default" w:ascii="Times New Roman" w:hAnsi="Times New Roman" w:eastAsia="宋体" w:cs="Times New Roman"/>
                      <w:color w:val="auto"/>
                      <w:sz w:val="21"/>
                      <w:szCs w:val="21"/>
                      <w:highlight w:val="none"/>
                      <w:vertAlign w:val="baseline"/>
                      <w:lang w:val="en-US" w:eastAsia="zh-CN"/>
                    </w:rPr>
                    <w:t>、苯并芘[a]、氰化物、氯气且厂界外500m范围内有环境空气保护目标的建设项目</w:t>
                  </w:r>
                </w:p>
              </w:tc>
              <w:tc>
                <w:tcPr>
                  <w:tcW w:w="2127"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本项目废气中不涉及《有毒有害大气污染物名录》的污染物，不排放二噁英、苯并[a]芘、氰化物、氯气，因此无需设置大气专项评价；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pacing w:val="7"/>
                      <w:sz w:val="21"/>
                      <w:szCs w:val="21"/>
                      <w:highlight w:val="none"/>
                    </w:rPr>
                    <w:t>地表</w:t>
                  </w:r>
                  <w:r>
                    <w:rPr>
                      <w:rFonts w:hint="default" w:ascii="Times New Roman" w:hAnsi="Times New Roman" w:eastAsia="宋体" w:cs="Times New Roman"/>
                      <w:color w:val="auto"/>
                      <w:spacing w:val="6"/>
                      <w:sz w:val="21"/>
                      <w:szCs w:val="21"/>
                      <w:highlight w:val="none"/>
                    </w:rPr>
                    <w:t>水</w:t>
                  </w:r>
                </w:p>
              </w:tc>
              <w:tc>
                <w:tcPr>
                  <w:tcW w:w="217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新增工业废水直排建设项目</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槽罐车外送污水处理厂的除外</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；新增废水直排的污水集中处理厂</w:t>
                  </w:r>
                </w:p>
              </w:tc>
              <w:tc>
                <w:tcPr>
                  <w:tcW w:w="2127"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lang w:val="en-US" w:eastAsia="zh-CN"/>
                    </w:rPr>
                    <w:t>本项目无新增废水外排</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pacing w:val="12"/>
                      <w:sz w:val="21"/>
                      <w:szCs w:val="21"/>
                      <w:highlight w:val="none"/>
                      <w:lang w:val="en-US" w:eastAsia="zh-CN"/>
                    </w:rPr>
                    <w:t>因此，无需设置</w:t>
                  </w:r>
                  <w:r>
                    <w:rPr>
                      <w:rFonts w:hint="default" w:ascii="Times New Roman" w:hAnsi="Times New Roman" w:eastAsia="宋体" w:cs="Times New Roman"/>
                      <w:color w:val="auto"/>
                      <w:spacing w:val="12"/>
                      <w:sz w:val="21"/>
                      <w:szCs w:val="21"/>
                      <w:highlight w:val="none"/>
                    </w:rPr>
                    <w:t>地表水专</w:t>
                  </w:r>
                  <w:r>
                    <w:rPr>
                      <w:rFonts w:hint="default" w:ascii="Times New Roman" w:hAnsi="Times New Roman" w:eastAsia="宋体" w:cs="Times New Roman"/>
                      <w:color w:val="auto"/>
                      <w:spacing w:val="7"/>
                      <w:sz w:val="21"/>
                      <w:szCs w:val="21"/>
                      <w:highlight w:val="none"/>
                    </w:rPr>
                    <w:t>项评</w:t>
                  </w:r>
                  <w:r>
                    <w:rPr>
                      <w:rFonts w:hint="default" w:ascii="Times New Roman" w:hAnsi="Times New Roman" w:eastAsia="宋体" w:cs="Times New Roman"/>
                      <w:color w:val="auto"/>
                      <w:spacing w:val="6"/>
                      <w:sz w:val="21"/>
                      <w:szCs w:val="21"/>
                      <w:highlight w:val="none"/>
                    </w:rPr>
                    <w:t>价</w:t>
                  </w:r>
                  <w:r>
                    <w:rPr>
                      <w:rFonts w:hint="eastAsia" w:ascii="Times New Roman" w:hAnsi="Times New Roman" w:eastAsia="宋体" w:cs="Times New Roman"/>
                      <w:color w:val="auto"/>
                      <w:spacing w:val="6"/>
                      <w:sz w:val="21"/>
                      <w:szCs w:val="21"/>
                      <w:highlight w:val="none"/>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92"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pacing w:val="9"/>
                      <w:sz w:val="21"/>
                      <w:szCs w:val="21"/>
                      <w:highlight w:val="none"/>
                    </w:rPr>
                    <w:t>环</w:t>
                  </w:r>
                  <w:r>
                    <w:rPr>
                      <w:rFonts w:hint="default" w:ascii="Times New Roman" w:hAnsi="Times New Roman" w:eastAsia="宋体" w:cs="Times New Roman"/>
                      <w:color w:val="auto"/>
                      <w:spacing w:val="7"/>
                      <w:sz w:val="21"/>
                      <w:szCs w:val="21"/>
                      <w:highlight w:val="none"/>
                    </w:rPr>
                    <w:t>境风险</w:t>
                  </w:r>
                </w:p>
              </w:tc>
              <w:tc>
                <w:tcPr>
                  <w:tcW w:w="217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有毒有害和易燃易爆危险物质存储量超过临界量的建设项目</w:t>
                  </w:r>
                </w:p>
              </w:tc>
              <w:tc>
                <w:tcPr>
                  <w:tcW w:w="2127" w:type="pct"/>
                  <w:tcBorders>
                    <w:tl2br w:val="nil"/>
                    <w:tr2bl w:val="nil"/>
                  </w:tcBorders>
                  <w:noWrap w:val="0"/>
                  <w:vAlign w:val="center"/>
                </w:tcPr>
                <w:p>
                  <w:pPr>
                    <w:jc w:val="both"/>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根据《建设项目环境风险评价技术导则》（HJ 169</w:t>
                  </w:r>
                  <w:r>
                    <w:rPr>
                      <w:rFonts w:hint="eastAsia" w:ascii="Times New Roman" w:hAnsi="Times New Roman" w:eastAsia="宋体" w:cs="Times New Roman"/>
                      <w:color w:val="auto"/>
                      <w:sz w:val="21"/>
                      <w:szCs w:val="21"/>
                      <w:highlight w:val="none"/>
                      <w:vertAlign w:val="baseline"/>
                      <w:lang w:val="en-US" w:eastAsia="zh-CN"/>
                    </w:rPr>
                    <w:t>-2018</w:t>
                  </w:r>
                  <w:r>
                    <w:rPr>
                      <w:rFonts w:hint="default" w:ascii="Times New Roman" w:hAnsi="Times New Roman" w:eastAsia="宋体" w:cs="Times New Roman"/>
                      <w:color w:val="auto"/>
                      <w:sz w:val="21"/>
                      <w:szCs w:val="21"/>
                      <w:highlight w:val="none"/>
                      <w:vertAlign w:val="baseline"/>
                      <w:lang w:val="en-US" w:eastAsia="zh-CN"/>
                    </w:rPr>
                    <w:t>）附录B、附录C，本项目</w:t>
                  </w:r>
                  <w:r>
                    <w:rPr>
                      <w:rFonts w:hint="eastAsia" w:ascii="Times New Roman" w:hAnsi="Times New Roman" w:eastAsia="宋体" w:cs="Times New Roman"/>
                      <w:color w:val="auto"/>
                      <w:sz w:val="21"/>
                      <w:szCs w:val="21"/>
                      <w:highlight w:val="none"/>
                      <w:vertAlign w:val="baseline"/>
                      <w:lang w:val="en-US" w:eastAsia="zh-CN"/>
                    </w:rPr>
                    <w:t>不涉及环境风险物质，因此，</w:t>
                  </w:r>
                  <w:r>
                    <w:rPr>
                      <w:rFonts w:hint="eastAsia" w:ascii="Times New Roman" w:hAnsi="Times New Roman" w:cs="Times New Roman"/>
                      <w:color w:val="auto"/>
                      <w:sz w:val="21"/>
                      <w:szCs w:val="21"/>
                      <w:highlight w:val="none"/>
                      <w:vertAlign w:val="baseline"/>
                      <w:lang w:val="en-US" w:eastAsia="zh-CN"/>
                    </w:rPr>
                    <w:t>无须设置</w:t>
                  </w:r>
                  <w:r>
                    <w:rPr>
                      <w:rFonts w:hint="default" w:ascii="Times New Roman" w:hAnsi="Times New Roman" w:eastAsia="宋体" w:cs="Times New Roman"/>
                      <w:color w:val="auto"/>
                      <w:sz w:val="21"/>
                      <w:szCs w:val="21"/>
                      <w:highlight w:val="none"/>
                      <w:vertAlign w:val="baseline"/>
                      <w:lang w:val="en-US" w:eastAsia="zh-CN"/>
                    </w:rPr>
                    <w:t>环境风险专项评价；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pacing w:val="4"/>
                      <w:sz w:val="21"/>
                      <w:szCs w:val="21"/>
                      <w:highlight w:val="none"/>
                    </w:rPr>
                    <w:t>生态</w:t>
                  </w:r>
                </w:p>
              </w:tc>
              <w:tc>
                <w:tcPr>
                  <w:tcW w:w="217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取水口下游500m范围内有重要水生生物的自然产卵场、索饵场、越冬场和洄游通道的新增河道取水的污染物建设项目</w:t>
                  </w:r>
                </w:p>
              </w:tc>
              <w:tc>
                <w:tcPr>
                  <w:tcW w:w="2127"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7"/>
                      <w:sz w:val="21"/>
                      <w:szCs w:val="21"/>
                      <w:highlight w:val="none"/>
                      <w:lang w:val="en-US" w:eastAsia="zh-CN"/>
                    </w:rPr>
                  </w:pPr>
                  <w:r>
                    <w:rPr>
                      <w:rFonts w:hint="default" w:ascii="Times New Roman" w:hAnsi="Times New Roman" w:eastAsia="宋体" w:cs="Times New Roman"/>
                      <w:color w:val="auto"/>
                      <w:spacing w:val="7"/>
                      <w:sz w:val="21"/>
                      <w:szCs w:val="21"/>
                      <w:highlight w:val="none"/>
                      <w:lang w:val="en-US" w:eastAsia="zh-CN"/>
                    </w:rPr>
                    <w:t>本项目不涉及取水口，不属于</w:t>
                  </w:r>
                  <w:r>
                    <w:rPr>
                      <w:rFonts w:hint="eastAsia" w:ascii="Times New Roman" w:hAnsi="Times New Roman" w:eastAsia="宋体" w:cs="Times New Roman"/>
                      <w:color w:val="auto"/>
                      <w:spacing w:val="7"/>
                      <w:sz w:val="21"/>
                      <w:szCs w:val="21"/>
                      <w:highlight w:val="none"/>
                      <w:lang w:val="en-US" w:eastAsia="zh-CN"/>
                    </w:rPr>
                    <w:t>“</w:t>
                  </w:r>
                  <w:r>
                    <w:rPr>
                      <w:rFonts w:hint="default" w:ascii="Times New Roman" w:hAnsi="Times New Roman" w:eastAsia="宋体" w:cs="Times New Roman"/>
                      <w:color w:val="auto"/>
                      <w:spacing w:val="7"/>
                      <w:sz w:val="21"/>
                      <w:szCs w:val="21"/>
                      <w:highlight w:val="none"/>
                      <w:lang w:val="en-US" w:eastAsia="zh-CN"/>
                    </w:rPr>
                    <w:t>取水口下游500米范围内有重要水生生物的自然产卵场、索饵场、越冬场和洄游通道的新增河道取水的污染类建设项目</w:t>
                  </w:r>
                  <w:r>
                    <w:rPr>
                      <w:rFonts w:hint="eastAsia" w:ascii="Times New Roman" w:hAnsi="Times New Roman" w:eastAsia="宋体" w:cs="Times New Roman"/>
                      <w:color w:val="auto"/>
                      <w:spacing w:val="7"/>
                      <w:sz w:val="21"/>
                      <w:szCs w:val="21"/>
                      <w:highlight w:val="none"/>
                      <w:lang w:val="en-US" w:eastAsia="zh-CN"/>
                    </w:rPr>
                    <w:t>”</w:t>
                  </w:r>
                  <w:r>
                    <w:rPr>
                      <w:rFonts w:hint="default" w:ascii="Times New Roman" w:hAnsi="Times New Roman" w:eastAsia="宋体" w:cs="Times New Roman"/>
                      <w:color w:val="auto"/>
                      <w:spacing w:val="7"/>
                      <w:sz w:val="21"/>
                      <w:szCs w:val="21"/>
                      <w:highlight w:val="none"/>
                      <w:lang w:val="en-US" w:eastAsia="zh-CN"/>
                    </w:rPr>
                    <w:t>，因此</w:t>
                  </w:r>
                  <w:r>
                    <w:rPr>
                      <w:rFonts w:hint="eastAsia" w:ascii="Times New Roman" w:hAnsi="Times New Roman" w:eastAsia="宋体" w:cs="Times New Roman"/>
                      <w:color w:val="auto"/>
                      <w:spacing w:val="7"/>
                      <w:sz w:val="21"/>
                      <w:szCs w:val="21"/>
                      <w:highlight w:val="none"/>
                      <w:lang w:val="en-US" w:eastAsia="zh-CN"/>
                    </w:rPr>
                    <w:t>，</w:t>
                  </w:r>
                  <w:r>
                    <w:rPr>
                      <w:rFonts w:hint="eastAsia" w:ascii="Times New Roman" w:hAnsi="Times New Roman" w:cs="Times New Roman"/>
                      <w:color w:val="auto"/>
                      <w:spacing w:val="7"/>
                      <w:sz w:val="21"/>
                      <w:szCs w:val="21"/>
                      <w:highlight w:val="none"/>
                      <w:lang w:val="en-US" w:eastAsia="zh-CN"/>
                    </w:rPr>
                    <w:t>无须设置</w:t>
                  </w:r>
                  <w:r>
                    <w:rPr>
                      <w:rFonts w:hint="default" w:ascii="Times New Roman" w:hAnsi="Times New Roman" w:eastAsia="宋体" w:cs="Times New Roman"/>
                      <w:color w:val="auto"/>
                      <w:spacing w:val="7"/>
                      <w:sz w:val="21"/>
                      <w:szCs w:val="21"/>
                      <w:highlight w:val="none"/>
                      <w:lang w:val="en-US" w:eastAsia="zh-CN"/>
                    </w:rPr>
                    <w:t>生态专项评价；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4"/>
                      <w:sz w:val="21"/>
                      <w:szCs w:val="21"/>
                      <w:highlight w:val="none"/>
                    </w:rPr>
                  </w:pPr>
                  <w:r>
                    <w:rPr>
                      <w:rFonts w:hint="default" w:ascii="Times New Roman" w:hAnsi="Times New Roman" w:eastAsia="宋体" w:cs="Times New Roman"/>
                      <w:color w:val="auto"/>
                      <w:spacing w:val="6"/>
                      <w:sz w:val="21"/>
                      <w:szCs w:val="21"/>
                      <w:highlight w:val="none"/>
                    </w:rPr>
                    <w:t>海</w:t>
                  </w:r>
                  <w:r>
                    <w:rPr>
                      <w:rFonts w:hint="default" w:ascii="Times New Roman" w:hAnsi="Times New Roman" w:eastAsia="宋体" w:cs="Times New Roman"/>
                      <w:color w:val="auto"/>
                      <w:spacing w:val="5"/>
                      <w:sz w:val="21"/>
                      <w:szCs w:val="21"/>
                      <w:highlight w:val="none"/>
                    </w:rPr>
                    <w:t>洋</w:t>
                  </w:r>
                </w:p>
              </w:tc>
              <w:tc>
                <w:tcPr>
                  <w:tcW w:w="2179"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直接向海排放污染物的海洋工程建设项目</w:t>
                  </w:r>
                </w:p>
              </w:tc>
              <w:tc>
                <w:tcPr>
                  <w:tcW w:w="2127" w:type="pct"/>
                  <w:tcBorders>
                    <w:tl2br w:val="nil"/>
                    <w:tr2bl w:val="nil"/>
                  </w:tcBorders>
                  <w:noWrap w:val="0"/>
                  <w:vAlign w:val="center"/>
                </w:tcPr>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7"/>
                      <w:kern w:val="0"/>
                      <w:sz w:val="21"/>
                      <w:szCs w:val="21"/>
                      <w:highlight w:val="none"/>
                      <w:lang w:val="en-US" w:eastAsia="zh-CN" w:bidi="ar-SA"/>
                    </w:rPr>
                  </w:pPr>
                  <w:r>
                    <w:rPr>
                      <w:rFonts w:hint="default" w:ascii="Times New Roman" w:hAnsi="Times New Roman" w:eastAsia="宋体" w:cs="Times New Roman"/>
                      <w:color w:val="auto"/>
                      <w:spacing w:val="7"/>
                      <w:kern w:val="0"/>
                      <w:sz w:val="21"/>
                      <w:szCs w:val="21"/>
                      <w:highlight w:val="none"/>
                      <w:lang w:val="en-US" w:eastAsia="zh-CN" w:bidi="ar-SA"/>
                    </w:rPr>
                    <w:t>本项目</w:t>
                  </w:r>
                  <w:r>
                    <w:rPr>
                      <w:rFonts w:hint="eastAsia" w:ascii="Times New Roman" w:hAnsi="Times New Roman" w:eastAsia="宋体" w:cs="Times New Roman"/>
                      <w:color w:val="auto"/>
                      <w:spacing w:val="7"/>
                      <w:kern w:val="0"/>
                      <w:sz w:val="21"/>
                      <w:szCs w:val="21"/>
                      <w:highlight w:val="none"/>
                      <w:lang w:val="en-US" w:eastAsia="zh-CN" w:bidi="ar-SA"/>
                    </w:rPr>
                    <w:t>无污染物向海洋排放，因此，无需设置海洋专项评价。</w:t>
                  </w:r>
                </w:p>
              </w:tc>
            </w:tr>
          </w:tbl>
          <w:p>
            <w:pPr>
              <w:adjustRightInd w:val="0"/>
              <w:snapToGrid w:val="0"/>
              <w:spacing w:line="360" w:lineRule="auto"/>
              <w:jc w:val="both"/>
              <w:rPr>
                <w:rFonts w:ascii="Times New Roman" w:hAnsi="Times New Roman" w:cs="Times New Roman"/>
                <w:color w:val="auto"/>
                <w:sz w:val="24"/>
                <w:szCs w:val="24"/>
                <w:highlight w:val="none"/>
              </w:rPr>
            </w:pPr>
            <w:r>
              <w:rPr>
                <w:rFonts w:hint="eastAsia" w:ascii="Times New Roman" w:hAnsi="Times New Roman" w:eastAsia="宋体" w:cs="Times New Roman"/>
                <w:color w:val="auto"/>
                <w:kern w:val="2"/>
                <w:sz w:val="24"/>
                <w:szCs w:val="24"/>
                <w:highlight w:val="none"/>
                <w:lang w:val="en-US" w:eastAsia="zh-CN" w:bidi="ar-SA"/>
              </w:rPr>
              <w:t>综上，本项目</w:t>
            </w:r>
            <w:r>
              <w:rPr>
                <w:rFonts w:hint="eastAsia" w:ascii="Times New Roman" w:hAnsi="Times New Roman" w:cs="Times New Roman"/>
                <w:color w:val="auto"/>
                <w:kern w:val="2"/>
                <w:sz w:val="24"/>
                <w:szCs w:val="24"/>
                <w:highlight w:val="none"/>
                <w:lang w:val="en-US" w:eastAsia="zh-CN" w:bidi="ar-SA"/>
              </w:rPr>
              <w:t>无须设置</w:t>
            </w:r>
            <w:r>
              <w:rPr>
                <w:rFonts w:hint="eastAsia" w:ascii="Times New Roman" w:hAnsi="Times New Roman" w:eastAsia="宋体" w:cs="Times New Roman"/>
                <w:color w:val="auto"/>
                <w:kern w:val="2"/>
                <w:sz w:val="24"/>
                <w:szCs w:val="24"/>
                <w:highlight w:val="none"/>
                <w:lang w:val="en-US" w:eastAsia="zh-CN" w:bidi="ar-SA"/>
              </w:rPr>
              <w:t>专项评价。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919" w:type="dxa"/>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规划</w:t>
            </w:r>
          </w:p>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情况</w:t>
            </w:r>
          </w:p>
        </w:tc>
        <w:tc>
          <w:tcPr>
            <w:tcW w:w="6951" w:type="dxa"/>
            <w:gridSpan w:val="3"/>
            <w:vAlign w:val="center"/>
          </w:tcPr>
          <w:p>
            <w:pPr>
              <w:pStyle w:val="44"/>
              <w:spacing w:line="360" w:lineRule="auto"/>
              <w:ind w:firstLine="0" w:firstLineChars="0"/>
              <w:jc w:val="both"/>
              <w:rPr>
                <w:rFonts w:hint="eastAsia" w:eastAsia="宋体"/>
                <w:color w:val="auto"/>
                <w:highlight w:val="none"/>
                <w:lang w:val="en-US" w:eastAsia="zh-CN"/>
              </w:rPr>
            </w:pPr>
            <w:r>
              <w:rPr>
                <w:rFonts w:hint="eastAsia" w:eastAsia="宋体"/>
                <w:color w:val="auto"/>
                <w:highlight w:val="none"/>
                <w:lang w:val="en-US" w:eastAsia="zh-CN"/>
              </w:rPr>
              <w:t>规划名称为</w:t>
            </w:r>
            <w:r>
              <w:rPr>
                <w:rFonts w:hint="eastAsia"/>
                <w:color w:val="auto"/>
                <w:highlight w:val="none"/>
                <w:lang w:val="en-US" w:eastAsia="zh-CN"/>
              </w:rPr>
              <w:t>：</w:t>
            </w:r>
            <w:r>
              <w:rPr>
                <w:rFonts w:hint="eastAsia" w:eastAsia="宋体"/>
                <w:color w:val="auto"/>
                <w:highlight w:val="none"/>
                <w:lang w:val="en-US" w:eastAsia="zh-CN"/>
              </w:rPr>
              <w:t>《鄂尔多斯空港物流园区总体规划(2017-2030)》</w:t>
            </w:r>
            <w:r>
              <w:rPr>
                <w:rFonts w:hint="eastAsia"/>
                <w:color w:val="auto"/>
                <w:highlight w:val="none"/>
                <w:lang w:val="en-US" w:eastAsia="zh-CN"/>
              </w:rPr>
              <w:t>；</w:t>
            </w:r>
          </w:p>
          <w:p>
            <w:pPr>
              <w:pStyle w:val="44"/>
              <w:spacing w:line="360" w:lineRule="auto"/>
              <w:ind w:firstLine="0" w:firstLineChars="0"/>
              <w:jc w:val="both"/>
              <w:rPr>
                <w:rFonts w:hint="eastAsia"/>
                <w:color w:val="auto"/>
                <w:highlight w:val="none"/>
                <w:lang w:val="en-US" w:eastAsia="zh-CN"/>
              </w:rPr>
            </w:pPr>
            <w:r>
              <w:rPr>
                <w:rFonts w:hint="eastAsia" w:eastAsia="宋体"/>
                <w:color w:val="auto"/>
                <w:highlight w:val="none"/>
                <w:lang w:val="en-US" w:eastAsia="zh-CN"/>
              </w:rPr>
              <w:t>审批机关</w:t>
            </w:r>
            <w:r>
              <w:rPr>
                <w:rFonts w:hint="eastAsia"/>
                <w:color w:val="auto"/>
                <w:highlight w:val="none"/>
                <w:lang w:val="en-US" w:eastAsia="zh-CN"/>
              </w:rPr>
              <w:t>：</w:t>
            </w:r>
            <w:r>
              <w:rPr>
                <w:rFonts w:hint="eastAsia" w:eastAsia="宋体"/>
                <w:color w:val="auto"/>
                <w:highlight w:val="none"/>
                <w:lang w:val="en-US" w:eastAsia="zh-CN"/>
              </w:rPr>
              <w:t>内蒙古自治区住房和城乡建设厅</w:t>
            </w:r>
          </w:p>
          <w:p>
            <w:pPr>
              <w:pStyle w:val="44"/>
              <w:spacing w:line="360" w:lineRule="auto"/>
              <w:ind w:firstLine="0" w:firstLineChars="0"/>
              <w:jc w:val="both"/>
              <w:rPr>
                <w:rFonts w:hint="eastAsia"/>
                <w:color w:val="auto"/>
                <w:highlight w:val="none"/>
                <w:lang w:val="en-US" w:eastAsia="zh-CN"/>
              </w:rPr>
            </w:pPr>
            <w:r>
              <w:rPr>
                <w:rFonts w:hint="eastAsia" w:eastAsia="宋体"/>
                <w:color w:val="auto"/>
                <w:highlight w:val="none"/>
                <w:lang w:val="en-US" w:eastAsia="zh-CN"/>
              </w:rPr>
              <w:t>审查文件名称及文号为</w:t>
            </w:r>
            <w:r>
              <w:rPr>
                <w:rFonts w:hint="eastAsia"/>
                <w:color w:val="auto"/>
                <w:highlight w:val="none"/>
                <w:lang w:val="en-US" w:eastAsia="zh-CN"/>
              </w:rPr>
              <w:t>：</w:t>
            </w:r>
            <w:r>
              <w:rPr>
                <w:rFonts w:hint="eastAsia" w:eastAsia="宋体"/>
                <w:color w:val="auto"/>
                <w:highlight w:val="none"/>
                <w:lang w:val="en-US" w:eastAsia="zh-CN"/>
              </w:rPr>
              <w:t>《关于鄂尔多斯空港物流园区总体规划(2017-2030年)的批复》(内建规</w:t>
            </w:r>
            <w:r>
              <w:rPr>
                <w:rFonts w:hint="eastAsia"/>
                <w:color w:val="auto"/>
                <w:highlight w:val="none"/>
                <w:lang w:val="en-US" w:eastAsia="zh-CN"/>
              </w:rPr>
              <w:t>〔2017〕603号</w:t>
            </w:r>
            <w:r>
              <w:rPr>
                <w:rFonts w:hint="eastAsia" w:eastAsia="宋体"/>
                <w:color w:val="auto"/>
                <w:highlight w:val="none"/>
                <w:lang w:val="en-US" w:eastAsia="zh-CN"/>
              </w:rPr>
              <w:t>)</w:t>
            </w:r>
            <w:r>
              <w:rPr>
                <w:rFonts w:hint="eastAsia"/>
                <w:color w:val="auto"/>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919" w:type="dxa"/>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规划环境影响评价情况</w:t>
            </w:r>
          </w:p>
        </w:tc>
        <w:tc>
          <w:tcPr>
            <w:tcW w:w="6951" w:type="dxa"/>
            <w:gridSpan w:val="3"/>
            <w:vAlign w:val="center"/>
          </w:tcPr>
          <w:p>
            <w:pPr>
              <w:pStyle w:val="44"/>
              <w:spacing w:line="360" w:lineRule="auto"/>
              <w:ind w:left="0" w:leftChars="0" w:firstLine="0" w:firstLineChars="0"/>
              <w:jc w:val="both"/>
              <w:rPr>
                <w:rFonts w:hint="eastAsia" w:eastAsia="宋体"/>
                <w:color w:val="auto"/>
                <w:highlight w:val="none"/>
                <w:lang w:eastAsia="zh-CN"/>
              </w:rPr>
            </w:pPr>
            <w:r>
              <w:rPr>
                <w:rFonts w:hint="eastAsia"/>
                <w:color w:val="auto"/>
                <w:highlight w:val="none"/>
                <w:lang w:val="en-US" w:eastAsia="zh-CN"/>
              </w:rPr>
              <w:t>2017年7月，鄂尔多斯空港物流园区管理委员会委托北京博诚立新环境科技股份有限公司编制完成了《鄂尔多斯空港物流园区总体规划(2017-2030)环境影</w:t>
            </w:r>
            <w:bookmarkStart w:id="7" w:name="_GoBack"/>
            <w:bookmarkEnd w:id="7"/>
            <w:r>
              <w:rPr>
                <w:rFonts w:hint="eastAsia"/>
                <w:color w:val="auto"/>
                <w:highlight w:val="none"/>
                <w:lang w:val="en-US" w:eastAsia="zh-CN"/>
              </w:rPr>
              <w:t>响报告书》，并于2017年12月取得《内蒙古自治区环境保护厅关于鄂尔多斯空港物流园区总体规划(2017-2030)环境影响报告书的审查意见》(内环字〔2017〕120号)。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19" w:type="dxa"/>
            <w:vAlign w:val="center"/>
          </w:tcPr>
          <w:p>
            <w:pPr>
              <w:adjustRightInd w:val="0"/>
              <w:snapToGrid w:val="0"/>
              <w:jc w:val="center"/>
              <w:rPr>
                <w:color w:val="auto"/>
                <w:highlight w:val="none"/>
              </w:rPr>
            </w:pPr>
            <w:r>
              <w:rPr>
                <w:rFonts w:ascii="Times New Roman" w:hAnsi="Times New Roman" w:cs="Times New Roman"/>
                <w:color w:val="auto"/>
                <w:sz w:val="24"/>
                <w:szCs w:val="24"/>
                <w:highlight w:val="none"/>
              </w:rPr>
              <w:t>规划及规划环境影响评价符合性分析</w:t>
            </w:r>
          </w:p>
        </w:tc>
        <w:tc>
          <w:tcPr>
            <w:tcW w:w="6951" w:type="dxa"/>
            <w:gridSpan w:val="3"/>
            <w:vAlign w:val="center"/>
          </w:tcPr>
          <w:p>
            <w:pPr>
              <w:adjustRightInd w:val="0"/>
              <w:snapToGrid w:val="0"/>
              <w:spacing w:line="360" w:lineRule="auto"/>
              <w:ind w:firstLine="480" w:firstLineChars="2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保税物流及加工区重点发展：重点发展保税加工业、保税仓储和国际采购及贸易，积极发展保税展示及交易、跨境电商、离岸金融服务、服务外包和检测维修等。</w:t>
            </w:r>
          </w:p>
          <w:p>
            <w:pPr>
              <w:adjustRightInd w:val="0"/>
              <w:snapToGrid w:val="0"/>
              <w:spacing w:line="360" w:lineRule="auto"/>
              <w:ind w:firstLine="480" w:firstLineChars="200"/>
              <w:jc w:val="both"/>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本项目位于保税物流及加工区，建设单位于2025年5月与鄂尔多斯空港物流园区管理委员会签订了入园协议书（详见附件4），鄂尔多斯空港物流园区管理委员会同意项目选址。</w:t>
            </w:r>
          </w:p>
          <w:p>
            <w:pPr>
              <w:adjustRightInd w:val="0"/>
              <w:snapToGrid w:val="0"/>
              <w:spacing w:line="360" w:lineRule="auto"/>
              <w:ind w:firstLine="480" w:firstLineChars="200"/>
              <w:jc w:val="both"/>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鄂尔多斯空港物流园区管理委员会于202</w:t>
            </w:r>
            <w:r>
              <w:rPr>
                <w:rFonts w:hint="eastAsia"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en-US" w:eastAsia="zh-CN"/>
              </w:rPr>
              <w:t>年</w:t>
            </w:r>
            <w:r>
              <w:rPr>
                <w:rFonts w:hint="eastAsia" w:ascii="Times New Roman" w:hAnsi="Times New Roman"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18</w:t>
            </w:r>
            <w:r>
              <w:rPr>
                <w:rFonts w:hint="default" w:ascii="Times New Roman" w:hAnsi="Times New Roman" w:cs="Times New Roman"/>
                <w:color w:val="auto"/>
                <w:sz w:val="24"/>
                <w:szCs w:val="24"/>
                <w:highlight w:val="none"/>
                <w:lang w:val="en-US" w:eastAsia="zh-CN"/>
              </w:rPr>
              <w:t>日出具了关于《鄂尔多斯空港物流园区总体规划(2017-20</w:t>
            </w:r>
            <w:r>
              <w:rPr>
                <w:rFonts w:hint="eastAsia" w:ascii="Times New Roman" w:hAnsi="Times New Roman" w:cs="Times New Roman"/>
                <w:color w:val="auto"/>
                <w:sz w:val="24"/>
                <w:szCs w:val="24"/>
                <w:highlight w:val="none"/>
                <w:lang w:val="en-US" w:eastAsia="zh-CN"/>
              </w:rPr>
              <w:t>30</w:t>
            </w:r>
            <w:r>
              <w:rPr>
                <w:rFonts w:hint="default" w:ascii="Times New Roman" w:hAnsi="Times New Roman" w:cs="Times New Roman"/>
                <w:color w:val="auto"/>
                <w:sz w:val="24"/>
                <w:szCs w:val="24"/>
                <w:highlight w:val="none"/>
                <w:lang w:val="en-US" w:eastAsia="zh-CN"/>
              </w:rPr>
              <w:t>)环境影响报告书》修编承诺的函，该承诺函明确指出</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“我委承诺将该项目</w:t>
            </w:r>
            <w:r>
              <w:rPr>
                <w:rFonts w:hint="eastAsia" w:ascii="Times New Roman" w:hAnsi="Times New Roman" w:cs="Times New Roman"/>
                <w:color w:val="auto"/>
                <w:sz w:val="24"/>
                <w:szCs w:val="24"/>
                <w:highlight w:val="none"/>
                <w:lang w:val="en-US" w:eastAsia="zh-CN"/>
              </w:rPr>
              <w:t>用地性质</w:t>
            </w:r>
            <w:r>
              <w:rPr>
                <w:rFonts w:hint="default" w:ascii="Times New Roman" w:hAnsi="Times New Roman" w:cs="Times New Roman"/>
                <w:color w:val="auto"/>
                <w:sz w:val="24"/>
                <w:szCs w:val="24"/>
                <w:highlight w:val="none"/>
                <w:lang w:val="en-US" w:eastAsia="zh-CN"/>
              </w:rPr>
              <w:t>纳入</w:t>
            </w:r>
            <w:r>
              <w:rPr>
                <w:rFonts w:hint="eastAsia" w:ascii="Times New Roman" w:hAnsi="Times New Roman" w:cs="Times New Roman"/>
                <w:color w:val="auto"/>
                <w:sz w:val="24"/>
                <w:szCs w:val="24"/>
                <w:highlight w:val="none"/>
                <w:lang w:val="en-US" w:eastAsia="zh-CN"/>
              </w:rPr>
              <w:t>园区正在修编的</w:t>
            </w:r>
            <w:r>
              <w:rPr>
                <w:rFonts w:hint="default" w:ascii="Times New Roman" w:hAnsi="Times New Roman" w:cs="Times New Roman"/>
                <w:color w:val="auto"/>
                <w:sz w:val="24"/>
                <w:szCs w:val="24"/>
                <w:highlight w:val="none"/>
                <w:lang w:val="en-US" w:eastAsia="zh-CN"/>
              </w:rPr>
              <w:t>《鄂尔多斯空港物流园区</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鄂尔多斯综合保税区</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国土空间总体规划》及其《环境影响报告书》。</w:t>
            </w:r>
          </w:p>
          <w:p>
            <w:pPr>
              <w:adjustRightInd w:val="0"/>
              <w:snapToGrid w:val="0"/>
              <w:spacing w:line="360" w:lineRule="auto"/>
              <w:ind w:firstLine="480" w:firstLineChars="200"/>
              <w:jc w:val="both"/>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综上，依据入园协议及园区管委会承诺函，本项目选址及产业定位符合园区规划及规划环评</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拟修编</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81" w:hRule="atLeast"/>
          <w:jc w:val="center"/>
        </w:trPr>
        <w:tc>
          <w:tcPr>
            <w:tcW w:w="1919" w:type="dxa"/>
            <w:vAlign w:val="center"/>
          </w:tcPr>
          <w:p>
            <w:pPr>
              <w:adjustRightInd w:val="0"/>
              <w:snapToGrid w:val="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其他符合性分析</w:t>
            </w:r>
          </w:p>
        </w:tc>
        <w:tc>
          <w:tcPr>
            <w:tcW w:w="6951" w:type="dxa"/>
            <w:gridSpan w:val="3"/>
            <w:vAlign w:val="center"/>
          </w:tcPr>
          <w:p>
            <w:pPr>
              <w:adjustRightInd w:val="0"/>
              <w:snapToGrid w:val="0"/>
              <w:spacing w:line="360" w:lineRule="auto"/>
              <w:ind w:firstLine="481" w:firstLineChars="200"/>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1、《产业结构调整指导目录（20</w:t>
            </w:r>
            <w:r>
              <w:rPr>
                <w:rFonts w:hint="eastAsia" w:ascii="Times New Roman" w:hAnsi="Times New Roman" w:cs="Times New Roman"/>
                <w:b/>
                <w:bCs/>
                <w:color w:val="auto"/>
                <w:sz w:val="24"/>
                <w:szCs w:val="24"/>
                <w:highlight w:val="none"/>
                <w:lang w:val="en-US" w:eastAsia="zh-CN"/>
              </w:rPr>
              <w:t>24</w:t>
            </w:r>
            <w:r>
              <w:rPr>
                <w:rFonts w:ascii="Times New Roman" w:hAnsi="Times New Roman" w:cs="Times New Roman"/>
                <w:b/>
                <w:bCs/>
                <w:color w:val="auto"/>
                <w:sz w:val="24"/>
                <w:szCs w:val="24"/>
                <w:highlight w:val="none"/>
              </w:rPr>
              <w:t>年本）》符合性</w:t>
            </w:r>
          </w:p>
          <w:p>
            <w:pPr>
              <w:adjustRightInd w:val="0"/>
              <w:snapToGrid w:val="0"/>
              <w:spacing w:line="360" w:lineRule="auto"/>
              <w:ind w:firstLine="480" w:firstLineChars="200"/>
              <w:jc w:val="both"/>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lang w:val="en-US"/>
              </w:rPr>
              <w:t>本项目</w:t>
            </w:r>
            <w:r>
              <w:rPr>
                <w:rFonts w:hint="eastAsia" w:ascii="Times New Roman" w:hAnsi="Times New Roman" w:cs="Times New Roman"/>
                <w:color w:val="auto"/>
                <w:sz w:val="24"/>
                <w:szCs w:val="24"/>
                <w:highlight w:val="none"/>
                <w:lang w:val="en-US" w:eastAsia="zh-CN"/>
              </w:rPr>
              <w:t>属于《国民经济行业分类》（GB/T4754-2017）中C4220非金属废料和碎屑加工处理</w:t>
            </w:r>
            <w:r>
              <w:rPr>
                <w:rFonts w:ascii="Times New Roman" w:hAnsi="Times New Roman" w:cs="Times New Roman"/>
                <w:color w:val="auto"/>
                <w:sz w:val="24"/>
                <w:szCs w:val="24"/>
                <w:highlight w:val="none"/>
                <w:lang w:val="en-US"/>
              </w:rPr>
              <w:t>，对照《</w:t>
            </w:r>
            <w:r>
              <w:rPr>
                <w:color w:val="auto"/>
                <w:sz w:val="24"/>
                <w:highlight w:val="none"/>
              </w:rPr>
              <w:t>产业结构调整指</w:t>
            </w:r>
            <w:r>
              <w:rPr>
                <w:rFonts w:hint="default" w:ascii="Times New Roman" w:hAnsi="Times New Roman" w:cs="Times New Roman"/>
                <w:color w:val="auto"/>
                <w:sz w:val="24"/>
                <w:highlight w:val="none"/>
              </w:rPr>
              <w:t>导目录（20</w:t>
            </w:r>
            <w:r>
              <w:rPr>
                <w:rFonts w:hint="default" w:ascii="Times New Roman" w:hAnsi="Times New Roman" w:cs="Times New Roman"/>
                <w:color w:val="auto"/>
                <w:sz w:val="24"/>
                <w:highlight w:val="none"/>
                <w:lang w:val="en-US" w:eastAsia="zh-CN"/>
              </w:rPr>
              <w:t>2</w:t>
            </w: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年本）</w:t>
            </w:r>
            <w:r>
              <w:rPr>
                <w:rFonts w:hint="default" w:ascii="Times New Roman" w:hAnsi="Times New Roman" w:cs="Times New Roman"/>
                <w:color w:val="auto"/>
                <w:sz w:val="24"/>
                <w:szCs w:val="24"/>
                <w:highlight w:val="none"/>
                <w:lang w:val="en-US"/>
              </w:rPr>
              <w:t>》</w:t>
            </w:r>
            <w:r>
              <w:rPr>
                <w:rFonts w:hint="eastAsia" w:ascii="Times New Roman" w:hAnsi="Times New Roman" w:cs="Times New Roman"/>
                <w:color w:val="auto"/>
                <w:sz w:val="24"/>
                <w:szCs w:val="24"/>
                <w:highlight w:val="none"/>
                <w:lang w:val="en-US" w:eastAsia="zh-CN"/>
              </w:rPr>
              <w:t>本项目属于鼓励类中“四十二、环境保护与资源节约综合利用</w:t>
            </w:r>
            <w:r>
              <w:rPr>
                <w:rFonts w:hint="eastAsia" w:ascii="Times New Roman" w:hAnsi="Times New Roman" w:cs="Times New Roman"/>
                <w:b/>
                <w:bCs/>
                <w:color w:val="auto"/>
                <w:sz w:val="24"/>
                <w:szCs w:val="24"/>
                <w:highlight w:val="none"/>
                <w:lang w:val="en-US" w:eastAsia="zh-CN"/>
              </w:rPr>
              <w:t>8.废弃物循环利用：</w:t>
            </w:r>
            <w:r>
              <w:rPr>
                <w:rFonts w:hint="eastAsia" w:ascii="Times New Roman" w:hAnsi="Times New Roman" w:cs="Times New Roman"/>
                <w:color w:val="auto"/>
                <w:sz w:val="24"/>
                <w:szCs w:val="24"/>
                <w:highlight w:val="none"/>
                <w:lang w:val="en-US" w:eastAsia="zh-CN"/>
              </w:rPr>
              <w:t>废钢铁、废有色金属、废纸、废橡胶、废玻璃、</w:t>
            </w:r>
            <w:r>
              <w:rPr>
                <w:rFonts w:hint="eastAsia" w:ascii="Times New Roman" w:hAnsi="Times New Roman" w:cs="Times New Roman"/>
                <w:b/>
                <w:bCs/>
                <w:color w:val="auto"/>
                <w:sz w:val="24"/>
                <w:szCs w:val="24"/>
                <w:highlight w:val="none"/>
                <w:lang w:val="en-US" w:eastAsia="zh-CN"/>
              </w:rPr>
              <w:t>废塑料、</w:t>
            </w:r>
            <w:r>
              <w:rPr>
                <w:rFonts w:hint="eastAsia" w:ascii="Times New Roman" w:hAnsi="Times New Roman" w:cs="Times New Roman"/>
                <w:color w:val="auto"/>
                <w:sz w:val="24"/>
                <w:szCs w:val="24"/>
                <w:highlight w:val="none"/>
                <w:lang w:val="en-US" w:eastAsia="zh-CN"/>
              </w:rPr>
              <w:t>废旧木材以及报废汽车、废弃电器电子产品、废旧船舶、废旧电池、废轮胎、废弃木质材料、废旧农具、废旧纺织品及纺织废料和边角料、废旧光伏组件、废旧风机叶片、废弃油脂等</w:t>
            </w:r>
            <w:r>
              <w:rPr>
                <w:rFonts w:hint="eastAsia" w:ascii="Times New Roman" w:hAnsi="Times New Roman" w:cs="Times New Roman"/>
                <w:b/>
                <w:bCs/>
                <w:color w:val="auto"/>
                <w:sz w:val="24"/>
                <w:szCs w:val="24"/>
                <w:highlight w:val="none"/>
                <w:lang w:val="en-US" w:eastAsia="zh-CN"/>
              </w:rPr>
              <w:t>城市典型废弃物循环利用</w:t>
            </w:r>
            <w:r>
              <w:rPr>
                <w:rFonts w:hint="eastAsia" w:ascii="Times New Roman" w:hAnsi="Times New Roman" w:cs="Times New Roman"/>
                <w:color w:val="auto"/>
                <w:sz w:val="24"/>
                <w:szCs w:val="24"/>
                <w:highlight w:val="none"/>
                <w:lang w:val="en-US" w:eastAsia="zh-CN"/>
              </w:rPr>
              <w:t>、技术设备开发及应用，废旧动力电池自动化拆解、自动化快速分选成组、电池剩余寿命及一致性评估、有价组分综合回收、梯次利用、再生利用技术装备开发及应用，低值可回收物回收利用，“城市矿产”基地和资源循环利用基地建设煤矸石、粉煤灰、尾矿(共伴生矿)、冶炼渣、工业副产石膏、赤泥、建筑垃圾等工业废弃物循环利用，农作物秸秆、畜禽粪污、农药包装等农林废弃物循环利用，生物质能技术装备(发电、供热、制油、沼气)”，且项目已在鄂尔多斯空港物流园区经济发展局备案，备案号2506-150697-04-03-446684，</w:t>
            </w:r>
            <w:r>
              <w:rPr>
                <w:rFonts w:ascii="Times New Roman" w:hAnsi="Times New Roman" w:cs="Times New Roman"/>
                <w:color w:val="auto"/>
                <w:sz w:val="24"/>
                <w:szCs w:val="24"/>
                <w:highlight w:val="none"/>
                <w:lang w:val="en-US"/>
              </w:rPr>
              <w:t>项目的建设符合国家产业政策。</w:t>
            </w:r>
          </w:p>
          <w:p>
            <w:pPr>
              <w:adjustRightInd w:val="0"/>
              <w:snapToGrid w:val="0"/>
              <w:spacing w:line="360" w:lineRule="auto"/>
              <w:ind w:firstLine="481" w:firstLineChars="20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2</w:t>
            </w:r>
            <w:r>
              <w:rPr>
                <w:rFonts w:ascii="Times New Roman" w:hAnsi="Times New Roman" w:cs="Times New Roman"/>
                <w:b/>
                <w:bCs/>
                <w:color w:val="auto"/>
                <w:sz w:val="24"/>
                <w:szCs w:val="24"/>
                <w:highlight w:val="none"/>
              </w:rPr>
              <w:t>、三线一单符合性分析</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内蒙古自治区人民政府关于实施“三线一单”生态环境分区管控的意见》（内政发〔2020〕24号）描述：内蒙古自治区构建生态环境分区管控体系，全区共划分环境管控单元1135个，包括优先保护单元、重点管控单元、一般管控单元三类，实施分类管控。</w:t>
            </w:r>
          </w:p>
          <w:p>
            <w:pPr>
              <w:numPr>
                <w:ilvl w:val="0"/>
                <w:numId w:val="0"/>
              </w:numPr>
              <w:autoSpaceDE w:val="0"/>
              <w:autoSpaceDN w:val="0"/>
              <w:adjustRightInd w:val="0"/>
              <w:snapToGrid w:val="0"/>
              <w:spacing w:line="360" w:lineRule="auto"/>
              <w:ind w:left="420" w:leftChars="0"/>
              <w:rPr>
                <w:rFonts w:hint="default"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lang w:val="en-US" w:eastAsia="zh-CN"/>
              </w:rPr>
              <w:t>①</w:t>
            </w:r>
            <w:r>
              <w:rPr>
                <w:rFonts w:hint="default" w:ascii="Times New Roman" w:hAnsi="Times New Roman" w:cs="Times New Roman"/>
                <w:color w:val="auto"/>
                <w:kern w:val="0"/>
                <w:sz w:val="24"/>
                <w:szCs w:val="24"/>
                <w:highlight w:val="none"/>
                <w:lang w:val="en-US" w:eastAsia="zh-CN"/>
              </w:rPr>
              <w:t>生</w:t>
            </w:r>
            <w:r>
              <w:rPr>
                <w:rFonts w:hint="default" w:ascii="Times New Roman" w:hAnsi="Times New Roman" w:cs="Times New Roman"/>
                <w:color w:val="auto"/>
                <w:kern w:val="0"/>
                <w:sz w:val="24"/>
                <w:szCs w:val="24"/>
                <w:highlight w:val="none"/>
              </w:rPr>
              <w:t>态保护红线</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根据</w:t>
            </w:r>
            <w:r>
              <w:rPr>
                <w:rFonts w:hint="default" w:ascii="Times New Roman" w:hAnsi="Times New Roman" w:cs="Times New Roman"/>
                <w:color w:val="auto"/>
                <w:kern w:val="0"/>
                <w:sz w:val="24"/>
                <w:highlight w:val="none"/>
              </w:rPr>
              <w:t>《鄂尔多斯市生态环境分区管控动态更新成果(2023年版)》的通知（2024年8月6日）</w:t>
            </w:r>
            <w:r>
              <w:rPr>
                <w:rFonts w:hint="default" w:ascii="Times New Roman" w:hAnsi="Times New Roman" w:cs="Times New Roman"/>
                <w:color w:val="auto"/>
                <w:kern w:val="0"/>
                <w:sz w:val="24"/>
                <w:szCs w:val="24"/>
                <w:highlight w:val="none"/>
              </w:rPr>
              <w:t>，全市</w:t>
            </w:r>
            <w:r>
              <w:rPr>
                <w:rFonts w:hint="default" w:ascii="Times New Roman" w:hAnsi="Times New Roman" w:cs="Times New Roman"/>
                <w:color w:val="auto"/>
                <w:kern w:val="0"/>
                <w:sz w:val="24"/>
                <w:szCs w:val="24"/>
                <w:highlight w:val="none"/>
                <w:lang w:val="en-US" w:eastAsia="zh-CN"/>
              </w:rPr>
              <w:t>按优先保护、重点管控、一般管控三大类划分171个环境管控单元</w:t>
            </w:r>
            <w:r>
              <w:rPr>
                <w:rFonts w:hint="default" w:ascii="Times New Roman" w:hAnsi="Times New Roman" w:cs="Times New Roman"/>
                <w:color w:val="auto"/>
                <w:kern w:val="0"/>
                <w:sz w:val="24"/>
                <w:szCs w:val="24"/>
                <w:highlight w:val="none"/>
              </w:rPr>
              <w:t>。</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a、优先保护单元。共</w:t>
            </w:r>
            <w:r>
              <w:rPr>
                <w:rFonts w:hint="default" w:ascii="Times New Roman" w:hAnsi="Times New Roman" w:cs="Times New Roman"/>
                <w:color w:val="auto"/>
                <w:kern w:val="0"/>
                <w:sz w:val="24"/>
                <w:szCs w:val="24"/>
                <w:highlight w:val="none"/>
                <w:lang w:val="en-US" w:eastAsia="zh-CN"/>
              </w:rPr>
              <w:t>76</w:t>
            </w:r>
            <w:r>
              <w:rPr>
                <w:rFonts w:hint="default" w:ascii="Times New Roman" w:hAnsi="Times New Roman" w:cs="Times New Roman"/>
                <w:color w:val="auto"/>
                <w:kern w:val="0"/>
                <w:sz w:val="24"/>
                <w:szCs w:val="24"/>
                <w:highlight w:val="none"/>
              </w:rPr>
              <w:t>个，面积占比为6</w:t>
            </w:r>
            <w:r>
              <w:rPr>
                <w:rFonts w:hint="default" w:ascii="Times New Roman" w:hAnsi="Times New Roman" w:cs="Times New Roman"/>
                <w:color w:val="auto"/>
                <w:kern w:val="0"/>
                <w:sz w:val="24"/>
                <w:szCs w:val="24"/>
                <w:highlight w:val="none"/>
                <w:lang w:val="en-US" w:eastAsia="zh-CN"/>
              </w:rPr>
              <w:t>4.35</w:t>
            </w:r>
            <w:r>
              <w:rPr>
                <w:rFonts w:hint="default" w:ascii="Times New Roman" w:hAnsi="Times New Roman" w:cs="Times New Roman"/>
                <w:color w:val="auto"/>
                <w:kern w:val="0"/>
                <w:sz w:val="24"/>
                <w:szCs w:val="24"/>
                <w:highlight w:val="none"/>
              </w:rPr>
              <w:t>%，优先保护单元以生态环境保护优先为原则，依法禁止或限制大规模、高强度的工业开发和城镇建设，确保生态环境功能不降低。</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b、重点管控单元。共8</w:t>
            </w:r>
            <w:r>
              <w:rPr>
                <w:rFonts w:hint="default" w:ascii="Times New Roman" w:hAnsi="Times New Roman" w:cs="Times New Roman"/>
                <w:color w:val="auto"/>
                <w:kern w:val="0"/>
                <w:sz w:val="24"/>
                <w:szCs w:val="24"/>
                <w:highlight w:val="none"/>
                <w:lang w:val="en-US" w:eastAsia="zh-CN"/>
              </w:rPr>
              <w:t>6</w:t>
            </w:r>
            <w:r>
              <w:rPr>
                <w:rFonts w:hint="default" w:ascii="Times New Roman" w:hAnsi="Times New Roman" w:cs="Times New Roman"/>
                <w:color w:val="auto"/>
                <w:kern w:val="0"/>
                <w:sz w:val="24"/>
                <w:szCs w:val="24"/>
                <w:highlight w:val="none"/>
              </w:rPr>
              <w:t>个，面积占比为</w:t>
            </w:r>
            <w:r>
              <w:rPr>
                <w:rFonts w:hint="default" w:ascii="Times New Roman" w:hAnsi="Times New Roman" w:cs="Times New Roman"/>
                <w:color w:val="auto"/>
                <w:kern w:val="0"/>
                <w:sz w:val="24"/>
                <w:szCs w:val="24"/>
                <w:highlight w:val="none"/>
                <w:lang w:val="en-US" w:eastAsia="zh-CN"/>
              </w:rPr>
              <w:t>28.1</w:t>
            </w:r>
            <w:r>
              <w:rPr>
                <w:rFonts w:hint="default" w:ascii="Times New Roman" w:hAnsi="Times New Roman" w:cs="Times New Roman"/>
                <w:color w:val="auto"/>
                <w:kern w:val="0"/>
                <w:sz w:val="24"/>
                <w:szCs w:val="24"/>
                <w:highlight w:val="none"/>
              </w:rPr>
              <w:t>%，重点管控单元应不断提升资源利用效率，有针对性地加强污染物排放控制和环境风险防控，解决生态环境质量不达标、生态环境风险高等问题。</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c、一般管控单元。共</w:t>
            </w:r>
            <w:r>
              <w:rPr>
                <w:rFonts w:hint="default" w:ascii="Times New Roman" w:hAnsi="Times New Roman" w:cs="Times New Roman"/>
                <w:color w:val="auto"/>
                <w:kern w:val="0"/>
                <w:sz w:val="24"/>
                <w:szCs w:val="24"/>
                <w:highlight w:val="none"/>
                <w:lang w:val="en-US" w:eastAsia="zh-CN"/>
              </w:rPr>
              <w:t>9</w:t>
            </w:r>
            <w:r>
              <w:rPr>
                <w:rFonts w:hint="default" w:ascii="Times New Roman" w:hAnsi="Times New Roman" w:cs="Times New Roman"/>
                <w:color w:val="auto"/>
                <w:kern w:val="0"/>
                <w:sz w:val="24"/>
                <w:szCs w:val="24"/>
                <w:highlight w:val="none"/>
              </w:rPr>
              <w:t>个，面积占比为</w:t>
            </w:r>
            <w:r>
              <w:rPr>
                <w:rFonts w:hint="default" w:ascii="Times New Roman" w:hAnsi="Times New Roman" w:cs="Times New Roman"/>
                <w:color w:val="auto"/>
                <w:kern w:val="0"/>
                <w:sz w:val="24"/>
                <w:szCs w:val="24"/>
                <w:highlight w:val="none"/>
                <w:lang w:val="en-US" w:eastAsia="zh-CN"/>
              </w:rPr>
              <w:t>7.56</w:t>
            </w:r>
            <w:r>
              <w:rPr>
                <w:rFonts w:hint="default" w:ascii="Times New Roman" w:hAnsi="Times New Roman" w:cs="Times New Roman"/>
                <w:color w:val="auto"/>
                <w:kern w:val="0"/>
                <w:sz w:val="24"/>
                <w:szCs w:val="24"/>
                <w:highlight w:val="none"/>
              </w:rPr>
              <w:t>%，优先保护单元、重点管控单元之外为一般管控单元。该区域主要落实生态环境保护基本要求。</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本项目建设地点位于</w:t>
            </w:r>
            <w:r>
              <w:rPr>
                <w:rFonts w:hint="eastAsia" w:ascii="Times New Roman" w:hAnsi="Times New Roman" w:cs="Times New Roman"/>
                <w:color w:val="auto"/>
                <w:kern w:val="0"/>
                <w:sz w:val="24"/>
                <w:szCs w:val="24"/>
                <w:highlight w:val="none"/>
                <w:lang w:val="en-US" w:eastAsia="zh-CN"/>
              </w:rPr>
              <w:t>鄂尔多斯空港物流园区</w:t>
            </w:r>
            <w:r>
              <w:rPr>
                <w:rFonts w:hint="default" w:ascii="Times New Roman" w:hAnsi="Times New Roman" w:cs="Times New Roman"/>
                <w:color w:val="auto"/>
                <w:kern w:val="0"/>
                <w:sz w:val="24"/>
                <w:szCs w:val="24"/>
                <w:highlight w:val="none"/>
              </w:rPr>
              <w:t>，</w:t>
            </w:r>
            <w:r>
              <w:rPr>
                <w:rFonts w:hint="default" w:ascii="Times New Roman" w:hAnsi="Times New Roman" w:cs="Times New Roman"/>
                <w:color w:val="auto"/>
                <w:sz w:val="24"/>
                <w:szCs w:val="24"/>
                <w:highlight w:val="none"/>
                <w:lang w:eastAsia="zh-CN"/>
              </w:rPr>
              <w:t>对照鄂尔多斯市生态环境管控分区图</w:t>
            </w:r>
            <w:r>
              <w:rPr>
                <w:rFonts w:hint="default" w:ascii="Times New Roman" w:hAnsi="Times New Roman" w:cs="Times New Roman"/>
                <w:color w:val="auto"/>
                <w:kern w:val="0"/>
                <w:sz w:val="24"/>
                <w:szCs w:val="24"/>
                <w:highlight w:val="none"/>
              </w:rPr>
              <w:t>，本项目属于</w:t>
            </w:r>
            <w:r>
              <w:rPr>
                <w:rFonts w:hint="default"/>
                <w:color w:val="auto"/>
                <w:sz w:val="24"/>
                <w:szCs w:val="24"/>
                <w:highlight w:val="none"/>
                <w:lang w:val="en-US" w:eastAsia="zh-CN"/>
              </w:rPr>
              <w:t>鄂尔多斯空港物流园区</w:t>
            </w:r>
            <w:r>
              <w:rPr>
                <w:rFonts w:hint="eastAsia"/>
                <w:color w:val="auto"/>
                <w:sz w:val="24"/>
                <w:szCs w:val="24"/>
                <w:highlight w:val="none"/>
                <w:lang w:val="en-US" w:eastAsia="zh-CN"/>
              </w:rPr>
              <w:t>-</w:t>
            </w:r>
            <w:r>
              <w:rPr>
                <w:rFonts w:hint="default" w:ascii="Times New Roman" w:hAnsi="Times New Roman" w:cs="Times New Roman"/>
                <w:color w:val="auto"/>
                <w:kern w:val="0"/>
                <w:sz w:val="24"/>
                <w:szCs w:val="24"/>
                <w:highlight w:val="none"/>
              </w:rPr>
              <w:t>重点管控单元（对照图见附件）。项目为</w:t>
            </w:r>
            <w:r>
              <w:rPr>
                <w:rFonts w:hint="default" w:ascii="Times New Roman" w:hAnsi="Times New Roman" w:cs="Times New Roman"/>
                <w:color w:val="auto"/>
                <w:kern w:val="0"/>
                <w:sz w:val="24"/>
                <w:szCs w:val="24"/>
                <w:highlight w:val="none"/>
                <w:lang w:val="en-US" w:eastAsia="zh-CN"/>
              </w:rPr>
              <w:t>废塑料回收利用项目</w:t>
            </w:r>
            <w:r>
              <w:rPr>
                <w:rFonts w:hint="default" w:ascii="Times New Roman" w:hAnsi="Times New Roman" w:cs="Times New Roman"/>
                <w:color w:val="auto"/>
                <w:kern w:val="0"/>
                <w:sz w:val="24"/>
                <w:szCs w:val="24"/>
                <w:highlight w:val="none"/>
              </w:rPr>
              <w:t>，污染物产排量较小、环境风险较低，符合生态保护红线要求。</w:t>
            </w:r>
          </w:p>
          <w:p>
            <w:pPr>
              <w:numPr>
                <w:ilvl w:val="0"/>
                <w:numId w:val="0"/>
              </w:numPr>
              <w:autoSpaceDE w:val="0"/>
              <w:autoSpaceDN w:val="0"/>
              <w:adjustRightInd w:val="0"/>
              <w:snapToGrid w:val="0"/>
              <w:spacing w:line="360" w:lineRule="auto"/>
              <w:ind w:left="420" w:leftChars="0"/>
              <w:rPr>
                <w:rFonts w:hint="default" w:ascii="Times New Roman" w:hAnsi="Times New Roman" w:cs="Times New Roman"/>
                <w:color w:val="auto"/>
                <w:kern w:val="0"/>
                <w:sz w:val="24"/>
                <w:szCs w:val="24"/>
                <w:highlight w:val="none"/>
              </w:rPr>
            </w:pPr>
            <w:r>
              <w:rPr>
                <w:rFonts w:hint="eastAsia" w:ascii="Times New Roman" w:hAnsi="Times New Roman" w:cs="Times New Roman"/>
                <w:color w:val="auto"/>
                <w:sz w:val="24"/>
                <w:szCs w:val="24"/>
                <w:highlight w:val="none"/>
                <w:lang w:val="en-US" w:eastAsia="zh-CN"/>
              </w:rPr>
              <w:t>②</w:t>
            </w:r>
            <w:r>
              <w:rPr>
                <w:rFonts w:hint="default" w:ascii="Times New Roman" w:hAnsi="Times New Roman" w:cs="Times New Roman"/>
                <w:color w:val="auto"/>
                <w:sz w:val="24"/>
                <w:szCs w:val="24"/>
                <w:highlight w:val="none"/>
                <w:lang w:val="en-US" w:eastAsia="zh-CN"/>
              </w:rPr>
              <w:t>环</w:t>
            </w:r>
            <w:r>
              <w:rPr>
                <w:rFonts w:hint="default" w:ascii="Times New Roman" w:hAnsi="Times New Roman" w:cs="Times New Roman"/>
                <w:color w:val="auto"/>
                <w:kern w:val="0"/>
                <w:sz w:val="24"/>
                <w:szCs w:val="24"/>
                <w:highlight w:val="none"/>
              </w:rPr>
              <w:t>境质量底线</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“环境质量底线”是国家和地方设置的大气、水和土壤环境质量目标，也是改善环境质量的基准线。</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本项目所在区域大气环境质量满足《环境空气质量标准》（GB3095-2012）二级的要求；声环境质量满足《声环境质量标准》（GB3096-2008）</w:t>
            </w:r>
            <w:r>
              <w:rPr>
                <w:rFonts w:hint="default" w:ascii="Times New Roman" w:hAnsi="Times New Roman" w:cs="Times New Roman"/>
                <w:color w:val="auto"/>
                <w:kern w:val="0"/>
                <w:sz w:val="24"/>
                <w:szCs w:val="24"/>
                <w:highlight w:val="none"/>
                <w:lang w:val="en-US" w:eastAsia="zh-CN"/>
              </w:rPr>
              <w:t>3</w:t>
            </w:r>
            <w:r>
              <w:rPr>
                <w:rFonts w:hint="default" w:ascii="Times New Roman" w:hAnsi="Times New Roman" w:cs="Times New Roman"/>
                <w:color w:val="auto"/>
                <w:kern w:val="0"/>
                <w:sz w:val="24"/>
                <w:szCs w:val="24"/>
                <w:highlight w:val="none"/>
              </w:rPr>
              <w:t>类标准。本项目为</w:t>
            </w:r>
            <w:r>
              <w:rPr>
                <w:rFonts w:hint="default" w:ascii="Times New Roman" w:hAnsi="Times New Roman" w:cs="Times New Roman"/>
                <w:color w:val="auto"/>
                <w:kern w:val="0"/>
                <w:sz w:val="24"/>
                <w:szCs w:val="24"/>
                <w:highlight w:val="none"/>
                <w:lang w:val="en-US" w:eastAsia="zh-CN"/>
              </w:rPr>
              <w:t>废塑料回收利用项目</w:t>
            </w:r>
            <w:r>
              <w:rPr>
                <w:rFonts w:hint="default" w:ascii="Times New Roman" w:hAnsi="Times New Roman" w:cs="Times New Roman"/>
                <w:color w:val="auto"/>
                <w:kern w:val="0"/>
                <w:sz w:val="24"/>
                <w:szCs w:val="24"/>
                <w:highlight w:val="none"/>
              </w:rPr>
              <w:t>，建设施工期产生少量的废水、扬尘、固体废物等，采取相应防治措施后各类污染物均可满足相应的排放标准，达标排放。项目运营期大气污染物排放主要为</w:t>
            </w:r>
            <w:r>
              <w:rPr>
                <w:rFonts w:hint="default" w:ascii="Times New Roman" w:hAnsi="Times New Roman" w:cs="Times New Roman"/>
                <w:color w:val="auto"/>
                <w:kern w:val="0"/>
                <w:sz w:val="24"/>
                <w:szCs w:val="24"/>
                <w:highlight w:val="none"/>
                <w:lang w:val="en-US" w:eastAsia="zh-CN"/>
              </w:rPr>
              <w:t>原料破碎</w:t>
            </w:r>
            <w:r>
              <w:rPr>
                <w:rFonts w:hint="default" w:ascii="Times New Roman" w:hAnsi="Times New Roman" w:cs="Times New Roman"/>
                <w:color w:val="auto"/>
                <w:kern w:val="0"/>
                <w:sz w:val="24"/>
                <w:szCs w:val="24"/>
                <w:highlight w:val="none"/>
              </w:rPr>
              <w:t>废气无组织排放，排放强度较低；项目</w:t>
            </w:r>
            <w:r>
              <w:rPr>
                <w:rFonts w:hint="default" w:ascii="Times New Roman" w:hAnsi="Times New Roman" w:cs="Times New Roman"/>
                <w:color w:val="auto"/>
                <w:kern w:val="0"/>
                <w:sz w:val="24"/>
                <w:szCs w:val="24"/>
                <w:highlight w:val="none"/>
                <w:lang w:val="en-US" w:eastAsia="zh-CN"/>
              </w:rPr>
              <w:t>清洗废水经沉淀池收集后回用，</w:t>
            </w:r>
            <w:r>
              <w:rPr>
                <w:rFonts w:hint="default" w:ascii="Times New Roman" w:hAnsi="Times New Roman" w:cs="Times New Roman"/>
                <w:color w:val="auto"/>
                <w:kern w:val="0"/>
                <w:sz w:val="24"/>
                <w:szCs w:val="24"/>
                <w:highlight w:val="none"/>
              </w:rPr>
              <w:t>不外排</w:t>
            </w:r>
            <w:r>
              <w:rPr>
                <w:rFonts w:hint="default" w:ascii="Times New Roman" w:hAnsi="Times New Roman"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lang w:val="en-US" w:eastAsia="zh-CN"/>
              </w:rPr>
              <w:t>生活污水接管园区生活污水管网，不外排</w:t>
            </w:r>
            <w:r>
              <w:rPr>
                <w:rFonts w:hint="default" w:ascii="Times New Roman" w:hAnsi="Times New Roman" w:cs="Times New Roman"/>
                <w:color w:val="auto"/>
                <w:kern w:val="0"/>
                <w:sz w:val="24"/>
                <w:szCs w:val="24"/>
                <w:highlight w:val="none"/>
              </w:rPr>
              <w:t>；故本项目的建设不会降低当地的环境质量，不会对周围环境造成不良影响。</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综上所述，本项目建设符合环境质量底线要求。</w:t>
            </w:r>
          </w:p>
          <w:p>
            <w:pPr>
              <w:numPr>
                <w:ilvl w:val="0"/>
                <w:numId w:val="0"/>
              </w:numPr>
              <w:autoSpaceDE w:val="0"/>
              <w:autoSpaceDN w:val="0"/>
              <w:adjustRightInd w:val="0"/>
              <w:snapToGrid w:val="0"/>
              <w:spacing w:line="360" w:lineRule="auto"/>
              <w:ind w:left="420" w:leftChars="0"/>
              <w:rPr>
                <w:rFonts w:hint="default" w:ascii="Times New Roman" w:hAnsi="Times New Roman" w:cs="Times New Roman"/>
                <w:color w:val="auto"/>
                <w:kern w:val="0"/>
                <w:sz w:val="24"/>
                <w:szCs w:val="24"/>
                <w:highlight w:val="none"/>
              </w:rPr>
            </w:pPr>
            <w:r>
              <w:rPr>
                <w:rFonts w:hint="eastAsia" w:ascii="Times New Roman" w:hAnsi="Times New Roman" w:cs="Times New Roman"/>
                <w:color w:val="auto"/>
                <w:sz w:val="24"/>
                <w:szCs w:val="24"/>
                <w:highlight w:val="none"/>
                <w:lang w:val="en-US" w:eastAsia="zh-CN"/>
              </w:rPr>
              <w:t>③</w:t>
            </w:r>
            <w:r>
              <w:rPr>
                <w:rFonts w:hint="default" w:ascii="Times New Roman" w:hAnsi="Times New Roman" w:cs="Times New Roman"/>
                <w:color w:val="auto"/>
                <w:sz w:val="24"/>
                <w:szCs w:val="24"/>
                <w:highlight w:val="none"/>
                <w:lang w:eastAsia="zh-CN"/>
              </w:rPr>
              <w:t>资</w:t>
            </w:r>
            <w:r>
              <w:rPr>
                <w:rFonts w:hint="default" w:ascii="Times New Roman" w:hAnsi="Times New Roman" w:cs="Times New Roman"/>
                <w:color w:val="auto"/>
                <w:kern w:val="0"/>
                <w:sz w:val="24"/>
                <w:szCs w:val="24"/>
                <w:highlight w:val="none"/>
              </w:rPr>
              <w:t>源利用上线</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按照自然资源资产“只能增值、不能</w:t>
            </w:r>
            <w:r>
              <w:rPr>
                <w:rFonts w:hint="eastAsia" w:ascii="Times New Roman" w:hAnsi="Times New Roman" w:cs="Times New Roman"/>
                <w:color w:val="auto"/>
                <w:kern w:val="0"/>
                <w:sz w:val="24"/>
                <w:szCs w:val="24"/>
                <w:highlight w:val="none"/>
                <w:lang w:eastAsia="zh-CN"/>
              </w:rPr>
              <w:t>贬值</w:t>
            </w:r>
            <w:r>
              <w:rPr>
                <w:rFonts w:hint="default" w:ascii="Times New Roman" w:hAnsi="Times New Roman" w:cs="Times New Roman"/>
                <w:color w:val="auto"/>
                <w:kern w:val="0"/>
                <w:sz w:val="24"/>
                <w:szCs w:val="24"/>
                <w:highlight w:val="none"/>
              </w:rPr>
              <w:t>”的原则，以保障生态安全和改善环境质量为目的，参考自然资源资产负债表，结合自然资源开发利用效率，提出分区域分阶段的资源开发利用总量、强度、效率等上线管控要求。</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本项目运营期会消耗一定量的水电资源，不会突破当地资源利用上线。</w:t>
            </w:r>
          </w:p>
          <w:p>
            <w:pPr>
              <w:numPr>
                <w:ilvl w:val="0"/>
                <w:numId w:val="0"/>
              </w:numPr>
              <w:autoSpaceDE w:val="0"/>
              <w:autoSpaceDN w:val="0"/>
              <w:adjustRightInd w:val="0"/>
              <w:snapToGrid w:val="0"/>
              <w:spacing w:line="360" w:lineRule="auto"/>
              <w:ind w:left="420" w:leftChars="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lang w:val="en-US" w:eastAsia="zh-CN"/>
              </w:rPr>
              <w:t>④</w:t>
            </w:r>
            <w:r>
              <w:rPr>
                <w:rFonts w:hint="default" w:ascii="Times New Roman" w:hAnsi="Times New Roman" w:cs="Times New Roman"/>
                <w:color w:val="auto"/>
                <w:sz w:val="24"/>
                <w:szCs w:val="24"/>
                <w:highlight w:val="none"/>
                <w:lang w:eastAsia="zh-CN"/>
              </w:rPr>
              <w:t>生</w:t>
            </w:r>
            <w:r>
              <w:rPr>
                <w:rFonts w:hint="default" w:ascii="Times New Roman" w:hAnsi="Times New Roman" w:cs="Times New Roman"/>
                <w:color w:val="auto"/>
                <w:kern w:val="0"/>
                <w:sz w:val="24"/>
                <w:szCs w:val="24"/>
                <w:highlight w:val="none"/>
              </w:rPr>
              <w:t>态环境准入清单</w:t>
            </w:r>
          </w:p>
          <w:p>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根据鄂尔多斯市生态环境局发布</w:t>
            </w:r>
            <w:r>
              <w:rPr>
                <w:rFonts w:hint="default" w:ascii="Times New Roman" w:hAnsi="Times New Roman" w:cs="Times New Roman"/>
                <w:color w:val="auto"/>
                <w:kern w:val="0"/>
                <w:sz w:val="24"/>
                <w:highlight w:val="none"/>
              </w:rPr>
              <w:t>《鄂尔多斯市生态环境分区管控动态更新成果(2023年版)》的通知（2024年8月6日）</w:t>
            </w:r>
            <w:r>
              <w:rPr>
                <w:rFonts w:hint="default" w:ascii="Times New Roman" w:hAnsi="Times New Roman" w:cs="Times New Roman"/>
                <w:color w:val="auto"/>
                <w:kern w:val="0"/>
                <w:sz w:val="24"/>
                <w:highlight w:val="none"/>
                <w:lang w:eastAsia="zh-CN"/>
              </w:rPr>
              <w:t>及《</w:t>
            </w:r>
            <w:r>
              <w:rPr>
                <w:rFonts w:hint="default" w:ascii="Times New Roman" w:hAnsi="Times New Roman" w:cs="Times New Roman"/>
                <w:color w:val="auto"/>
                <w:kern w:val="0"/>
                <w:sz w:val="24"/>
                <w:highlight w:val="none"/>
              </w:rPr>
              <w:t>鄂尔多斯市生态环境分区管控动态更新成果(2023年版)</w:t>
            </w: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rPr>
              <w:t>文本</w:t>
            </w:r>
            <w:r>
              <w:rPr>
                <w:rFonts w:hint="default" w:ascii="Times New Roman" w:hAnsi="Times New Roman" w:cs="Times New Roman"/>
                <w:color w:val="auto"/>
                <w:kern w:val="0"/>
                <w:sz w:val="24"/>
                <w:szCs w:val="24"/>
                <w:highlight w:val="none"/>
              </w:rPr>
              <w:t>，本项目所在区域为重点管控单元</w:t>
            </w:r>
            <w:r>
              <w:rPr>
                <w:rFonts w:hint="default" w:ascii="Times New Roman" w:hAnsi="Times New Roman" w:cs="Times New Roman"/>
                <w:color w:val="auto"/>
                <w:kern w:val="0"/>
                <w:sz w:val="24"/>
                <w:szCs w:val="24"/>
                <w:highlight w:val="none"/>
                <w:lang w:eastAsia="zh-CN"/>
              </w:rPr>
              <w:t>（</w:t>
            </w:r>
            <w:r>
              <w:rPr>
                <w:rFonts w:hint="eastAsia" w:ascii="Times New Roman" w:hAnsi="Times New Roman" w:cs="Times New Roman"/>
                <w:color w:val="auto"/>
                <w:kern w:val="0"/>
                <w:sz w:val="24"/>
                <w:szCs w:val="24"/>
                <w:highlight w:val="none"/>
                <w:lang w:val="en-US" w:eastAsia="zh-CN"/>
              </w:rPr>
              <w:t>鄂尔多斯空港物流园区</w:t>
            </w:r>
            <w:r>
              <w:rPr>
                <w:rFonts w:hint="default" w:ascii="Times New Roman" w:hAnsi="Times New Roman" w:cs="Times New Roman"/>
                <w:color w:val="auto"/>
                <w:kern w:val="0"/>
                <w:sz w:val="24"/>
                <w:szCs w:val="24"/>
                <w:highlight w:val="none"/>
                <w:lang w:eastAsia="zh-CN"/>
              </w:rPr>
              <w:t>），</w:t>
            </w:r>
            <w:r>
              <w:rPr>
                <w:rFonts w:hint="default" w:ascii="Times New Roman" w:hAnsi="Times New Roman" w:cs="Times New Roman"/>
                <w:color w:val="auto"/>
                <w:sz w:val="24"/>
                <w:szCs w:val="24"/>
                <w:highlight w:val="none"/>
                <w:lang w:eastAsia="zh-CN"/>
              </w:rPr>
              <w:t>编码</w:t>
            </w:r>
            <w:r>
              <w:rPr>
                <w:rFonts w:hint="default" w:ascii="Times New Roman" w:hAnsi="Times New Roman" w:cs="Times New Roman"/>
                <w:color w:val="auto"/>
                <w:sz w:val="24"/>
                <w:szCs w:val="24"/>
                <w:highlight w:val="none"/>
                <w:lang w:val="en-US" w:eastAsia="zh-CN"/>
              </w:rPr>
              <w:t>为ZH15062720002</w:t>
            </w:r>
            <w:r>
              <w:rPr>
                <w:rFonts w:hint="default" w:ascii="Times New Roman" w:hAnsi="Times New Roman" w:cs="Times New Roman"/>
                <w:color w:val="auto"/>
                <w:kern w:val="0"/>
                <w:sz w:val="24"/>
                <w:szCs w:val="24"/>
                <w:highlight w:val="none"/>
              </w:rPr>
              <w:t>，禁止新建、扩建《产业结构调整指导目录》明确的淘汰类项目；严格执行</w:t>
            </w:r>
            <w:r>
              <w:rPr>
                <w:rFonts w:hint="eastAsia" w:ascii="Times New Roman" w:hAnsi="Times New Roman" w:cs="Times New Roman"/>
                <w:color w:val="auto"/>
                <w:kern w:val="0"/>
                <w:sz w:val="24"/>
                <w:szCs w:val="24"/>
                <w:highlight w:val="none"/>
                <w:lang w:eastAsia="zh-CN"/>
              </w:rPr>
              <w:t>《</w:t>
            </w:r>
            <w:r>
              <w:rPr>
                <w:rFonts w:hint="eastAsia" w:ascii="Times New Roman" w:hAnsi="Times New Roman" w:cs="Times New Roman"/>
                <w:color w:val="auto"/>
                <w:kern w:val="0"/>
                <w:sz w:val="24"/>
                <w:szCs w:val="24"/>
                <w:highlight w:val="none"/>
                <w:lang w:val="en-US" w:eastAsia="zh-CN"/>
              </w:rPr>
              <w:t>内蒙古</w:t>
            </w:r>
            <w:r>
              <w:rPr>
                <w:rFonts w:hint="default" w:ascii="Times New Roman" w:hAnsi="Times New Roman" w:cs="Times New Roman"/>
                <w:color w:val="auto"/>
                <w:kern w:val="0"/>
                <w:sz w:val="24"/>
                <w:szCs w:val="24"/>
                <w:highlight w:val="none"/>
              </w:rPr>
              <w:t>自治区国家重点生态功能区产业</w:t>
            </w:r>
            <w:r>
              <w:rPr>
                <w:rFonts w:hint="eastAsia" w:ascii="Times New Roman" w:hAnsi="Times New Roman" w:cs="Times New Roman"/>
                <w:color w:val="auto"/>
                <w:kern w:val="0"/>
                <w:sz w:val="24"/>
                <w:szCs w:val="24"/>
                <w:highlight w:val="none"/>
                <w:lang w:eastAsia="zh-CN"/>
              </w:rPr>
              <w:t>准入负面清单（</w:t>
            </w:r>
            <w:r>
              <w:rPr>
                <w:rFonts w:hint="eastAsia" w:ascii="Times New Roman" w:hAnsi="Times New Roman" w:cs="Times New Roman"/>
                <w:color w:val="auto"/>
                <w:kern w:val="0"/>
                <w:sz w:val="24"/>
                <w:szCs w:val="24"/>
                <w:highlight w:val="none"/>
                <w:lang w:val="en-US" w:eastAsia="zh-CN"/>
              </w:rPr>
              <w:t>试行</w:t>
            </w:r>
            <w:r>
              <w:rPr>
                <w:rFonts w:hint="eastAsia" w:ascii="Times New Roman" w:hAnsi="Times New Roman"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rPr>
              <w:t>。</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kern w:val="0"/>
                <w:sz w:val="24"/>
                <w:szCs w:val="24"/>
                <w:highlight w:val="none"/>
              </w:rPr>
              <w:t>本项目为</w:t>
            </w:r>
            <w:r>
              <w:rPr>
                <w:rFonts w:hint="default" w:ascii="Times New Roman" w:hAnsi="Times New Roman" w:cs="Times New Roman"/>
                <w:color w:val="auto"/>
                <w:kern w:val="0"/>
                <w:sz w:val="24"/>
                <w:szCs w:val="24"/>
                <w:highlight w:val="none"/>
                <w:lang w:val="en-US" w:eastAsia="zh-CN"/>
              </w:rPr>
              <w:t>废塑料回收利用项目</w:t>
            </w:r>
            <w:r>
              <w:rPr>
                <w:rFonts w:hint="default" w:ascii="Times New Roman" w:hAnsi="Times New Roman" w:cs="Times New Roman"/>
                <w:color w:val="auto"/>
                <w:kern w:val="0"/>
                <w:sz w:val="24"/>
                <w:szCs w:val="24"/>
                <w:highlight w:val="none"/>
              </w:rPr>
              <w:t>，属于《产业结构调整指导目录（20</w:t>
            </w:r>
            <w:r>
              <w:rPr>
                <w:rFonts w:hint="default" w:ascii="Times New Roman" w:hAnsi="Times New Roman" w:cs="Times New Roman"/>
                <w:color w:val="auto"/>
                <w:kern w:val="0"/>
                <w:sz w:val="24"/>
                <w:szCs w:val="24"/>
                <w:highlight w:val="none"/>
                <w:lang w:val="en-US" w:eastAsia="zh-CN"/>
              </w:rPr>
              <w:t>24</w:t>
            </w:r>
            <w:r>
              <w:rPr>
                <w:rFonts w:hint="default" w:ascii="Times New Roman" w:hAnsi="Times New Roman" w:cs="Times New Roman"/>
                <w:color w:val="auto"/>
                <w:kern w:val="0"/>
                <w:sz w:val="24"/>
                <w:szCs w:val="24"/>
                <w:highlight w:val="none"/>
              </w:rPr>
              <w:t>年本）》的明确</w:t>
            </w:r>
            <w:r>
              <w:rPr>
                <w:rFonts w:hint="default" w:ascii="Times New Roman" w:hAnsi="Times New Roman" w:cs="Times New Roman"/>
                <w:color w:val="auto"/>
                <w:kern w:val="0"/>
                <w:sz w:val="24"/>
                <w:szCs w:val="24"/>
                <w:highlight w:val="none"/>
                <w:lang w:eastAsia="zh-CN"/>
              </w:rPr>
              <w:t>鼓励类</w:t>
            </w:r>
            <w:r>
              <w:rPr>
                <w:rFonts w:hint="default" w:ascii="Times New Roman" w:hAnsi="Times New Roman" w:cs="Times New Roman"/>
                <w:color w:val="auto"/>
                <w:kern w:val="0"/>
                <w:sz w:val="24"/>
                <w:szCs w:val="24"/>
                <w:highlight w:val="none"/>
              </w:rPr>
              <w:t>项目，不属于《自治区国家重点生态功能区产业准入负面清单（试行）》（内政发〔2018〕11号）中禁止准入的项目类型。</w:t>
            </w:r>
          </w:p>
          <w:p>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对照</w:t>
            </w:r>
            <w:r>
              <w:rPr>
                <w:rFonts w:hint="eastAsia" w:ascii="Times New Roman" w:hAnsi="Times New Roman" w:cs="Times New Roman"/>
                <w:color w:val="auto"/>
                <w:kern w:val="0"/>
                <w:sz w:val="24"/>
                <w:szCs w:val="24"/>
                <w:highlight w:val="none"/>
                <w:lang w:val="en-US" w:eastAsia="zh-CN"/>
              </w:rPr>
              <w:t>鄂尔多斯空港物流园区</w:t>
            </w:r>
            <w:r>
              <w:rPr>
                <w:rFonts w:hint="default" w:ascii="Times New Roman" w:hAnsi="Times New Roman" w:eastAsia="宋体" w:cs="Times New Roman"/>
                <w:color w:val="auto"/>
                <w:sz w:val="24"/>
                <w:szCs w:val="24"/>
                <w:highlight w:val="none"/>
                <w:lang w:val="en-US" w:eastAsia="zh-CN"/>
              </w:rPr>
              <w:t>管控要求分析如下：</w:t>
            </w:r>
          </w:p>
          <w:p>
            <w:pPr>
              <w:pStyle w:val="5"/>
              <w:jc w:val="center"/>
              <w:rPr>
                <w:rFonts w:hint="default"/>
                <w:b/>
                <w:bCs/>
                <w:color w:val="auto"/>
                <w:highlight w:val="none"/>
                <w:lang w:val="en-US" w:eastAsia="zh-CN"/>
              </w:rPr>
            </w:pPr>
            <w:r>
              <w:rPr>
                <w:rFonts w:hint="eastAsia" w:ascii="Times New Roman" w:hAnsi="Times New Roman" w:cs="Times New Roman"/>
                <w:b/>
                <w:bCs/>
                <w:color w:val="auto"/>
                <w:sz w:val="24"/>
                <w:szCs w:val="24"/>
                <w:highlight w:val="none"/>
                <w:lang w:val="en-US" w:eastAsia="zh-CN"/>
              </w:rPr>
              <w:t>表1-1  本项目</w:t>
            </w:r>
            <w:r>
              <w:rPr>
                <w:rFonts w:hint="eastAsia" w:ascii="Times New Roman" w:hAnsi="Times New Roman" w:eastAsia="宋体" w:cs="Times New Roman"/>
                <w:b/>
                <w:bCs/>
                <w:color w:val="auto"/>
                <w:sz w:val="24"/>
                <w:szCs w:val="24"/>
                <w:highlight w:val="none"/>
                <w:lang w:val="en-US" w:eastAsia="zh-CN"/>
              </w:rPr>
              <w:t>管控单元管控要求</w:t>
            </w:r>
            <w:r>
              <w:rPr>
                <w:rFonts w:hint="eastAsia" w:ascii="Times New Roman" w:hAnsi="Times New Roman" w:cs="Times New Roman"/>
                <w:b/>
                <w:bCs/>
                <w:color w:val="auto"/>
                <w:sz w:val="24"/>
                <w:szCs w:val="24"/>
                <w:highlight w:val="none"/>
                <w:lang w:val="en-US" w:eastAsia="zh-CN"/>
              </w:rPr>
              <w:t>对照分析</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681"/>
              <w:gridCol w:w="680"/>
              <w:gridCol w:w="462"/>
              <w:gridCol w:w="1938"/>
              <w:gridCol w:w="1570"/>
              <w:gridCol w:w="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vAlign w:val="center"/>
                </w:tcPr>
                <w:p>
                  <w:pPr>
                    <w:keepNext w:val="0"/>
                    <w:keepLines w:val="0"/>
                    <w:widowControl/>
                    <w:suppressLineNumbers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lang w:val="en-US" w:eastAsia="zh-CN" w:bidi="ar"/>
                    </w:rPr>
                    <w:t>环境管控单元编码</w:t>
                  </w:r>
                </w:p>
              </w:tc>
              <w:tc>
                <w:tcPr>
                  <w:tcW w:w="506" w:type="pct"/>
                  <w:vAlign w:val="center"/>
                </w:tcPr>
                <w:p>
                  <w:pPr>
                    <w:keepNext w:val="0"/>
                    <w:keepLines w:val="0"/>
                    <w:widowControl/>
                    <w:suppressLineNumbers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lang w:val="en-US" w:eastAsia="zh-CN" w:bidi="ar"/>
                    </w:rPr>
                    <w:t>环境管控单元名称</w:t>
                  </w:r>
                </w:p>
              </w:tc>
              <w:tc>
                <w:tcPr>
                  <w:tcW w:w="505" w:type="pct"/>
                  <w:vAlign w:val="center"/>
                </w:tcPr>
                <w:p>
                  <w:pPr>
                    <w:keepNext w:val="0"/>
                    <w:keepLines w:val="0"/>
                    <w:widowControl/>
                    <w:suppressLineNumbers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lang w:val="en-US" w:eastAsia="zh-CN" w:bidi="ar"/>
                    </w:rPr>
                    <w:t>管控单元类别</w:t>
                  </w:r>
                </w:p>
              </w:tc>
              <w:tc>
                <w:tcPr>
                  <w:tcW w:w="1785" w:type="pct"/>
                  <w:gridSpan w:val="2"/>
                  <w:vAlign w:val="center"/>
                </w:tcPr>
                <w:p>
                  <w:pPr>
                    <w:keepNext w:val="0"/>
                    <w:keepLines w:val="0"/>
                    <w:widowControl/>
                    <w:suppressLineNumbers w:val="0"/>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lang w:val="en-US" w:eastAsia="zh-CN" w:bidi="ar"/>
                    </w:rPr>
                    <w:t>管控要求</w:t>
                  </w:r>
                </w:p>
              </w:tc>
              <w:tc>
                <w:tcPr>
                  <w:tcW w:w="1167" w:type="pct"/>
                  <w:vAlign w:val="center"/>
                </w:tcPr>
                <w:p>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对照分析</w:t>
                  </w:r>
                </w:p>
              </w:tc>
              <w:tc>
                <w:tcPr>
                  <w:tcW w:w="444" w:type="pct"/>
                  <w:vAlign w:val="center"/>
                </w:tcPr>
                <w:p>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vMerge w:val="restart"/>
                  <w:vAlign w:val="center"/>
                </w:tcPr>
                <w:p>
                  <w:pPr>
                    <w:keepNext w:val="0"/>
                    <w:keepLines w:val="0"/>
                    <w:widowControl/>
                    <w:suppressLineNumbers w:val="0"/>
                    <w:spacing w:line="240" w:lineRule="auto"/>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ZH15062720002</w:t>
                  </w:r>
                </w:p>
              </w:tc>
              <w:tc>
                <w:tcPr>
                  <w:tcW w:w="506" w:type="pct"/>
                  <w:vMerge w:val="restart"/>
                  <w:vAlign w:val="center"/>
                </w:tcPr>
                <w:p>
                  <w:pPr>
                    <w:keepNext w:val="0"/>
                    <w:keepLines w:val="0"/>
                    <w:widowControl/>
                    <w:suppressLineNumbers w:val="0"/>
                    <w:spacing w:line="240" w:lineRule="auto"/>
                    <w:jc w:val="center"/>
                    <w:rPr>
                      <w:rFonts w:hint="eastAsia" w:ascii="Times New Roman" w:hAnsi="Times New Roman" w:cs="Times New Roman"/>
                      <w:color w:val="auto"/>
                      <w:kern w:val="0"/>
                      <w:sz w:val="21"/>
                      <w:szCs w:val="21"/>
                      <w:highlight w:val="none"/>
                      <w:lang w:val="en-US" w:eastAsia="zh-CN" w:bidi="ar"/>
                    </w:rPr>
                  </w:pPr>
                  <w:r>
                    <w:rPr>
                      <w:rFonts w:hint="default" w:ascii="Times New Roman" w:hAnsi="Times New Roman" w:eastAsia="宋体" w:cs="Times New Roman"/>
                      <w:color w:val="auto"/>
                      <w:sz w:val="21"/>
                      <w:szCs w:val="21"/>
                      <w:highlight w:val="none"/>
                      <w:vertAlign w:val="baseline"/>
                      <w:lang w:val="en-US" w:eastAsia="zh-CN"/>
                    </w:rPr>
                    <w:t xml:space="preserve">鄂尔多斯空港物流园区 </w:t>
                  </w:r>
                </w:p>
              </w:tc>
              <w:tc>
                <w:tcPr>
                  <w:tcW w:w="505" w:type="pct"/>
                  <w:vMerge w:val="restart"/>
                  <w:vAlign w:val="center"/>
                </w:tcPr>
                <w:p>
                  <w:pPr>
                    <w:keepNext w:val="0"/>
                    <w:keepLines w:val="0"/>
                    <w:widowControl/>
                    <w:suppressLineNumbers w:val="0"/>
                    <w:spacing w:line="240" w:lineRule="auto"/>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重点</w:t>
                  </w:r>
                  <w:r>
                    <w:rPr>
                      <w:rFonts w:hint="default" w:ascii="Times New Roman" w:hAnsi="Times New Roman" w:eastAsia="宋体" w:cs="Times New Roman"/>
                      <w:color w:val="auto"/>
                      <w:kern w:val="0"/>
                      <w:sz w:val="21"/>
                      <w:szCs w:val="21"/>
                      <w:highlight w:val="none"/>
                      <w:lang w:val="en-US" w:eastAsia="zh-CN" w:bidi="ar"/>
                    </w:rPr>
                    <w:t>管控单元</w:t>
                  </w:r>
                </w:p>
              </w:tc>
              <w:tc>
                <w:tcPr>
                  <w:tcW w:w="343" w:type="pct"/>
                  <w:vAlign w:val="center"/>
                </w:tcPr>
                <w:p>
                  <w:pPr>
                    <w:spacing w:line="240" w:lineRule="auto"/>
                    <w:jc w:val="center"/>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空间布局约束</w:t>
                  </w:r>
                </w:p>
              </w:tc>
              <w:tc>
                <w:tcPr>
                  <w:tcW w:w="1441" w:type="pct"/>
                  <w:vAlign w:val="center"/>
                </w:tcPr>
                <w:p>
                  <w:pPr>
                    <w:keepNext w:val="0"/>
                    <w:keepLines w:val="0"/>
                    <w:widowControl/>
                    <w:suppressLineNumbers w:val="0"/>
                    <w:spacing w:line="240" w:lineRule="auto"/>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1.禁止不符合园区产业定位及规划环评等要求的项目入园；国家明令淘汰的落后产能和不符合国家产业政策的项目，禁止向工业园区转移。</w:t>
                  </w:r>
                </w:p>
                <w:p>
                  <w:pPr>
                    <w:keepNext w:val="0"/>
                    <w:keepLines w:val="0"/>
                    <w:widowControl/>
                    <w:suppressLineNumbers w:val="0"/>
                    <w:spacing w:line="240" w:lineRule="auto"/>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2.禁止有毒、有害及危险品的仓储、物流配送项目；禁止采矿、冶金等大型机电设备制造；禁止低端装备制造；禁止生物医药行业；禁止有色金属冶炼、石油加工、化工、焦化、电镀、制革等行业。</w:t>
                  </w:r>
                </w:p>
                <w:p>
                  <w:pPr>
                    <w:keepNext w:val="0"/>
                    <w:keepLines w:val="0"/>
                    <w:widowControl/>
                    <w:suppressLineNumbers w:val="0"/>
                    <w:spacing w:line="240" w:lineRule="auto"/>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3.严格控制高能耗、高水耗、高污染行业的环境准入，优先发展低耗水的现代物流、临空新兴产业。</w:t>
                  </w:r>
                </w:p>
                <w:p>
                  <w:pPr>
                    <w:keepNext w:val="0"/>
                    <w:keepLines w:val="0"/>
                    <w:widowControl/>
                    <w:suppressLineNumbers w:val="0"/>
                    <w:spacing w:line="240" w:lineRule="auto"/>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4.产业片区与南部产</w:t>
                  </w:r>
                  <w:r>
                    <w:rPr>
                      <w:rFonts w:hint="eastAsia" w:ascii="Times New Roman" w:hAnsi="Times New Roman" w:cs="Times New Roman"/>
                      <w:color w:val="auto"/>
                      <w:kern w:val="0"/>
                      <w:sz w:val="21"/>
                      <w:szCs w:val="21"/>
                      <w:highlight w:val="none"/>
                      <w:lang w:val="en-US" w:eastAsia="zh-CN" w:bidi="ar"/>
                    </w:rPr>
                    <w:t>城乡融合发展</w:t>
                  </w:r>
                  <w:r>
                    <w:rPr>
                      <w:rFonts w:hint="default" w:ascii="Times New Roman" w:hAnsi="Times New Roman" w:eastAsia="宋体" w:cs="Times New Roman"/>
                      <w:color w:val="auto"/>
                      <w:kern w:val="0"/>
                      <w:sz w:val="21"/>
                      <w:szCs w:val="21"/>
                      <w:highlight w:val="none"/>
                      <w:lang w:val="en-US" w:eastAsia="zh-CN" w:bidi="ar"/>
                    </w:rPr>
                    <w:t>区之间设置合理的防护距离。居住用地周边严控布局潜在污染扰民和环境风险突出的建设项目。</w:t>
                  </w:r>
                </w:p>
              </w:tc>
              <w:tc>
                <w:tcPr>
                  <w:tcW w:w="1167" w:type="pct"/>
                  <w:vAlign w:val="center"/>
                </w:tcPr>
                <w:p>
                  <w:pPr>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1.项目与园区签订入园协议，且园区出具将本项目纳入规划的承诺；</w:t>
                  </w:r>
                </w:p>
                <w:p>
                  <w:pPr>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2.本项目不属于相关项目及行业；</w:t>
                  </w:r>
                </w:p>
                <w:p>
                  <w:pPr>
                    <w:jc w:val="both"/>
                    <w:rPr>
                      <w:rFonts w:hint="default" w:ascii="Times New Roman" w:hAnsi="Times New Roman" w:cs="Times New Roman" w:eastAsiaTheme="minorEastAsia"/>
                      <w:color w:val="auto"/>
                      <w:kern w:val="0"/>
                      <w:sz w:val="21"/>
                      <w:szCs w:val="21"/>
                      <w:highlight w:val="none"/>
                      <w:lang w:val="en-US" w:eastAsia="zh-CN" w:bidi="ar"/>
                    </w:rPr>
                  </w:pPr>
                  <w:r>
                    <w:rPr>
                      <w:rFonts w:hint="default" w:ascii="Times New Roman" w:hAnsi="Times New Roman" w:cs="Times New Roman" w:eastAsiaTheme="minorEastAsia"/>
                      <w:color w:val="auto"/>
                      <w:sz w:val="21"/>
                      <w:szCs w:val="21"/>
                      <w:highlight w:val="none"/>
                      <w:lang w:val="en-US" w:eastAsia="zh-CN"/>
                    </w:rPr>
                    <w:t>3.本项目不属于</w:t>
                  </w:r>
                  <w:r>
                    <w:rPr>
                      <w:rFonts w:hint="default" w:ascii="Times New Roman" w:hAnsi="Times New Roman" w:cs="Times New Roman" w:eastAsiaTheme="minorEastAsia"/>
                      <w:color w:val="auto"/>
                      <w:kern w:val="0"/>
                      <w:sz w:val="21"/>
                      <w:szCs w:val="21"/>
                      <w:highlight w:val="none"/>
                      <w:lang w:val="en-US" w:eastAsia="zh-CN" w:bidi="ar"/>
                    </w:rPr>
                    <w:t>高能耗、高水耗、高污染行业；</w:t>
                  </w:r>
                </w:p>
                <w:p>
                  <w:pPr>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eastAsiaTheme="minorEastAsia"/>
                      <w:color w:val="auto"/>
                      <w:kern w:val="0"/>
                      <w:sz w:val="21"/>
                      <w:szCs w:val="21"/>
                      <w:highlight w:val="none"/>
                      <w:lang w:val="en-US" w:eastAsia="zh-CN" w:bidi="ar"/>
                    </w:rPr>
                    <w:t>4.本项目周边不存在居住用地。</w:t>
                  </w:r>
                </w:p>
              </w:tc>
              <w:tc>
                <w:tcPr>
                  <w:tcW w:w="444" w:type="pct"/>
                  <w:vAlign w:val="center"/>
                </w:tcPr>
                <w:p>
                  <w:pPr>
                    <w:jc w:val="both"/>
                    <w:rPr>
                      <w:rFonts w:hint="eastAsia"/>
                      <w:color w:val="auto"/>
                      <w:highlight w:val="none"/>
                      <w:lang w:val="en-US" w:eastAsia="zh-CN"/>
                    </w:rPr>
                  </w:pPr>
                  <w:r>
                    <w:rPr>
                      <w:rFonts w:hint="eastAsia"/>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vMerge w:val="continue"/>
                  <w:vAlign w:val="center"/>
                </w:tcPr>
                <w:p>
                  <w:pPr>
                    <w:keepNext w:val="0"/>
                    <w:keepLines w:val="0"/>
                    <w:widowControl/>
                    <w:suppressLineNumbers w:val="0"/>
                    <w:spacing w:line="240" w:lineRule="auto"/>
                    <w:jc w:val="center"/>
                    <w:rPr>
                      <w:rFonts w:hint="default" w:ascii="Times New Roman" w:hAnsi="Times New Roman" w:eastAsia="宋体" w:cs="Times New Roman"/>
                      <w:color w:val="auto"/>
                      <w:kern w:val="0"/>
                      <w:sz w:val="21"/>
                      <w:szCs w:val="21"/>
                      <w:highlight w:val="none"/>
                      <w:lang w:val="en-US" w:eastAsia="zh-CN" w:bidi="ar"/>
                    </w:rPr>
                  </w:pPr>
                </w:p>
              </w:tc>
              <w:tc>
                <w:tcPr>
                  <w:tcW w:w="506" w:type="pct"/>
                  <w:vMerge w:val="continue"/>
                  <w:vAlign w:val="center"/>
                </w:tcPr>
                <w:p>
                  <w:pPr>
                    <w:keepNext w:val="0"/>
                    <w:keepLines w:val="0"/>
                    <w:widowControl/>
                    <w:suppressLineNumbers w:val="0"/>
                    <w:spacing w:line="240" w:lineRule="auto"/>
                    <w:jc w:val="center"/>
                    <w:rPr>
                      <w:rFonts w:hint="eastAsia" w:ascii="Times New Roman" w:hAnsi="Times New Roman" w:cs="Times New Roman"/>
                      <w:color w:val="auto"/>
                      <w:kern w:val="0"/>
                      <w:sz w:val="21"/>
                      <w:szCs w:val="21"/>
                      <w:highlight w:val="none"/>
                      <w:lang w:val="en-US" w:eastAsia="zh-CN" w:bidi="ar"/>
                    </w:rPr>
                  </w:pPr>
                </w:p>
              </w:tc>
              <w:tc>
                <w:tcPr>
                  <w:tcW w:w="505" w:type="pct"/>
                  <w:vMerge w:val="continue"/>
                  <w:vAlign w:val="center"/>
                </w:tcPr>
                <w:p>
                  <w:pPr>
                    <w:keepNext w:val="0"/>
                    <w:keepLines w:val="0"/>
                    <w:widowControl/>
                    <w:suppressLineNumbers w:val="0"/>
                    <w:spacing w:line="240" w:lineRule="auto"/>
                    <w:jc w:val="center"/>
                    <w:rPr>
                      <w:rFonts w:hint="eastAsia" w:ascii="Times New Roman" w:hAnsi="Times New Roman" w:cs="Times New Roman"/>
                      <w:color w:val="auto"/>
                      <w:kern w:val="0"/>
                      <w:sz w:val="21"/>
                      <w:szCs w:val="21"/>
                      <w:highlight w:val="none"/>
                      <w:lang w:val="en-US" w:eastAsia="zh-CN" w:bidi="ar"/>
                    </w:rPr>
                  </w:pPr>
                </w:p>
              </w:tc>
              <w:tc>
                <w:tcPr>
                  <w:tcW w:w="343" w:type="pct"/>
                  <w:vAlign w:val="center"/>
                </w:tcPr>
                <w:p>
                  <w:pPr>
                    <w:spacing w:line="240" w:lineRule="auto"/>
                    <w:jc w:val="center"/>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 xml:space="preserve">污 染 </w:t>
                  </w:r>
                </w:p>
                <w:p>
                  <w:pPr>
                    <w:spacing w:line="240" w:lineRule="auto"/>
                    <w:jc w:val="center"/>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 xml:space="preserve">物 排 </w:t>
                  </w:r>
                </w:p>
                <w:p>
                  <w:pPr>
                    <w:spacing w:line="240" w:lineRule="auto"/>
                    <w:jc w:val="center"/>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 xml:space="preserve">放 管 </w:t>
                  </w:r>
                </w:p>
                <w:p>
                  <w:pPr>
                    <w:spacing w:line="240" w:lineRule="auto"/>
                    <w:jc w:val="center"/>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控</w:t>
                  </w:r>
                </w:p>
              </w:tc>
              <w:tc>
                <w:tcPr>
                  <w:tcW w:w="1441" w:type="pct"/>
                  <w:vAlign w:val="center"/>
                </w:tcPr>
                <w:p>
                  <w:pPr>
                    <w:keepNext w:val="0"/>
                    <w:keepLines w:val="0"/>
                    <w:widowControl/>
                    <w:suppressLineNumbers w:val="0"/>
                    <w:spacing w:line="240" w:lineRule="auto"/>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 xml:space="preserve">1.合理设置污水处理厂工艺和规模，规范处置固体废物，落实集中供热。 </w:t>
                  </w:r>
                </w:p>
                <w:p>
                  <w:pPr>
                    <w:keepNext w:val="0"/>
                    <w:keepLines w:val="0"/>
                    <w:widowControl/>
                    <w:suppressLineNumbers w:val="0"/>
                    <w:spacing w:line="240" w:lineRule="auto"/>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 xml:space="preserve">2.禁止新建燃煤锅炉供热设施。 </w:t>
                  </w:r>
                </w:p>
                <w:p>
                  <w:pPr>
                    <w:keepNext w:val="0"/>
                    <w:keepLines w:val="0"/>
                    <w:widowControl/>
                    <w:suppressLineNumbers w:val="0"/>
                    <w:spacing w:line="240" w:lineRule="auto"/>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3.推进特征污染物治理。涉VOCs项目应使用低（无）VOCs含量的原辅材料，安装废气收集、高效治理设施。</w:t>
                  </w:r>
                </w:p>
              </w:tc>
              <w:tc>
                <w:tcPr>
                  <w:tcW w:w="1167" w:type="pct"/>
                  <w:vAlign w:val="center"/>
                </w:tcPr>
                <w:p>
                  <w:p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1.本项目固体废物合理处置，由园区集中供热；</w:t>
                  </w:r>
                </w:p>
                <w:p>
                  <w:pPr>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2.本项目不涉及燃煤锅炉建设；</w:t>
                  </w:r>
                </w:p>
                <w:p>
                  <w:pPr>
                    <w:spacing w:line="240" w:lineRule="auto"/>
                    <w:jc w:val="both"/>
                    <w:rPr>
                      <w:rFonts w:hint="default"/>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3.本项目不涉及VOCs产生及排放。</w:t>
                  </w:r>
                </w:p>
              </w:tc>
              <w:tc>
                <w:tcPr>
                  <w:tcW w:w="444" w:type="pct"/>
                  <w:vAlign w:val="center"/>
                </w:tcPr>
                <w:p>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89" w:type="pct"/>
                  <w:vMerge w:val="continue"/>
                  <w:vAlign w:val="center"/>
                </w:tcPr>
                <w:p>
                  <w:pPr>
                    <w:keepNext w:val="0"/>
                    <w:keepLines w:val="0"/>
                    <w:widowControl/>
                    <w:suppressLineNumbers w:val="0"/>
                    <w:spacing w:line="240" w:lineRule="auto"/>
                    <w:jc w:val="center"/>
                    <w:rPr>
                      <w:rFonts w:hint="default" w:ascii="Times New Roman" w:hAnsi="Times New Roman" w:eastAsia="宋体" w:cs="Times New Roman"/>
                      <w:color w:val="auto"/>
                      <w:kern w:val="0"/>
                      <w:sz w:val="21"/>
                      <w:szCs w:val="21"/>
                      <w:highlight w:val="none"/>
                      <w:lang w:val="en-US" w:eastAsia="zh-CN" w:bidi="ar"/>
                    </w:rPr>
                  </w:pPr>
                </w:p>
              </w:tc>
              <w:tc>
                <w:tcPr>
                  <w:tcW w:w="506" w:type="pct"/>
                  <w:vMerge w:val="continue"/>
                  <w:vAlign w:val="center"/>
                </w:tcPr>
                <w:p>
                  <w:pPr>
                    <w:keepNext w:val="0"/>
                    <w:keepLines w:val="0"/>
                    <w:widowControl/>
                    <w:suppressLineNumbers w:val="0"/>
                    <w:spacing w:line="240" w:lineRule="auto"/>
                    <w:jc w:val="center"/>
                    <w:rPr>
                      <w:rFonts w:hint="eastAsia" w:ascii="Times New Roman" w:hAnsi="Times New Roman" w:cs="Times New Roman"/>
                      <w:color w:val="auto"/>
                      <w:kern w:val="0"/>
                      <w:sz w:val="21"/>
                      <w:szCs w:val="21"/>
                      <w:highlight w:val="none"/>
                      <w:lang w:val="en-US" w:eastAsia="zh-CN" w:bidi="ar"/>
                    </w:rPr>
                  </w:pPr>
                </w:p>
              </w:tc>
              <w:tc>
                <w:tcPr>
                  <w:tcW w:w="505" w:type="pct"/>
                  <w:vMerge w:val="continue"/>
                  <w:vAlign w:val="center"/>
                </w:tcPr>
                <w:p>
                  <w:pPr>
                    <w:keepNext w:val="0"/>
                    <w:keepLines w:val="0"/>
                    <w:widowControl/>
                    <w:suppressLineNumbers w:val="0"/>
                    <w:spacing w:line="240" w:lineRule="auto"/>
                    <w:jc w:val="center"/>
                    <w:rPr>
                      <w:rFonts w:hint="eastAsia" w:ascii="Times New Roman" w:hAnsi="Times New Roman" w:cs="Times New Roman"/>
                      <w:color w:val="auto"/>
                      <w:kern w:val="0"/>
                      <w:sz w:val="21"/>
                      <w:szCs w:val="21"/>
                      <w:highlight w:val="none"/>
                      <w:lang w:val="en-US" w:eastAsia="zh-CN" w:bidi="ar"/>
                    </w:rPr>
                  </w:pPr>
                </w:p>
              </w:tc>
              <w:tc>
                <w:tcPr>
                  <w:tcW w:w="343" w:type="pct"/>
                  <w:vAlign w:val="center"/>
                </w:tcPr>
                <w:p>
                  <w:pPr>
                    <w:spacing w:line="240" w:lineRule="auto"/>
                    <w:jc w:val="center"/>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 xml:space="preserve">环 境 </w:t>
                  </w:r>
                </w:p>
                <w:p>
                  <w:pPr>
                    <w:spacing w:line="240" w:lineRule="auto"/>
                    <w:jc w:val="center"/>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 xml:space="preserve">风 险 </w:t>
                  </w:r>
                </w:p>
                <w:p>
                  <w:pPr>
                    <w:spacing w:line="240" w:lineRule="auto"/>
                    <w:jc w:val="center"/>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防控</w:t>
                  </w:r>
                </w:p>
              </w:tc>
              <w:tc>
                <w:tcPr>
                  <w:tcW w:w="1441" w:type="pct"/>
                  <w:vAlign w:val="center"/>
                </w:tcPr>
                <w:p>
                  <w:pPr>
                    <w:keepNext w:val="0"/>
                    <w:keepLines w:val="0"/>
                    <w:widowControl/>
                    <w:suppressLineNumbers w:val="0"/>
                    <w:spacing w:line="240" w:lineRule="auto"/>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完善区域环境风险防范机制，有效防范环境风险。建立和不断完善环境风险</w:t>
                  </w:r>
                  <w:r>
                    <w:rPr>
                      <w:rFonts w:hint="eastAsia" w:ascii="Times New Roman" w:hAnsi="Times New Roman" w:cs="Times New Roman"/>
                      <w:color w:val="auto"/>
                      <w:kern w:val="0"/>
                      <w:sz w:val="21"/>
                      <w:szCs w:val="21"/>
                      <w:highlight w:val="none"/>
                      <w:lang w:val="en-US" w:eastAsia="zh-CN" w:bidi="ar"/>
                    </w:rPr>
                    <w:t>防范</w:t>
                  </w:r>
                  <w:r>
                    <w:rPr>
                      <w:rFonts w:hint="default" w:ascii="Times New Roman" w:hAnsi="Times New Roman" w:eastAsia="宋体" w:cs="Times New Roman"/>
                      <w:color w:val="auto"/>
                      <w:kern w:val="0"/>
                      <w:sz w:val="21"/>
                      <w:szCs w:val="21"/>
                      <w:highlight w:val="none"/>
                      <w:lang w:val="en-US" w:eastAsia="zh-CN" w:bidi="ar"/>
                    </w:rPr>
                    <w:t>机制和应急体系，构建有效的区域环境风险联防联控机制，最大限度降低环境风险。</w:t>
                  </w:r>
                </w:p>
              </w:tc>
              <w:tc>
                <w:tcPr>
                  <w:tcW w:w="1167" w:type="pct"/>
                  <w:vAlign w:val="center"/>
                </w:tcPr>
                <w:p>
                  <w:pPr>
                    <w:spacing w:line="240" w:lineRule="auto"/>
                    <w:jc w:val="center"/>
                    <w:rPr>
                      <w:rFonts w:hint="default"/>
                      <w:color w:val="auto"/>
                      <w:sz w:val="21"/>
                      <w:szCs w:val="21"/>
                      <w:highlight w:val="none"/>
                      <w:lang w:val="en-US" w:eastAsia="zh-CN"/>
                    </w:rPr>
                  </w:pPr>
                  <w:r>
                    <w:rPr>
                      <w:rFonts w:hint="default" w:ascii="Times New Roman" w:hAnsi="Times New Roman" w:eastAsia="宋体" w:cs="Times New Roman"/>
                      <w:color w:val="auto"/>
                      <w:sz w:val="21"/>
                      <w:szCs w:val="21"/>
                      <w:highlight w:val="none"/>
                    </w:rPr>
                    <w:t>项目后期制定突发环境事件应急预案并备案，配备必要的应急设施和应急物资。</w:t>
                  </w:r>
                </w:p>
              </w:tc>
              <w:tc>
                <w:tcPr>
                  <w:tcW w:w="444" w:type="pct"/>
                  <w:vAlign w:val="center"/>
                </w:tcPr>
                <w:p>
                  <w:pPr>
                    <w:spacing w:line="24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 w:type="pct"/>
                  <w:vMerge w:val="continue"/>
                  <w:vAlign w:val="center"/>
                </w:tcPr>
                <w:p>
                  <w:pPr>
                    <w:keepNext w:val="0"/>
                    <w:keepLines w:val="0"/>
                    <w:widowControl/>
                    <w:suppressLineNumbers w:val="0"/>
                    <w:spacing w:line="240" w:lineRule="auto"/>
                    <w:jc w:val="center"/>
                    <w:rPr>
                      <w:rFonts w:hint="default" w:ascii="Times New Roman" w:hAnsi="Times New Roman" w:eastAsia="宋体" w:cs="Times New Roman"/>
                      <w:color w:val="auto"/>
                      <w:kern w:val="0"/>
                      <w:sz w:val="21"/>
                      <w:szCs w:val="21"/>
                      <w:highlight w:val="none"/>
                      <w:lang w:val="en-US" w:eastAsia="zh-CN" w:bidi="ar"/>
                    </w:rPr>
                  </w:pPr>
                </w:p>
              </w:tc>
              <w:tc>
                <w:tcPr>
                  <w:tcW w:w="506" w:type="pct"/>
                  <w:vMerge w:val="continue"/>
                  <w:vAlign w:val="center"/>
                </w:tcPr>
                <w:p>
                  <w:pPr>
                    <w:keepNext w:val="0"/>
                    <w:keepLines w:val="0"/>
                    <w:widowControl/>
                    <w:suppressLineNumbers w:val="0"/>
                    <w:spacing w:line="240" w:lineRule="auto"/>
                    <w:jc w:val="center"/>
                    <w:rPr>
                      <w:rFonts w:hint="eastAsia" w:ascii="Times New Roman" w:hAnsi="Times New Roman" w:cs="Times New Roman"/>
                      <w:color w:val="auto"/>
                      <w:kern w:val="0"/>
                      <w:sz w:val="21"/>
                      <w:szCs w:val="21"/>
                      <w:highlight w:val="none"/>
                      <w:lang w:val="en-US" w:eastAsia="zh-CN" w:bidi="ar"/>
                    </w:rPr>
                  </w:pPr>
                </w:p>
              </w:tc>
              <w:tc>
                <w:tcPr>
                  <w:tcW w:w="505" w:type="pct"/>
                  <w:vMerge w:val="continue"/>
                  <w:vAlign w:val="center"/>
                </w:tcPr>
                <w:p>
                  <w:pPr>
                    <w:keepNext w:val="0"/>
                    <w:keepLines w:val="0"/>
                    <w:widowControl/>
                    <w:suppressLineNumbers w:val="0"/>
                    <w:spacing w:line="240" w:lineRule="auto"/>
                    <w:jc w:val="center"/>
                    <w:rPr>
                      <w:rFonts w:hint="eastAsia" w:ascii="Times New Roman" w:hAnsi="Times New Roman" w:cs="Times New Roman"/>
                      <w:color w:val="auto"/>
                      <w:kern w:val="0"/>
                      <w:sz w:val="21"/>
                      <w:szCs w:val="21"/>
                      <w:highlight w:val="none"/>
                      <w:lang w:val="en-US" w:eastAsia="zh-CN" w:bidi="ar"/>
                    </w:rPr>
                  </w:pPr>
                </w:p>
              </w:tc>
              <w:tc>
                <w:tcPr>
                  <w:tcW w:w="343" w:type="pct"/>
                  <w:vAlign w:val="center"/>
                </w:tcPr>
                <w:p>
                  <w:pPr>
                    <w:spacing w:line="240" w:lineRule="auto"/>
                    <w:jc w:val="center"/>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资源利用效率</w:t>
                  </w:r>
                </w:p>
              </w:tc>
              <w:tc>
                <w:tcPr>
                  <w:tcW w:w="1441" w:type="pct"/>
                  <w:vAlign w:val="center"/>
                </w:tcPr>
                <w:p>
                  <w:pPr>
                    <w:keepNext w:val="0"/>
                    <w:keepLines w:val="0"/>
                    <w:widowControl/>
                    <w:suppressLineNumbers w:val="0"/>
                    <w:spacing w:line="240" w:lineRule="auto"/>
                    <w:jc w:val="both"/>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“以水定产”，合理确定发展规模，严格控制高耗水行业。2030 年工业增加值用水量不高于8m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default" w:ascii="Times New Roman" w:hAnsi="Times New Roman" w:eastAsia="宋体" w:cs="Times New Roman"/>
                      <w:color w:val="auto"/>
                      <w:kern w:val="0"/>
                      <w:sz w:val="21"/>
                      <w:szCs w:val="21"/>
                      <w:highlight w:val="none"/>
                      <w:lang w:val="en-US" w:eastAsia="zh-CN" w:bidi="ar"/>
                    </w:rPr>
                    <w:t>/万元。新建、改建、扩建的高耗水工业项目，禁止擅自使用地下水。</w:t>
                  </w:r>
                </w:p>
              </w:tc>
              <w:tc>
                <w:tcPr>
                  <w:tcW w:w="1167" w:type="pct"/>
                  <w:vAlign w:val="center"/>
                </w:tcPr>
                <w:p>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本项目不属于高耗水行业，用水来自园区工业供水管网</w:t>
                  </w:r>
                </w:p>
              </w:tc>
              <w:tc>
                <w:tcPr>
                  <w:tcW w:w="444" w:type="pct"/>
                  <w:vAlign w:val="center"/>
                </w:tcPr>
                <w:p>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符合</w:t>
                  </w:r>
                </w:p>
              </w:tc>
            </w:tr>
          </w:tbl>
          <w:p>
            <w:pPr>
              <w:spacing w:line="360" w:lineRule="auto"/>
              <w:ind w:firstLine="480" w:firstLineChars="200"/>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因此本项目满足区域生态环境准入要求</w:t>
            </w:r>
            <w:r>
              <w:rPr>
                <w:rFonts w:hint="eastAsia" w:ascii="Times New Roman" w:hAnsi="Times New Roman" w:cs="Times New Roman"/>
                <w:color w:val="auto"/>
                <w:sz w:val="24"/>
                <w:szCs w:val="24"/>
                <w:highlight w:val="none"/>
                <w:lang w:eastAsia="zh-CN"/>
              </w:rPr>
              <w:t>。</w:t>
            </w:r>
          </w:p>
          <w:p>
            <w:pPr>
              <w:adjustRightInd w:val="0"/>
              <w:snapToGrid w:val="0"/>
              <w:spacing w:line="360" w:lineRule="auto"/>
              <w:ind w:firstLine="480" w:firstLineChars="200"/>
              <w:rPr>
                <w:color w:val="auto"/>
                <w:highlight w:val="none"/>
              </w:rPr>
            </w:pPr>
            <w:r>
              <w:rPr>
                <w:rFonts w:hint="default" w:ascii="Times New Roman" w:hAnsi="Times New Roman" w:cs="Times New Roman"/>
                <w:color w:val="auto"/>
                <w:sz w:val="24"/>
                <w:szCs w:val="24"/>
                <w:highlight w:val="none"/>
              </w:rPr>
              <w:t>综上所述，本项目符合“三线一单”要求。</w:t>
            </w:r>
          </w:p>
          <w:p>
            <w:pPr>
              <w:numPr>
                <w:ilvl w:val="0"/>
                <w:numId w:val="0"/>
              </w:numPr>
              <w:adjustRightInd w:val="0"/>
              <w:snapToGrid w:val="0"/>
              <w:spacing w:line="360" w:lineRule="auto"/>
              <w:ind w:firstLine="481" w:firstLineChars="200"/>
              <w:rPr>
                <w:rFonts w:hint="eastAsia"/>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3</w:t>
            </w:r>
            <w:r>
              <w:rPr>
                <w:rFonts w:hint="eastAsia"/>
                <w:b/>
                <w:bCs/>
                <w:color w:val="auto"/>
                <w:sz w:val="24"/>
                <w:szCs w:val="24"/>
                <w:highlight w:val="none"/>
                <w:lang w:val="en-US" w:eastAsia="zh-CN"/>
              </w:rPr>
              <w:t>、与《关于进一步加强塑料污染治理的意见》</w:t>
            </w:r>
            <w:r>
              <w:rPr>
                <w:rFonts w:hint="default" w:ascii="Times New Roman" w:hAnsi="Times New Roman" w:cs="Times New Roman"/>
                <w:b/>
                <w:bCs/>
                <w:color w:val="auto"/>
                <w:sz w:val="24"/>
                <w:szCs w:val="24"/>
                <w:highlight w:val="none"/>
                <w:lang w:eastAsia="zh-CN"/>
              </w:rPr>
              <w:t>（2020年1月16日实施）</w:t>
            </w:r>
            <w:r>
              <w:rPr>
                <w:rFonts w:hint="eastAsia"/>
                <w:b/>
                <w:bCs/>
                <w:color w:val="auto"/>
                <w:sz w:val="24"/>
                <w:szCs w:val="24"/>
                <w:highlight w:val="none"/>
                <w:lang w:val="en-US" w:eastAsia="zh-CN"/>
              </w:rPr>
              <w:t>符合性分析</w:t>
            </w:r>
          </w:p>
          <w:p>
            <w:pPr>
              <w:spacing w:line="360" w:lineRule="auto"/>
              <w:ind w:firstLine="480" w:firstLineChars="200"/>
              <w:rPr>
                <w:rFonts w:hint="default" w:ascii="宋体" w:hAnsi="宋体" w:cs="宋体"/>
                <w:color w:val="auto"/>
                <w:sz w:val="24"/>
                <w:highlight w:val="none"/>
                <w:lang w:val="en-US" w:eastAsia="zh-CN"/>
              </w:rPr>
            </w:pPr>
            <w:r>
              <w:rPr>
                <w:rFonts w:hint="default" w:ascii="宋体" w:hAnsi="宋体" w:cs="宋体"/>
                <w:color w:val="auto"/>
                <w:sz w:val="24"/>
                <w:highlight w:val="none"/>
                <w:lang w:val="en-US" w:eastAsia="zh-CN"/>
              </w:rPr>
              <w:t>项目与《关于进一步加强塑料污染治理的意见》符合性分析见表</w:t>
            </w:r>
            <w:r>
              <w:rPr>
                <w:rFonts w:hint="default" w:ascii="Times New Roman" w:hAnsi="Times New Roman" w:cs="Times New Roman"/>
                <w:color w:val="auto"/>
                <w:sz w:val="24"/>
                <w:highlight w:val="none"/>
                <w:lang w:val="en-US" w:eastAsia="zh-CN"/>
              </w:rPr>
              <w:t>1-2</w:t>
            </w:r>
            <w:r>
              <w:rPr>
                <w:rFonts w:hint="default" w:ascii="宋体" w:hAnsi="宋体" w:cs="宋体"/>
                <w:color w:val="auto"/>
                <w:sz w:val="24"/>
                <w:highlight w:val="none"/>
                <w:lang w:val="en-US" w:eastAsia="zh-CN"/>
              </w:rPr>
              <w:t>。</w:t>
            </w:r>
          </w:p>
          <w:p>
            <w:pPr>
              <w:spacing w:line="240" w:lineRule="auto"/>
              <w:jc w:val="center"/>
              <w:rPr>
                <w:rFonts w:hint="default" w:ascii="宋体" w:hAnsi="宋体" w:cs="宋体"/>
                <w:b/>
                <w:bCs/>
                <w:color w:val="auto"/>
                <w:sz w:val="24"/>
                <w:highlight w:val="none"/>
                <w:lang w:val="en-US" w:eastAsia="zh-CN"/>
              </w:rPr>
            </w:pPr>
            <w:r>
              <w:rPr>
                <w:rFonts w:hint="default" w:ascii="Times New Roman" w:hAnsi="Times New Roman" w:cs="Times New Roman"/>
                <w:b/>
                <w:bCs/>
                <w:color w:val="auto"/>
                <w:sz w:val="24"/>
                <w:highlight w:val="none"/>
                <w:lang w:val="en-US" w:eastAsia="zh-CN"/>
              </w:rPr>
              <w:t xml:space="preserve">表1-2 </w:t>
            </w:r>
            <w:r>
              <w:rPr>
                <w:rFonts w:hint="eastAsia" w:ascii="宋体" w:hAnsi="宋体" w:cs="宋体"/>
                <w:b/>
                <w:bCs/>
                <w:color w:val="auto"/>
                <w:sz w:val="24"/>
                <w:highlight w:val="none"/>
                <w:lang w:val="en-US" w:eastAsia="zh-CN"/>
              </w:rPr>
              <w:t xml:space="preserve"> </w:t>
            </w:r>
            <w:r>
              <w:rPr>
                <w:rFonts w:hint="default" w:ascii="宋体" w:hAnsi="宋体" w:cs="宋体"/>
                <w:b/>
                <w:bCs/>
                <w:color w:val="auto"/>
                <w:sz w:val="24"/>
                <w:highlight w:val="none"/>
                <w:lang w:val="en-US" w:eastAsia="zh-CN"/>
              </w:rPr>
              <w:t>与《关于进一步加强塑料污染治理的意见》符合性分析</w:t>
            </w:r>
          </w:p>
          <w:tbl>
            <w:tblPr>
              <w:tblStyle w:val="23"/>
              <w:tblW w:w="499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58"/>
              <w:gridCol w:w="553"/>
              <w:gridCol w:w="3303"/>
              <w:gridCol w:w="1651"/>
              <w:gridCol w:w="6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15"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序号</w:t>
                  </w:r>
                </w:p>
              </w:tc>
              <w:tc>
                <w:tcPr>
                  <w:tcW w:w="412"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要求</w:t>
                  </w:r>
                </w:p>
              </w:tc>
              <w:tc>
                <w:tcPr>
                  <w:tcW w:w="2461"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内容</w:t>
                  </w:r>
                </w:p>
              </w:tc>
              <w:tc>
                <w:tcPr>
                  <w:tcW w:w="1230"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项目情况</w:t>
                  </w:r>
                </w:p>
              </w:tc>
              <w:tc>
                <w:tcPr>
                  <w:tcW w:w="480"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15" w:type="pct"/>
                  <w:vMerge w:val="restart"/>
                  <w:tcBorders>
                    <w:tl2br w:val="nil"/>
                    <w:tr2bl w:val="nil"/>
                  </w:tcBorders>
                  <w:noWrap w:val="0"/>
                  <w:vAlign w:val="center"/>
                </w:tcPr>
                <w:p>
                  <w:pPr>
                    <w:pStyle w:val="14"/>
                    <w:numPr>
                      <w:ilvl w:val="0"/>
                      <w:numId w:val="1"/>
                    </w:numPr>
                    <w:ind w:left="425" w:leftChars="0" w:hanging="425" w:firstLineChars="0"/>
                    <w:jc w:val="center"/>
                    <w:rPr>
                      <w:rFonts w:hint="default" w:ascii="Times New Roman" w:hAnsi="Times New Roman" w:eastAsia="宋体" w:cs="Times New Roman"/>
                      <w:color w:val="auto"/>
                      <w:sz w:val="21"/>
                      <w:szCs w:val="21"/>
                      <w:highlight w:val="none"/>
                      <w:vertAlign w:val="baseline"/>
                      <w:lang w:val="en-US" w:eastAsia="zh-CN"/>
                    </w:rPr>
                  </w:pPr>
                </w:p>
              </w:tc>
              <w:tc>
                <w:tcPr>
                  <w:tcW w:w="412" w:type="pct"/>
                  <w:vMerge w:val="restar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总体要求</w:t>
                  </w:r>
                </w:p>
              </w:tc>
              <w:tc>
                <w:tcPr>
                  <w:tcW w:w="2461"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指导思想。以习近平新时代中国特色社会主义思想为指导，全面贯彻党的十九大和</w:t>
                  </w:r>
                  <w:r>
                    <w:rPr>
                      <w:rFonts w:hint="eastAsia" w:ascii="Times New Roman" w:hAnsi="Times New Roman" w:cs="Times New Roman"/>
                      <w:color w:val="auto"/>
                      <w:sz w:val="21"/>
                      <w:szCs w:val="21"/>
                      <w:highlight w:val="none"/>
                      <w:vertAlign w:val="baseline"/>
                      <w:lang w:val="en-US" w:eastAsia="zh-CN"/>
                    </w:rPr>
                    <w:t>党的十九届二中、三中、</w:t>
                  </w:r>
                  <w:r>
                    <w:rPr>
                      <w:rFonts w:hint="default" w:ascii="Times New Roman" w:hAnsi="Times New Roman" w:eastAsia="宋体" w:cs="Times New Roman"/>
                      <w:color w:val="auto"/>
                      <w:sz w:val="21"/>
                      <w:szCs w:val="21"/>
                      <w:highlight w:val="none"/>
                      <w:vertAlign w:val="baseline"/>
                      <w:lang w:val="en-US" w:eastAsia="zh-CN"/>
                    </w:rPr>
                    <w:t>四中全会精神，坚持以人民为中心，牢固树立新发展理念，有序禁止、限制部分塑料制品的生产、销售和使用，积极推广替代产品，规范塑料废弃物回收利用，建立健全塑料制品生产、流通、使用、回收处置等环节的管理制度，有力有序有效治理塑料污染，努力建设美丽中国。</w:t>
                  </w:r>
                </w:p>
              </w:tc>
              <w:tc>
                <w:tcPr>
                  <w:tcW w:w="1230"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w:t>
                  </w:r>
                  <w:r>
                    <w:rPr>
                      <w:rFonts w:hint="eastAsia" w:ascii="Times New Roman" w:hAnsi="Times New Roman" w:eastAsia="宋体" w:cs="Times New Roman"/>
                      <w:color w:val="auto"/>
                      <w:sz w:val="21"/>
                      <w:szCs w:val="21"/>
                      <w:highlight w:val="none"/>
                      <w:vertAlign w:val="baseline"/>
                      <w:lang w:val="en-US" w:eastAsia="zh-CN"/>
                    </w:rPr>
                    <w:t>属于塑料废弃物回收利用</w:t>
                  </w:r>
                  <w:r>
                    <w:rPr>
                      <w:rFonts w:hint="eastAsia" w:ascii="Times New Roman" w:hAnsi="Times New Roman" w:cs="Times New Roman"/>
                      <w:color w:val="auto"/>
                      <w:sz w:val="21"/>
                      <w:szCs w:val="21"/>
                      <w:highlight w:val="none"/>
                      <w:vertAlign w:val="baseline"/>
                      <w:lang w:val="en-US" w:eastAsia="zh-CN"/>
                    </w:rPr>
                    <w:t>项目</w:t>
                  </w:r>
                  <w:r>
                    <w:rPr>
                      <w:rFonts w:hint="eastAsia" w:ascii="Times New Roman" w:hAnsi="Times New Roman" w:eastAsia="宋体"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只涉及破碎、清洗及分选工艺，企业</w:t>
                  </w:r>
                  <w:r>
                    <w:rPr>
                      <w:rFonts w:hint="default" w:ascii="Times New Roman" w:hAnsi="Times New Roman" w:eastAsia="宋体" w:cs="Times New Roman"/>
                      <w:color w:val="auto"/>
                      <w:sz w:val="21"/>
                      <w:szCs w:val="21"/>
                      <w:highlight w:val="none"/>
                      <w:vertAlign w:val="baseline"/>
                      <w:lang w:val="en-US" w:eastAsia="zh-CN"/>
                    </w:rPr>
                    <w:t>建立健全生产、流通、使用、回收处置等环节的管理制度。</w:t>
                  </w:r>
                </w:p>
              </w:tc>
              <w:tc>
                <w:tcPr>
                  <w:tcW w:w="480" w:type="pct"/>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lang w:val="en-US" w:eastAsia="zh-CN" w:bidi="ar"/>
                    </w:rPr>
                    <w:t>符合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8" w:hRule="atLeast"/>
                <w:jc w:val="center"/>
              </w:trPr>
              <w:tc>
                <w:tcPr>
                  <w:tcW w:w="415" w:type="pct"/>
                  <w:vMerge w:val="continue"/>
                  <w:tcBorders>
                    <w:tl2br w:val="nil"/>
                    <w:tr2bl w:val="nil"/>
                  </w:tcBorders>
                  <w:noWrap w:val="0"/>
                  <w:vAlign w:val="center"/>
                </w:tcPr>
                <w:p>
                  <w:pPr>
                    <w:pStyle w:val="14"/>
                    <w:ind w:left="425" w:leftChars="0" w:hanging="425" w:firstLineChars="0"/>
                    <w:jc w:val="center"/>
                    <w:rPr>
                      <w:rFonts w:hint="default" w:ascii="Times New Roman" w:hAnsi="Times New Roman" w:eastAsia="宋体" w:cs="Times New Roman"/>
                      <w:color w:val="auto"/>
                      <w:sz w:val="21"/>
                      <w:szCs w:val="21"/>
                      <w:highlight w:val="none"/>
                      <w:vertAlign w:val="baseline"/>
                      <w:lang w:val="en-US" w:eastAsia="zh-CN"/>
                    </w:rPr>
                  </w:pPr>
                </w:p>
              </w:tc>
              <w:tc>
                <w:tcPr>
                  <w:tcW w:w="412" w:type="pct"/>
                  <w:vMerge w:val="continue"/>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p>
              </w:tc>
              <w:tc>
                <w:tcPr>
                  <w:tcW w:w="2461"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主要目标。到2020年，率先在部分地区、部分领域禁止、限制部分塑料制品的生产、销售和使用。到2022年，一次性塑料制品消费量明显减少，替代产品得到推广，塑料废弃物资源化能源化利用比例大幅提升；在塑料污染问题突出领域和电商、快递、外卖等新兴领域，形成一批可复制、可推广的塑料减量和绿色物流模式。到2025年，塑料制品生产、流通、消费和回收处置等环节的管理制度基本建立，多元共治体系基本形成，替代产品开发应用水平进一步提升，重点城市塑料垃圾填埋量大幅降低，塑料污染得到有效控制。</w:t>
                  </w:r>
                </w:p>
              </w:tc>
              <w:tc>
                <w:tcPr>
                  <w:tcW w:w="1230"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本项目为</w:t>
                  </w:r>
                  <w:r>
                    <w:rPr>
                      <w:rFonts w:hint="eastAsia" w:ascii="Times New Roman" w:hAnsi="Times New Roman" w:cs="Times New Roman"/>
                      <w:color w:val="auto"/>
                      <w:sz w:val="21"/>
                      <w:szCs w:val="21"/>
                      <w:highlight w:val="none"/>
                      <w:vertAlign w:val="baseline"/>
                      <w:lang w:val="en-US" w:eastAsia="zh-CN"/>
                    </w:rPr>
                    <w:t>废塑料回收利用</w:t>
                  </w:r>
                  <w:r>
                    <w:rPr>
                      <w:rFonts w:hint="eastAsia" w:ascii="Times New Roman" w:hAnsi="Times New Roman" w:eastAsia="宋体" w:cs="Times New Roman"/>
                      <w:color w:val="auto"/>
                      <w:sz w:val="21"/>
                      <w:szCs w:val="21"/>
                      <w:highlight w:val="none"/>
                      <w:vertAlign w:val="baseline"/>
                      <w:lang w:val="en-US" w:eastAsia="zh-CN"/>
                    </w:rPr>
                    <w:t>项目</w:t>
                  </w:r>
                  <w:r>
                    <w:rPr>
                      <w:rFonts w:hint="default" w:ascii="Times New Roman" w:hAnsi="Times New Roman" w:eastAsia="宋体"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只涉及废塑料回收、破碎、清洗、分选，不涉及</w:t>
                  </w:r>
                  <w:r>
                    <w:rPr>
                      <w:rFonts w:hint="default" w:ascii="Times New Roman" w:hAnsi="Times New Roman" w:eastAsia="宋体" w:cs="Times New Roman"/>
                      <w:color w:val="auto"/>
                      <w:sz w:val="21"/>
                      <w:szCs w:val="21"/>
                      <w:highlight w:val="none"/>
                      <w:vertAlign w:val="baseline"/>
                      <w:lang w:val="en-US" w:eastAsia="zh-CN"/>
                    </w:rPr>
                    <w:t>塑料制品的生产</w:t>
                  </w:r>
                  <w:r>
                    <w:rPr>
                      <w:rFonts w:hint="eastAsia" w:ascii="Times New Roman" w:hAnsi="Times New Roman" w:eastAsia="宋体"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可以对废旧塑料进行高效的综合利用。</w:t>
                  </w:r>
                </w:p>
              </w:tc>
              <w:tc>
                <w:tcPr>
                  <w:tcW w:w="480" w:type="pct"/>
                  <w:tcBorders>
                    <w:tl2br w:val="nil"/>
                    <w:tr2bl w:val="nil"/>
                  </w:tcBorders>
                  <w:noWrap w:val="0"/>
                  <w:vAlign w:val="center"/>
                </w:tcPr>
                <w:p>
                  <w:pPr>
                    <w:keepNext w:val="0"/>
                    <w:keepLines w:val="0"/>
                    <w:widowControl/>
                    <w:suppressLineNumbers w:val="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lang w:val="en-US" w:eastAsia="zh-CN" w:bidi="ar"/>
                    </w:rPr>
                    <w:t>符合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15" w:type="pct"/>
                  <w:tcBorders>
                    <w:tl2br w:val="nil"/>
                    <w:tr2bl w:val="nil"/>
                  </w:tcBorders>
                  <w:noWrap w:val="0"/>
                  <w:vAlign w:val="center"/>
                </w:tcPr>
                <w:p>
                  <w:pPr>
                    <w:pStyle w:val="14"/>
                    <w:numPr>
                      <w:ilvl w:val="0"/>
                      <w:numId w:val="1"/>
                    </w:numPr>
                    <w:ind w:left="425" w:leftChars="0" w:hanging="425" w:firstLineChars="0"/>
                    <w:jc w:val="center"/>
                    <w:rPr>
                      <w:rFonts w:hint="default" w:ascii="Times New Roman" w:hAnsi="Times New Roman" w:eastAsia="宋体" w:cs="Times New Roman"/>
                      <w:color w:val="auto"/>
                      <w:sz w:val="21"/>
                      <w:szCs w:val="21"/>
                      <w:highlight w:val="none"/>
                      <w:vertAlign w:val="baseline"/>
                      <w:lang w:val="en-US" w:eastAsia="zh-CN"/>
                    </w:rPr>
                  </w:pPr>
                </w:p>
              </w:tc>
              <w:tc>
                <w:tcPr>
                  <w:tcW w:w="412"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推广应用替代产品和模式</w:t>
                  </w:r>
                </w:p>
              </w:tc>
              <w:tc>
                <w:tcPr>
                  <w:tcW w:w="2461"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增加绿色产品供给。塑料制品生产企业要严格执行有关法律法规，生产符合相关标准的塑料制品，不得违规添加对人体、环境有害的化学添加剂。推行绿色设计，提升塑料制品的安全性和回收利用性能。积极采用新型绿色环保功能材料，增加使用符合质量控制标准和用途管制要求的再生塑料，加强可循环、易回收、可降解替代材料和产品研发，降低应用成本，有效增加绿色产品供给。</w:t>
                  </w:r>
                </w:p>
              </w:tc>
              <w:tc>
                <w:tcPr>
                  <w:tcW w:w="1230"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w:t>
                  </w:r>
                  <w:r>
                    <w:rPr>
                      <w:rFonts w:hint="eastAsia" w:ascii="Times New Roman" w:hAnsi="Times New Roman" w:eastAsia="宋体" w:cs="Times New Roman"/>
                      <w:color w:val="auto"/>
                      <w:sz w:val="21"/>
                      <w:szCs w:val="21"/>
                      <w:highlight w:val="none"/>
                      <w:vertAlign w:val="baseline"/>
                      <w:lang w:val="en-US" w:eastAsia="zh-CN"/>
                    </w:rPr>
                    <w:t>原料为</w:t>
                  </w:r>
                  <w:r>
                    <w:rPr>
                      <w:rFonts w:hint="eastAsia" w:ascii="Times New Roman" w:hAnsi="Times New Roman" w:cs="Times New Roman"/>
                      <w:color w:val="auto"/>
                      <w:sz w:val="21"/>
                      <w:szCs w:val="21"/>
                      <w:highlight w:val="none"/>
                      <w:vertAlign w:val="baseline"/>
                      <w:lang w:val="en-US" w:eastAsia="zh-CN"/>
                    </w:rPr>
                    <w:t>废塑料</w:t>
                  </w:r>
                  <w:r>
                    <w:rPr>
                      <w:rFonts w:hint="eastAsia" w:ascii="Times New Roman" w:hAnsi="Times New Roman" w:eastAsia="宋体" w:cs="Times New Roman"/>
                      <w:color w:val="auto"/>
                      <w:sz w:val="21"/>
                      <w:szCs w:val="21"/>
                      <w:highlight w:val="none"/>
                      <w:vertAlign w:val="baseline"/>
                      <w:lang w:val="en-US" w:eastAsia="zh-CN"/>
                    </w:rPr>
                    <w:t>，不添加对</w:t>
                  </w:r>
                  <w:r>
                    <w:rPr>
                      <w:rFonts w:hint="default" w:ascii="Times New Roman" w:hAnsi="Times New Roman" w:eastAsia="宋体" w:cs="Times New Roman"/>
                      <w:color w:val="auto"/>
                      <w:sz w:val="21"/>
                      <w:szCs w:val="21"/>
                      <w:highlight w:val="none"/>
                      <w:vertAlign w:val="baseline"/>
                      <w:lang w:val="en-US" w:eastAsia="zh-CN"/>
                    </w:rPr>
                    <w:t>人体、环境有害的化学添加剂。</w:t>
                  </w:r>
                </w:p>
              </w:tc>
              <w:tc>
                <w:tcPr>
                  <w:tcW w:w="480"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lang w:val="en-US" w:eastAsia="zh-CN" w:bidi="ar"/>
                    </w:rPr>
                    <w:t>符合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415" w:type="pct"/>
                  <w:tcBorders>
                    <w:tl2br w:val="nil"/>
                    <w:tr2bl w:val="nil"/>
                  </w:tcBorders>
                  <w:noWrap w:val="0"/>
                  <w:vAlign w:val="center"/>
                </w:tcPr>
                <w:p>
                  <w:pPr>
                    <w:pStyle w:val="14"/>
                    <w:numPr>
                      <w:ilvl w:val="0"/>
                      <w:numId w:val="1"/>
                    </w:numPr>
                    <w:ind w:left="425" w:leftChars="0" w:hanging="425" w:firstLineChars="0"/>
                    <w:jc w:val="center"/>
                    <w:rPr>
                      <w:rFonts w:hint="default" w:ascii="Times New Roman" w:hAnsi="Times New Roman" w:eastAsia="宋体" w:cs="Times New Roman"/>
                      <w:color w:val="auto"/>
                      <w:sz w:val="21"/>
                      <w:szCs w:val="21"/>
                      <w:highlight w:val="none"/>
                      <w:vertAlign w:val="baseline"/>
                      <w:lang w:val="en-US" w:eastAsia="zh-CN"/>
                    </w:rPr>
                  </w:pPr>
                </w:p>
              </w:tc>
              <w:tc>
                <w:tcPr>
                  <w:tcW w:w="412"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规范塑料废弃物回收利用和处置</w:t>
                  </w:r>
                </w:p>
              </w:tc>
              <w:tc>
                <w:tcPr>
                  <w:tcW w:w="2461"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推进资源化能源化利用。推动塑料废弃物资源化利用的规范化、集中化和产业化，相关项目要向资源循环利用基地等园区集聚，提高塑料废弃物资源化利用水平。分拣成本高、不宜资源化利用的塑料废弃物要推进能源化利用，加强垃圾焚烧发电等企业的运行管理，确保各类污染物稳定达标排放，并最大限度降低塑料垃圾直接填埋量。</w:t>
                  </w:r>
                </w:p>
              </w:tc>
              <w:tc>
                <w:tcPr>
                  <w:tcW w:w="1230"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本项目为塑料废弃物资源化利用项目，</w:t>
                  </w:r>
                  <w:r>
                    <w:rPr>
                      <w:rFonts w:hint="eastAsia" w:ascii="Times New Roman" w:hAnsi="Times New Roman" w:cs="Times New Roman"/>
                      <w:color w:val="auto"/>
                      <w:sz w:val="21"/>
                      <w:szCs w:val="21"/>
                      <w:highlight w:val="none"/>
                      <w:vertAlign w:val="baseline"/>
                      <w:lang w:val="en-US" w:eastAsia="zh-CN"/>
                    </w:rPr>
                    <w:t>项目污染物实现稳定达标排放</w:t>
                  </w:r>
                  <w:r>
                    <w:rPr>
                      <w:rFonts w:hint="eastAsia" w:ascii="Times New Roman" w:hAnsi="Times New Roman" w:eastAsia="宋体" w:cs="Times New Roman"/>
                      <w:color w:val="auto"/>
                      <w:sz w:val="21"/>
                      <w:szCs w:val="21"/>
                      <w:highlight w:val="none"/>
                      <w:vertAlign w:val="baseline"/>
                      <w:lang w:val="en-US" w:eastAsia="zh-CN"/>
                    </w:rPr>
                    <w:t>，不涉及塑料垃圾的填埋</w:t>
                  </w:r>
                  <w:r>
                    <w:rPr>
                      <w:rFonts w:hint="default" w:ascii="Times New Roman" w:hAnsi="Times New Roman" w:eastAsia="宋体" w:cs="Times New Roman"/>
                      <w:color w:val="auto"/>
                      <w:sz w:val="21"/>
                      <w:szCs w:val="21"/>
                      <w:highlight w:val="none"/>
                      <w:vertAlign w:val="baseline"/>
                      <w:lang w:val="en-US" w:eastAsia="zh-CN"/>
                    </w:rPr>
                    <w:t>。</w:t>
                  </w:r>
                </w:p>
              </w:tc>
              <w:tc>
                <w:tcPr>
                  <w:tcW w:w="480" w:type="pct"/>
                  <w:tcBorders>
                    <w:tl2br w:val="nil"/>
                    <w:tr2bl w:val="nil"/>
                  </w:tcBorders>
                  <w:noWrap w:val="0"/>
                  <w:vAlign w:val="center"/>
                </w:tcPr>
                <w:p>
                  <w:pPr>
                    <w:pStyle w:val="14"/>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lang w:val="en-US" w:eastAsia="zh-CN" w:bidi="ar"/>
                    </w:rPr>
                    <w:t>符合</w:t>
                  </w:r>
                </w:p>
              </w:tc>
            </w:tr>
          </w:tbl>
          <w:p>
            <w:pPr>
              <w:spacing w:line="360" w:lineRule="auto"/>
              <w:ind w:firstLine="481" w:firstLineChars="200"/>
              <w:outlineLvl w:val="9"/>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4</w:t>
            </w:r>
            <w:r>
              <w:rPr>
                <w:rFonts w:hint="default" w:ascii="Times New Roman" w:hAnsi="Times New Roman" w:eastAsia="宋体" w:cs="Times New Roman"/>
                <w:b/>
                <w:bCs/>
                <w:color w:val="auto"/>
                <w:sz w:val="24"/>
                <w:highlight w:val="none"/>
                <w:lang w:val="en-US" w:eastAsia="zh-CN"/>
              </w:rPr>
              <w:t>、与《鄂尔多斯市国民经济和社会发展第十四个五年规划》</w:t>
            </w:r>
            <w:r>
              <w:rPr>
                <w:rFonts w:hint="eastAsia" w:ascii="Times New Roman" w:hAnsi="Times New Roman" w:cs="Times New Roman"/>
                <w:b/>
                <w:bCs/>
                <w:color w:val="auto"/>
                <w:sz w:val="24"/>
                <w:highlight w:val="none"/>
                <w:lang w:val="en-US" w:eastAsia="zh-CN"/>
              </w:rPr>
              <w:t>及《鄂尔多斯市“十四五”塑料污染治理行动方案》</w:t>
            </w:r>
            <w:r>
              <w:rPr>
                <w:rFonts w:hint="default" w:ascii="Times New Roman" w:hAnsi="Times New Roman" w:eastAsia="宋体" w:cs="Times New Roman"/>
                <w:b/>
                <w:bCs/>
                <w:color w:val="auto"/>
                <w:sz w:val="24"/>
                <w:highlight w:val="none"/>
                <w:lang w:val="en-US" w:eastAsia="zh-CN"/>
              </w:rPr>
              <w:t>符合性分析</w:t>
            </w:r>
          </w:p>
          <w:p>
            <w:pPr>
              <w:pStyle w:val="5"/>
              <w:spacing w:line="360" w:lineRule="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4"/>
                <w:szCs w:val="24"/>
                <w:highlight w:val="none"/>
                <w:lang w:val="en-US" w:eastAsia="zh-CN"/>
              </w:rPr>
              <w:t>《鄂尔多斯市国民经济和社会发展第十四个五年规划》中提出“强化工业固体废物、建筑垃圾等环境污染防治，提高固体废物资源利用率。全面整治尾矿、工业副产石膏以及脱硫、脱硝、除尘产生固体废物的堆存场所，完善防扬散、防流失、防渗漏等设施，制定整治方案并有序实施。加强涉重金属行业污染防控。强化危险固废、医疗废物等安全处置，加强对电子废物、废轮胎、废塑料等再生利用。加强污水处理厂污泥处置”及“实行最严格的水资源管理制度，开展深度节水控水行动和水效领跑者引领行动，全面推进节水型社会建设。实施沿黄灌区农业高效节水工程，加大灌溉农业区干支渠和末级渠系配套和节水设施，大力推广渠道防渗、管道输水、喷灌滴灌、智能喷灌等节水技术，提升改造沿黄灌区盐碱地灌排水系统，逐步改变大水漫灌方式。”本项目产品滴灌带是灌溉必要设备，随着高效节水灌溉工程的进行，滴灌带需求量必定增加，本项目</w:t>
            </w:r>
            <w:r>
              <w:rPr>
                <w:rFonts w:hint="eastAsia" w:ascii="Times New Roman" w:hAnsi="Times New Roman" w:cs="Times New Roman"/>
                <w:color w:val="auto"/>
                <w:sz w:val="24"/>
                <w:szCs w:val="24"/>
                <w:highlight w:val="none"/>
                <w:lang w:val="en-US" w:eastAsia="zh-CN"/>
              </w:rPr>
              <w:t>可以有效提高</w:t>
            </w:r>
            <w:r>
              <w:rPr>
                <w:rFonts w:hint="default" w:ascii="Times New Roman" w:hAnsi="Times New Roman" w:eastAsia="宋体" w:cs="Times New Roman"/>
                <w:color w:val="auto"/>
                <w:sz w:val="24"/>
                <w:szCs w:val="24"/>
                <w:highlight w:val="none"/>
                <w:lang w:val="en-US" w:eastAsia="zh-CN"/>
              </w:rPr>
              <w:t>废塑料再生利用</w:t>
            </w:r>
            <w:r>
              <w:rPr>
                <w:rFonts w:hint="eastAsia" w:ascii="Times New Roman" w:hAnsi="Times New Roman" w:eastAsia="宋体" w:cs="Times New Roman"/>
                <w:color w:val="auto"/>
                <w:sz w:val="24"/>
                <w:szCs w:val="24"/>
                <w:highlight w:val="none"/>
                <w:lang w:val="en-US" w:eastAsia="zh-CN"/>
              </w:rPr>
              <w:t>率</w:t>
            </w:r>
            <w:r>
              <w:rPr>
                <w:rFonts w:hint="default" w:ascii="Times New Roman" w:hAnsi="Times New Roman" w:eastAsia="宋体" w:cs="Times New Roman"/>
                <w:color w:val="auto"/>
                <w:sz w:val="24"/>
                <w:szCs w:val="24"/>
                <w:highlight w:val="none"/>
                <w:lang w:val="en-US" w:eastAsia="zh-CN"/>
              </w:rPr>
              <w:t>，故符合该规划</w:t>
            </w:r>
            <w:r>
              <w:rPr>
                <w:rFonts w:hint="eastAsia" w:ascii="Times New Roman" w:hAnsi="Times New Roman" w:cs="Times New Roman"/>
                <w:color w:val="auto"/>
                <w:sz w:val="24"/>
                <w:szCs w:val="24"/>
                <w:highlight w:val="none"/>
                <w:lang w:val="en-US" w:eastAsia="zh-CN"/>
              </w:rPr>
              <w:t>；《鄂尔多斯市“十四五”塑料污染治理行动方案》中指出“工作目标到2025年，全市塑料污染治理机制更加完善，多元主体责任有效落实，塑料制品生产、流通、消费、回收利用、末端处置全链条治理成效更加显著，白色污染得到有效遏制”本项目采用先进的塑料处理设备及工艺，且生产规模较小，产生的分拣废物（金属碎屑）经收集后，定期外售回收单位，不外排，因此本项目符合该方案</w:t>
            </w:r>
            <w:r>
              <w:rPr>
                <w:rFonts w:hint="default" w:ascii="Times New Roman" w:hAnsi="Times New Roman" w:eastAsia="宋体" w:cs="Times New Roman"/>
                <w:color w:val="auto"/>
                <w:sz w:val="24"/>
                <w:szCs w:val="24"/>
                <w:highlight w:val="none"/>
                <w:lang w:val="en-US" w:eastAsia="zh-CN"/>
              </w:rPr>
              <w:t>。</w:t>
            </w:r>
          </w:p>
          <w:p>
            <w:pPr>
              <w:numPr>
                <w:ilvl w:val="0"/>
                <w:numId w:val="0"/>
              </w:numPr>
              <w:adjustRightInd w:val="0"/>
              <w:snapToGrid w:val="0"/>
              <w:spacing w:line="360" w:lineRule="auto"/>
              <w:ind w:firstLine="481" w:firstLineChars="20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5、与《废塑料污染控制技术规范》符合性分析</w:t>
            </w:r>
          </w:p>
          <w:p>
            <w:pPr>
              <w:numPr>
                <w:ilvl w:val="0"/>
                <w:numId w:val="0"/>
              </w:numPr>
              <w:adjustRightInd w:val="0"/>
              <w:snapToGrid w:val="0"/>
              <w:spacing w:line="360" w:lineRule="auto"/>
              <w:ind w:firstLine="480" w:firstLineChars="200"/>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根据《废塑料污染控制技术规范》产生污染物控制要求中“工业园废塑料污染控制要求：废塑料产生企业应根据材质特性以及再生利用和处置方式，对下脚料、边角料、残次品、废弃塑料制品、废弃塑料包装物等进行分类收集、贮存，并建立废塑料管理台账，内容包括废塑料的种类、数量、去向等，相关台账应保存至少3年”，本项目将回收的废塑料进行处理后定期外售。符合《废塑料污染控制技术规范》要求。</w:t>
            </w:r>
          </w:p>
          <w:p>
            <w:pPr>
              <w:numPr>
                <w:ilvl w:val="0"/>
                <w:numId w:val="0"/>
              </w:numPr>
              <w:adjustRightInd w:val="0"/>
              <w:snapToGrid w:val="0"/>
              <w:spacing w:line="360" w:lineRule="auto"/>
              <w:ind w:firstLine="481" w:firstLineChars="200"/>
              <w:rPr>
                <w:rFonts w:hint="eastAsia"/>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6、</w:t>
            </w:r>
            <w:r>
              <w:rPr>
                <w:rFonts w:hint="eastAsia"/>
                <w:b/>
                <w:bCs/>
                <w:color w:val="auto"/>
                <w:sz w:val="24"/>
                <w:szCs w:val="24"/>
                <w:highlight w:val="none"/>
                <w:lang w:val="en-US" w:eastAsia="zh-CN"/>
              </w:rPr>
              <w:t>选址合理性</w:t>
            </w:r>
          </w:p>
          <w:p>
            <w:pPr>
              <w:autoSpaceDE w:val="0"/>
              <w:autoSpaceDN w:val="0"/>
              <w:adjustRightInd w:val="0"/>
              <w:snapToGrid w:val="0"/>
              <w:spacing w:line="360" w:lineRule="auto"/>
              <w:ind w:firstLine="480" w:firstLineChars="200"/>
              <w:jc w:val="left"/>
              <w:rPr>
                <w:color w:val="auto"/>
                <w:sz w:val="24"/>
                <w:highlight w:val="none"/>
              </w:rPr>
            </w:pPr>
            <w:r>
              <w:rPr>
                <w:color w:val="auto"/>
                <w:sz w:val="24"/>
                <w:highlight w:val="none"/>
              </w:rPr>
              <w:t>本项目为</w:t>
            </w:r>
            <w:r>
              <w:rPr>
                <w:rFonts w:hint="eastAsia" w:ascii="宋体" w:hAnsi="宋体" w:cs="宋体"/>
                <w:color w:val="auto"/>
                <w:sz w:val="24"/>
                <w:highlight w:val="none"/>
                <w:lang w:val="en-US" w:eastAsia="zh-CN"/>
              </w:rPr>
              <w:t>废塑料回收利用</w:t>
            </w:r>
            <w:r>
              <w:rPr>
                <w:rFonts w:hint="eastAsia" w:ascii="宋体" w:hAnsi="宋体" w:cs="宋体"/>
                <w:color w:val="auto"/>
                <w:sz w:val="24"/>
                <w:highlight w:val="none"/>
              </w:rPr>
              <w:t>项目</w:t>
            </w:r>
            <w:r>
              <w:rPr>
                <w:rFonts w:hint="eastAsia"/>
                <w:color w:val="auto"/>
                <w:sz w:val="24"/>
                <w:highlight w:val="none"/>
              </w:rPr>
              <w:t>，位于</w:t>
            </w:r>
            <w:r>
              <w:rPr>
                <w:rFonts w:hint="eastAsia" w:ascii="Times New Roman" w:hAnsi="Times New Roman" w:cs="Times New Roman"/>
                <w:color w:val="auto"/>
                <w:kern w:val="0"/>
                <w:sz w:val="24"/>
                <w:szCs w:val="24"/>
                <w:highlight w:val="none"/>
                <w:lang w:val="en-US" w:eastAsia="zh-CN"/>
              </w:rPr>
              <w:t>鄂尔多斯空港物流园区</w:t>
            </w:r>
            <w:r>
              <w:rPr>
                <w:rFonts w:hint="eastAsia"/>
                <w:color w:val="auto"/>
                <w:sz w:val="24"/>
                <w:highlight w:val="none"/>
              </w:rPr>
              <w:t>，项目中心坐标</w:t>
            </w:r>
            <w:r>
              <w:rPr>
                <w:color w:val="auto"/>
                <w:sz w:val="24"/>
                <w:highlight w:val="none"/>
              </w:rPr>
              <w:t>东经</w:t>
            </w:r>
            <w:r>
              <w:rPr>
                <w:rFonts w:hint="default" w:ascii="Times New Roman" w:hAnsi="Times New Roman" w:cs="Times New Roman"/>
                <w:color w:val="auto"/>
                <w:sz w:val="24"/>
                <w:highlight w:val="none"/>
              </w:rPr>
              <w:t>10</w:t>
            </w:r>
            <w:r>
              <w:rPr>
                <w:rFonts w:hint="default" w:ascii="Times New Roman" w:hAnsi="Times New Roman" w:cs="Times New Roman"/>
                <w:color w:val="auto"/>
                <w:sz w:val="24"/>
                <w:highlight w:val="none"/>
                <w:lang w:val="en-US" w:eastAsia="zh-CN"/>
              </w:rPr>
              <w:t>9</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52</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36.325</w:t>
            </w:r>
            <w:r>
              <w:rPr>
                <w:rFonts w:hint="default" w:ascii="Times New Roman" w:hAnsi="Times New Roman" w:cs="Times New Roman"/>
                <w:color w:val="auto"/>
                <w:sz w:val="24"/>
                <w:highlight w:val="none"/>
              </w:rPr>
              <w:t>″，北纬39°</w:t>
            </w:r>
            <w:r>
              <w:rPr>
                <w:rFonts w:hint="default" w:ascii="Times New Roman" w:hAnsi="Times New Roman" w:cs="Times New Roman"/>
                <w:color w:val="auto"/>
                <w:sz w:val="24"/>
                <w:highlight w:val="none"/>
                <w:lang w:val="en-US" w:eastAsia="zh-CN"/>
              </w:rPr>
              <w:t>32</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10.835</w:t>
            </w:r>
            <w:r>
              <w:rPr>
                <w:rFonts w:hint="default" w:ascii="Times New Roman" w:hAnsi="Times New Roman" w:cs="Times New Roman"/>
                <w:color w:val="auto"/>
                <w:sz w:val="24"/>
                <w:highlight w:val="none"/>
              </w:rPr>
              <w:t>″</w:t>
            </w:r>
            <w:r>
              <w:rPr>
                <w:rFonts w:hint="eastAsia"/>
                <w:color w:val="auto"/>
                <w:sz w:val="24"/>
                <w:highlight w:val="none"/>
              </w:rPr>
              <w:t>，用地属</w:t>
            </w:r>
            <w:r>
              <w:rPr>
                <w:rFonts w:hint="eastAsia"/>
                <w:color w:val="auto"/>
                <w:sz w:val="24"/>
                <w:highlight w:val="none"/>
                <w:lang w:val="en-US" w:eastAsia="zh-CN"/>
              </w:rPr>
              <w:t>工业</w:t>
            </w:r>
            <w:r>
              <w:rPr>
                <w:rFonts w:hint="eastAsia"/>
                <w:color w:val="auto"/>
                <w:sz w:val="24"/>
                <w:highlight w:val="none"/>
              </w:rPr>
              <w:t>用地。项目已与</w:t>
            </w:r>
            <w:r>
              <w:rPr>
                <w:rFonts w:hint="eastAsia" w:ascii="Times New Roman" w:hAnsi="Times New Roman" w:cs="Times New Roman"/>
                <w:color w:val="auto"/>
                <w:kern w:val="0"/>
                <w:sz w:val="24"/>
                <w:szCs w:val="24"/>
                <w:highlight w:val="none"/>
                <w:lang w:val="en-US" w:eastAsia="zh-CN"/>
              </w:rPr>
              <w:t>鄂尔多斯空港物流园区</w:t>
            </w:r>
            <w:r>
              <w:rPr>
                <w:rFonts w:hint="eastAsia"/>
                <w:color w:val="auto"/>
                <w:sz w:val="24"/>
                <w:highlight w:val="none"/>
              </w:rPr>
              <w:t>签订</w:t>
            </w:r>
            <w:r>
              <w:rPr>
                <w:rFonts w:hint="eastAsia"/>
                <w:color w:val="auto"/>
                <w:sz w:val="24"/>
                <w:highlight w:val="none"/>
                <w:lang w:val="en-US" w:eastAsia="zh-CN"/>
              </w:rPr>
              <w:t>入园协议及租地协议</w:t>
            </w:r>
            <w:r>
              <w:rPr>
                <w:rFonts w:hint="eastAsia"/>
                <w:color w:val="auto"/>
                <w:sz w:val="24"/>
                <w:highlight w:val="none"/>
              </w:rPr>
              <w:t>，同意本项目的建设</w:t>
            </w:r>
            <w:r>
              <w:rPr>
                <w:color w:val="auto"/>
                <w:sz w:val="24"/>
                <w:highlight w:val="none"/>
              </w:rPr>
              <w:t>。</w:t>
            </w:r>
            <w:r>
              <w:rPr>
                <w:rFonts w:hint="eastAsia"/>
                <w:color w:val="auto"/>
                <w:sz w:val="24"/>
                <w:highlight w:val="none"/>
              </w:rPr>
              <w:t>项目地范围内无自然保护区、文物保护单位、水源保护区及生态保护红线，在严加管理和措施到位情况下，项目建设对周围环境的影响较小。</w:t>
            </w:r>
          </w:p>
          <w:p>
            <w:pPr>
              <w:spacing w:line="360" w:lineRule="auto"/>
              <w:ind w:firstLine="480" w:firstLineChars="200"/>
              <w:rPr>
                <w:rFonts w:hint="eastAsia"/>
                <w:color w:val="auto"/>
                <w:sz w:val="24"/>
                <w:szCs w:val="24"/>
                <w:highlight w:val="none"/>
                <w:lang w:val="en-US" w:eastAsia="zh-CN"/>
              </w:rPr>
            </w:pPr>
            <w:r>
              <w:rPr>
                <w:rFonts w:hint="eastAsia"/>
                <w:color w:val="auto"/>
                <w:sz w:val="24"/>
                <w:highlight w:val="none"/>
              </w:rPr>
              <w:t>综上所述，本项目选址合理可行。</w:t>
            </w:r>
          </w:p>
          <w:p>
            <w:pPr>
              <w:spacing w:line="360" w:lineRule="auto"/>
              <w:rPr>
                <w:rFonts w:ascii="Times New Roman" w:hAnsi="Times New Roman" w:cs="Times New Roman"/>
                <w:color w:val="auto"/>
                <w:sz w:val="24"/>
                <w:szCs w:val="24"/>
                <w:highlight w:val="none"/>
                <w:lang w:val="en-US"/>
              </w:rPr>
            </w:pPr>
          </w:p>
        </w:tc>
      </w:tr>
    </w:tbl>
    <w:p>
      <w:pPr>
        <w:spacing w:line="360" w:lineRule="auto"/>
        <w:outlineLvl w:val="0"/>
        <w:rPr>
          <w:rFonts w:ascii="Times New Roman" w:hAnsi="Times New Roman" w:eastAsia="黑体" w:cs="Times New Roman"/>
          <w:color w:val="auto"/>
          <w:sz w:val="30"/>
          <w:highlight w:val="none"/>
        </w:rPr>
        <w:sectPr>
          <w:footerReference r:id="rId4" w:type="default"/>
          <w:pgSz w:w="11905" w:h="16838"/>
          <w:pgMar w:top="1440" w:right="879" w:bottom="918" w:left="901" w:header="0" w:footer="737" w:gutter="0"/>
          <w:pgBorders>
            <w:top w:val="none" w:sz="0" w:space="0"/>
            <w:left w:val="none" w:sz="0" w:space="0"/>
            <w:bottom w:val="none" w:sz="0" w:space="0"/>
            <w:right w:val="none" w:sz="0" w:space="0"/>
          </w:pgBorders>
          <w:pgNumType w:fmt="decimal" w:start="1"/>
          <w:cols w:space="0" w:num="1"/>
          <w:rtlGutter w:val="0"/>
          <w:docGrid w:linePitch="312" w:charSpace="0"/>
        </w:sectPr>
      </w:pPr>
    </w:p>
    <w:p>
      <w:pPr>
        <w:pStyle w:val="19"/>
        <w:keepNext w:val="0"/>
        <w:keepLines w:val="0"/>
        <w:pageBreakBefore w:val="0"/>
        <w:widowControl w:val="0"/>
        <w:kinsoku/>
        <w:wordWrap/>
        <w:overflowPunct/>
        <w:topLinePunct w:val="0"/>
        <w:autoSpaceDE w:val="0"/>
        <w:autoSpaceDN w:val="0"/>
        <w:bidi w:val="0"/>
        <w:spacing w:before="0" w:beforeAutospacing="0" w:after="0" w:afterAutospacing="0"/>
        <w:jc w:val="center"/>
        <w:outlineLvl w:val="0"/>
        <w:rPr>
          <w:rFonts w:ascii="Times New Roman" w:hAnsi="Times New Roman" w:eastAsia="黑体" w:cs="Times New Roman"/>
          <w:snapToGrid w:val="0"/>
          <w:color w:val="auto"/>
          <w:sz w:val="30"/>
          <w:szCs w:val="30"/>
          <w:highlight w:val="none"/>
        </w:rPr>
      </w:pPr>
      <w:r>
        <w:rPr>
          <w:rFonts w:ascii="Times New Roman" w:hAnsi="Times New Roman" w:eastAsia="黑体" w:cs="Times New Roman"/>
          <w:snapToGrid w:val="0"/>
          <w:color w:val="auto"/>
          <w:sz w:val="30"/>
          <w:szCs w:val="30"/>
          <w:highlight w:val="none"/>
        </w:rPr>
        <w:t>二、建设项目工程分析</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7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05" w:hRule="atLeast"/>
          <w:jc w:val="center"/>
        </w:trPr>
        <w:tc>
          <w:tcPr>
            <w:tcW w:w="823" w:type="dxa"/>
            <w:vAlign w:val="center"/>
          </w:tcPr>
          <w:p>
            <w:pPr>
              <w:pStyle w:val="19"/>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jc w:val="center"/>
              <w:rPr>
                <w:rFonts w:ascii="Times New Roman" w:hAnsi="Times New Roman" w:cs="Times New Roman"/>
                <w:color w:val="auto"/>
                <w:sz w:val="21"/>
                <w:szCs w:val="21"/>
                <w:highlight w:val="none"/>
              </w:rPr>
            </w:pPr>
            <w:r>
              <w:rPr>
                <w:rFonts w:ascii="Times New Roman" w:hAnsi="Times New Roman" w:cs="Times New Roman"/>
                <w:color w:val="auto"/>
                <w:szCs w:val="24"/>
                <w:highlight w:val="none"/>
              </w:rPr>
              <w:t>建设内容</w:t>
            </w:r>
          </w:p>
        </w:tc>
        <w:tc>
          <w:tcPr>
            <w:tcW w:w="8783" w:type="dxa"/>
          </w:tcPr>
          <w:p>
            <w:pPr>
              <w:keepNext w:val="0"/>
              <w:keepLines w:val="0"/>
              <w:pageBreakBefore w:val="0"/>
              <w:widowControl w:val="0"/>
              <w:kinsoku/>
              <w:wordWrap/>
              <w:overflowPunct/>
              <w:topLinePunct w:val="0"/>
              <w:autoSpaceDE w:val="0"/>
              <w:autoSpaceDN w:val="0"/>
              <w:bidi w:val="0"/>
              <w:spacing w:line="360" w:lineRule="auto"/>
              <w:ind w:firstLine="481" w:firstLineChars="200"/>
              <w:rPr>
                <w:rFonts w:hint="eastAsia" w:ascii="Times New Roman" w:hAnsi="Times New Roman" w:eastAsia="宋体" w:cs="Times New Roman"/>
                <w:b/>
                <w:bCs/>
                <w:color w:val="auto"/>
                <w:sz w:val="24"/>
                <w:highlight w:val="none"/>
                <w:lang w:eastAsia="zh-CN"/>
              </w:rPr>
            </w:pPr>
            <w:r>
              <w:rPr>
                <w:rFonts w:hint="eastAsia" w:ascii="Times New Roman" w:hAnsi="Times New Roman" w:cs="Times New Roman"/>
                <w:b/>
                <w:bCs/>
                <w:color w:val="auto"/>
                <w:sz w:val="24"/>
                <w:highlight w:val="none"/>
                <w:lang w:val="en-US" w:eastAsia="zh-CN"/>
              </w:rPr>
              <w:t>一、</w:t>
            </w:r>
            <w:r>
              <w:rPr>
                <w:rFonts w:ascii="Times New Roman" w:hAnsi="Times New Roman" w:cs="Times New Roman"/>
                <w:b/>
                <w:bCs/>
                <w:color w:val="auto"/>
                <w:sz w:val="24"/>
                <w:highlight w:val="none"/>
              </w:rPr>
              <w:t>项目由来</w:t>
            </w:r>
            <w:r>
              <w:rPr>
                <w:rFonts w:hint="eastAsia" w:ascii="Times New Roman" w:hAnsi="Times New Roman" w:cs="Times New Roman"/>
                <w:b/>
                <w:bCs/>
                <w:color w:val="auto"/>
                <w:sz w:val="24"/>
                <w:highlight w:val="none"/>
                <w:lang w:eastAsia="zh-CN"/>
              </w:rPr>
              <w:t>：</w:t>
            </w:r>
          </w:p>
          <w:p>
            <w:pPr>
              <w:keepNext w:val="0"/>
              <w:keepLines w:val="0"/>
              <w:pageBreakBefore w:val="0"/>
              <w:widowControl w:val="0"/>
              <w:kinsoku/>
              <w:wordWrap/>
              <w:overflowPunct/>
              <w:topLinePunct w:val="0"/>
              <w:autoSpaceDE w:val="0"/>
              <w:autoSpaceDN w:val="0"/>
              <w:bidi w:val="0"/>
              <w:spacing w:line="360" w:lineRule="auto"/>
              <w:ind w:firstLine="470" w:firstLineChars="196"/>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塑料是重要的新材料，是新质生产力的重要组成部分，广泛用于航空航天、光伏、风电、家用电器、食品包装等国民经济各个领域，为人民的美好生活做出巨大贡献，发展极快。新中国成立以来，我国塑料年产量增长近40万倍（注：2022年我国塑料树脂的产量为1.1亿吨），产量、消费量均居世界第一，相关工业如合成树脂工业、塑料加工业、塑料机械工业均成为我国国民经济支柱产业。然而，塑料快速发展和大量使用，也使废弃塑料急剧增加，不规范处理造成严重环境污染和资源浪费</w:t>
            </w:r>
            <w:r>
              <w:rPr>
                <w:rFonts w:hint="eastAsia" w:ascii="Times New Roman" w:hAnsi="Times New Roman" w:cs="Times New Roman"/>
                <w:color w:val="auto"/>
                <w:sz w:val="24"/>
                <w:szCs w:val="24"/>
                <w:highlight w:val="none"/>
                <w:lang w:eastAsia="zh-CN"/>
              </w:rPr>
              <w:t>，</w:t>
            </w:r>
            <w:r>
              <w:rPr>
                <w:color w:val="auto"/>
                <w:spacing w:val="-3"/>
                <w:sz w:val="24"/>
                <w:szCs w:val="24"/>
                <w:highlight w:val="none"/>
              </w:rPr>
              <w:t>为了消除或减少废旧塑料造成</w:t>
            </w:r>
            <w:r>
              <w:rPr>
                <w:color w:val="auto"/>
                <w:spacing w:val="-7"/>
                <w:sz w:val="24"/>
                <w:szCs w:val="24"/>
                <w:highlight w:val="none"/>
              </w:rPr>
              <w:t>的污染，世界各国给予了足够重视，加大了对其研究的投资力度，</w:t>
            </w:r>
            <w:r>
              <w:rPr>
                <w:color w:val="auto"/>
                <w:spacing w:val="-8"/>
                <w:sz w:val="24"/>
                <w:szCs w:val="24"/>
                <w:highlight w:val="none"/>
              </w:rPr>
              <w:t>经过多年的努力，</w:t>
            </w:r>
            <w:r>
              <w:rPr>
                <w:color w:val="auto"/>
                <w:sz w:val="24"/>
                <w:szCs w:val="24"/>
                <w:highlight w:val="none"/>
              </w:rPr>
              <w:t xml:space="preserve"> </w:t>
            </w:r>
            <w:r>
              <w:rPr>
                <w:color w:val="auto"/>
                <w:spacing w:val="-3"/>
                <w:sz w:val="24"/>
                <w:szCs w:val="24"/>
                <w:highlight w:val="none"/>
              </w:rPr>
              <w:t>对处理废旧塑料已基本形成比较有效的四种技术，即焚烧回收能量、填埋、回收再生利用和化学热解回收。经过长期实践证明，回收再生利用是最为适用，应该大力</w:t>
            </w:r>
            <w:r>
              <w:rPr>
                <w:color w:val="auto"/>
                <w:spacing w:val="-1"/>
                <w:sz w:val="24"/>
                <w:szCs w:val="24"/>
                <w:highlight w:val="none"/>
              </w:rPr>
              <w:t>提倡的技术</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val="0"/>
              <w:autoSpaceDN w:val="0"/>
              <w:bidi w:val="0"/>
              <w:spacing w:line="360" w:lineRule="auto"/>
              <w:ind w:right="62" w:rightChars="28" w:firstLine="458" w:firstLineChars="196"/>
              <w:jc w:val="left"/>
              <w:rPr>
                <w:rFonts w:hint="eastAsia" w:ascii="Times New Roman" w:hAnsi="Times New Roman" w:cs="Times New Roman"/>
                <w:color w:val="auto"/>
                <w:sz w:val="24"/>
                <w:szCs w:val="24"/>
                <w:highlight w:val="none"/>
                <w:lang w:val="en-US" w:eastAsia="zh-CN"/>
              </w:rPr>
            </w:pPr>
            <w:r>
              <w:rPr>
                <w:color w:val="auto"/>
                <w:spacing w:val="-3"/>
                <w:sz w:val="24"/>
                <w:szCs w:val="24"/>
                <w:highlight w:val="none"/>
              </w:rPr>
              <w:t>废旧塑料的再生利用分为直接再生利用和改性再生利用。直接</w:t>
            </w:r>
            <w:r>
              <w:rPr>
                <w:color w:val="auto"/>
                <w:spacing w:val="-4"/>
                <w:sz w:val="24"/>
                <w:szCs w:val="24"/>
                <w:highlight w:val="none"/>
              </w:rPr>
              <w:t>再生利用是将回</w:t>
            </w:r>
            <w:r>
              <w:rPr>
                <w:color w:val="auto"/>
                <w:spacing w:val="-3"/>
                <w:sz w:val="24"/>
                <w:szCs w:val="24"/>
                <w:highlight w:val="none"/>
              </w:rPr>
              <w:t>收的废旧塑料制品经过分类、清洗、破碎、造粒，其工艺比较简单，改性再生利用</w:t>
            </w:r>
            <w:r>
              <w:rPr>
                <w:color w:val="auto"/>
                <w:spacing w:val="-1"/>
                <w:sz w:val="24"/>
                <w:szCs w:val="24"/>
                <w:highlight w:val="none"/>
              </w:rPr>
              <w:t>是指将再生塑料通过物理或化学方法改性</w:t>
            </w:r>
            <w:r>
              <w:rPr>
                <w:rFonts w:ascii="Times New Roman" w:hAnsi="Times New Roman" w:eastAsia="Times New Roman" w:cs="Times New Roman"/>
                <w:color w:val="auto"/>
                <w:spacing w:val="-1"/>
                <w:sz w:val="24"/>
                <w:szCs w:val="24"/>
                <w:highlight w:val="none"/>
              </w:rPr>
              <w:t>(</w:t>
            </w:r>
            <w:r>
              <w:rPr>
                <w:color w:val="auto"/>
                <w:spacing w:val="-1"/>
                <w:sz w:val="24"/>
                <w:szCs w:val="24"/>
                <w:highlight w:val="none"/>
              </w:rPr>
              <w:t>如复合、增强、接枝</w:t>
            </w:r>
            <w:r>
              <w:rPr>
                <w:rFonts w:ascii="Times New Roman" w:hAnsi="Times New Roman" w:eastAsia="Times New Roman" w:cs="Times New Roman"/>
                <w:color w:val="auto"/>
                <w:spacing w:val="-1"/>
                <w:sz w:val="24"/>
                <w:szCs w:val="24"/>
                <w:highlight w:val="none"/>
              </w:rPr>
              <w:t>)</w:t>
            </w:r>
            <w:r>
              <w:rPr>
                <w:color w:val="auto"/>
                <w:spacing w:val="-1"/>
                <w:sz w:val="24"/>
                <w:szCs w:val="24"/>
                <w:highlight w:val="none"/>
              </w:rPr>
              <w:t>后，再加工，再生</w:t>
            </w:r>
            <w:r>
              <w:rPr>
                <w:color w:val="auto"/>
                <w:spacing w:val="-3"/>
                <w:sz w:val="24"/>
                <w:szCs w:val="24"/>
                <w:highlight w:val="none"/>
              </w:rPr>
              <w:t>制品性能好。</w:t>
            </w:r>
            <w:r>
              <w:rPr>
                <w:color w:val="auto"/>
                <w:spacing w:val="-43"/>
                <w:sz w:val="24"/>
                <w:szCs w:val="24"/>
                <w:highlight w:val="none"/>
              </w:rPr>
              <w:t xml:space="preserve"> </w:t>
            </w:r>
            <w:r>
              <w:rPr>
                <w:color w:val="auto"/>
                <w:spacing w:val="-3"/>
                <w:sz w:val="24"/>
                <w:szCs w:val="24"/>
                <w:highlight w:val="none"/>
              </w:rPr>
              <w:t>目前废旧塑料的再生利用技术已经广泛应用于农业、渔业、建筑业、</w:t>
            </w:r>
            <w:r>
              <w:rPr>
                <w:color w:val="auto"/>
                <w:spacing w:val="-1"/>
                <w:sz w:val="24"/>
                <w:szCs w:val="24"/>
                <w:highlight w:val="none"/>
              </w:rPr>
              <w:t>工业和日用品等领域。</w:t>
            </w:r>
          </w:p>
          <w:p>
            <w:pPr>
              <w:keepNext w:val="0"/>
              <w:keepLines w:val="0"/>
              <w:pageBreakBefore w:val="0"/>
              <w:widowControl w:val="0"/>
              <w:kinsoku/>
              <w:wordWrap/>
              <w:overflowPunct/>
              <w:topLinePunct w:val="0"/>
              <w:autoSpaceDE w:val="0"/>
              <w:autoSpaceDN w:val="0"/>
              <w:bidi w:val="0"/>
              <w:spacing w:line="360" w:lineRule="auto"/>
              <w:ind w:right="62" w:rightChars="28" w:firstLine="470" w:firstLineChars="196"/>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在此背景下，内蒙古蒙瑞环保科技有限公司拟</w:t>
            </w:r>
            <w:r>
              <w:rPr>
                <w:rFonts w:hint="eastAsia" w:ascii="Times New Roman" w:hAnsi="Times New Roman" w:eastAsia="宋体" w:cs="Times New Roman"/>
                <w:color w:val="auto"/>
                <w:sz w:val="24"/>
                <w:szCs w:val="24"/>
                <w:highlight w:val="none"/>
                <w:lang w:val="en-US" w:eastAsia="zh-CN"/>
              </w:rPr>
              <w:t>投资300万元</w:t>
            </w:r>
            <w:r>
              <w:rPr>
                <w:rFonts w:hint="eastAsia" w:ascii="Times New Roman" w:hAnsi="Times New Roman" w:cs="Times New Roman"/>
                <w:color w:val="auto"/>
                <w:sz w:val="24"/>
                <w:szCs w:val="24"/>
                <w:highlight w:val="none"/>
                <w:lang w:val="en-US" w:eastAsia="zh-CN"/>
              </w:rPr>
              <w:t>租用</w:t>
            </w:r>
            <w:r>
              <w:rPr>
                <w:rFonts w:hint="default" w:ascii="Times New Roman" w:hAnsi="Times New Roman" w:eastAsia="宋体" w:cs="Times New Roman"/>
                <w:color w:val="auto"/>
                <w:sz w:val="24"/>
                <w:szCs w:val="24"/>
                <w:highlight w:val="none"/>
                <w:lang w:val="en-US" w:eastAsia="zh-CN"/>
              </w:rPr>
              <w:t>空港物流园区</w:t>
            </w:r>
            <w:r>
              <w:rPr>
                <w:rFonts w:hint="eastAsia" w:ascii="Times New Roman" w:hAnsi="Times New Roman" w:eastAsia="宋体" w:cs="Times New Roman"/>
                <w:color w:val="auto"/>
                <w:sz w:val="24"/>
                <w:szCs w:val="24"/>
                <w:highlight w:val="none"/>
                <w:lang w:val="en-US" w:eastAsia="zh-CN"/>
              </w:rPr>
              <w:t>已建成厂房建设“内蒙古蒙瑞环保科技有限公司再生资源废旧塑料回收利用项目”，建设废塑料回收利用生产线</w:t>
            </w:r>
            <w:r>
              <w:rPr>
                <w:rFonts w:hint="eastAsia" w:ascii="Times New Roman" w:hAnsi="Times New Roman"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条，采用初选、破碎、清洗及分选的加工工艺，预计回收利用废塑料约20000吨/年</w:t>
            </w:r>
            <w:r>
              <w:rPr>
                <w:rFonts w:hint="eastAsia" w:ascii="Times New Roman" w:hAnsi="Times New Roman" w:cs="Times New Roman"/>
                <w:color w:val="auto"/>
                <w:sz w:val="24"/>
                <w:szCs w:val="24"/>
                <w:highlight w:val="none"/>
                <w:lang w:val="en-US" w:eastAsia="zh-CN"/>
              </w:rPr>
              <w:t>，回收内蒙古及周边工业生产、生活中产生的废塑料</w:t>
            </w:r>
            <w:r>
              <w:rPr>
                <w:rFonts w:hint="eastAsia" w:ascii="Times New Roman" w:hAnsi="Times New Roman" w:eastAsia="宋体" w:cs="Times New Roman"/>
                <w:color w:val="auto"/>
                <w:sz w:val="24"/>
                <w:szCs w:val="24"/>
                <w:highlight w:val="none"/>
                <w:lang w:val="en-US" w:eastAsia="zh-CN"/>
              </w:rPr>
              <w:t>。</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本项目租用园区已建成空闲标准厂房，厂房占地面积5000m</w:t>
            </w:r>
            <w:r>
              <w:rPr>
                <w:rFonts w:hint="eastAsia" w:ascii="Times New Roman" w:hAnsi="Times New Roman" w:cs="Times New Roman"/>
                <w:color w:val="auto"/>
                <w:highlight w:val="none"/>
                <w:vertAlign w:val="superscript"/>
                <w:lang w:val="en-US" w:eastAsia="zh-CN"/>
              </w:rPr>
              <w:t>2</w:t>
            </w:r>
            <w:r>
              <w:rPr>
                <w:rFonts w:hint="eastAsia" w:ascii="Times New Roman" w:hAnsi="Times New Roman" w:cs="Times New Roman"/>
                <w:color w:val="auto"/>
                <w:highlight w:val="none"/>
                <w:lang w:val="en-US" w:eastAsia="zh-CN"/>
              </w:rPr>
              <w:t>，根据《建设项目环境影响评价分类管理名录》（2021年版）“标准厂房”不占用敏感区，不需要办理环评文件。</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snapToGrid w:val="0"/>
                <w:color w:val="auto"/>
                <w:highlight w:val="none"/>
              </w:rPr>
            </w:pPr>
            <w:r>
              <w:rPr>
                <w:rFonts w:ascii="Times New Roman" w:hAnsi="Times New Roman" w:cs="Times New Roman"/>
                <w:color w:val="auto"/>
                <w:highlight w:val="none"/>
              </w:rPr>
              <w:t>按照《中华人民共和国环境保</w:t>
            </w:r>
            <w:r>
              <w:rPr>
                <w:rFonts w:ascii="Times New Roman" w:hAnsi="Times New Roman" w:cs="Times New Roman"/>
                <w:snapToGrid w:val="0"/>
                <w:color w:val="auto"/>
                <w:highlight w:val="none"/>
              </w:rPr>
              <w:t>护法》《中华人民共和国环境影响评价法》和《建设项目环境保护管理条例》的相关规定，项目应进行环境影响评价。参照《建设项目环境影响评价分类管理名录》</w:t>
            </w:r>
            <w:r>
              <w:rPr>
                <w:rFonts w:hint="eastAsia" w:ascii="Times New Roman" w:hAnsi="Times New Roman" w:cs="Times New Roman"/>
                <w:snapToGrid w:val="0"/>
                <w:color w:val="auto"/>
                <w:highlight w:val="none"/>
                <w:lang w:val="en-US" w:eastAsia="zh-CN"/>
              </w:rPr>
              <w:t>“三十九、废弃资源综合利用业85、金属废料和碎屑加工处理421；非金属废料和碎屑加工处理422（421和422均不含原料为危险废物的，均不含仅分拣、破碎的）中“废弃电器电子产品、废机动车、废电机、废电线电缆、废钢、废铁、金属和金属化合物矿灰及残渣、有色金属废料与碎屑、废塑料、废轮胎、废船、含水洗工艺的其他废料和碎屑加工处理（农业生产产生的废旧秧盘、薄膜破碎和清洗工艺的除外）””</w:t>
            </w:r>
            <w:r>
              <w:rPr>
                <w:rFonts w:ascii="Times New Roman" w:hAnsi="Times New Roman" w:cs="Times New Roman"/>
                <w:snapToGrid w:val="0"/>
                <w:color w:val="auto"/>
                <w:highlight w:val="none"/>
              </w:rPr>
              <w:t>应编制环境影响报告表。</w:t>
            </w:r>
          </w:p>
          <w:p>
            <w:pPr>
              <w:keepNext w:val="0"/>
              <w:keepLines w:val="0"/>
              <w:pageBreakBefore w:val="0"/>
              <w:widowControl w:val="0"/>
              <w:kinsoku/>
              <w:wordWrap/>
              <w:overflowPunct/>
              <w:topLinePunct w:val="0"/>
              <w:autoSpaceDE w:val="0"/>
              <w:autoSpaceDN w:val="0"/>
              <w:bidi w:val="0"/>
              <w:spacing w:line="360" w:lineRule="auto"/>
              <w:ind w:firstLine="480" w:firstLineChars="200"/>
              <w:jc w:val="left"/>
              <w:rPr>
                <w:rFonts w:hint="eastAsia"/>
                <w:b/>
                <w:color w:val="auto"/>
                <w:sz w:val="24"/>
                <w:highlight w:val="none"/>
              </w:rPr>
            </w:pPr>
            <w:bookmarkStart w:id="2" w:name="2、项目概况"/>
            <w:bookmarkEnd w:id="2"/>
            <w:r>
              <w:rPr>
                <w:rFonts w:hint="eastAsia"/>
                <w:bCs/>
                <w:color w:val="auto"/>
                <w:sz w:val="24"/>
                <w:szCs w:val="24"/>
                <w:highlight w:val="none"/>
                <w:lang w:eastAsia="zh-CN"/>
              </w:rPr>
              <w:t>为此内蒙古蒙瑞环保科技有限公司</w:t>
            </w:r>
            <w:r>
              <w:rPr>
                <w:rFonts w:hint="eastAsia"/>
                <w:bCs/>
                <w:color w:val="auto"/>
                <w:sz w:val="24"/>
                <w:szCs w:val="24"/>
                <w:highlight w:val="none"/>
              </w:rPr>
              <w:t>委托鄂尔多斯市嘉鑫环保科技有限责任公司承担本</w:t>
            </w:r>
            <w:r>
              <w:rPr>
                <w:rFonts w:hint="eastAsia"/>
                <w:bCs/>
                <w:color w:val="auto"/>
                <w:sz w:val="24"/>
                <w:szCs w:val="24"/>
                <w:highlight w:val="none"/>
                <w:lang w:eastAsia="zh-CN"/>
              </w:rPr>
              <w:t>报告表的编制工作</w:t>
            </w:r>
            <w:r>
              <w:rPr>
                <w:rFonts w:hint="eastAsia"/>
                <w:bCs/>
                <w:color w:val="auto"/>
                <w:sz w:val="24"/>
                <w:szCs w:val="24"/>
                <w:highlight w:val="none"/>
              </w:rPr>
              <w:t>，我单位接受委托后，即组织有关技术人员进行了现场勘查、资料收集，依据国家环境保护有关法律、法规文件和环境影响评价技术导则，编制了该项目环境影响评价报告表</w:t>
            </w:r>
            <w:r>
              <w:rPr>
                <w:rFonts w:hint="eastAsia"/>
                <w:bCs/>
                <w:color w:val="auto"/>
                <w:sz w:val="24"/>
                <w:szCs w:val="24"/>
                <w:highlight w:val="none"/>
                <w:lang w:eastAsia="zh-CN"/>
              </w:rPr>
              <w:t>，呈报生态环境主管部门审查</w:t>
            </w:r>
            <w:r>
              <w:rPr>
                <w:rFonts w:hint="eastAsia"/>
                <w:bCs/>
                <w:color w:val="auto"/>
                <w:sz w:val="24"/>
                <w:szCs w:val="24"/>
                <w:highlight w:val="none"/>
              </w:rPr>
              <w:t>。</w:t>
            </w:r>
          </w:p>
          <w:p>
            <w:pPr>
              <w:keepNext w:val="0"/>
              <w:keepLines w:val="0"/>
              <w:pageBreakBefore w:val="0"/>
              <w:widowControl w:val="0"/>
              <w:kinsoku/>
              <w:wordWrap/>
              <w:overflowPunct/>
              <w:topLinePunct w:val="0"/>
              <w:autoSpaceDE w:val="0"/>
              <w:autoSpaceDN w:val="0"/>
              <w:bidi w:val="0"/>
              <w:spacing w:line="360" w:lineRule="auto"/>
              <w:ind w:firstLine="481" w:firstLineChars="200"/>
              <w:jc w:val="left"/>
              <w:rPr>
                <w:b/>
                <w:color w:val="auto"/>
                <w:sz w:val="24"/>
                <w:highlight w:val="none"/>
              </w:rPr>
            </w:pPr>
            <w:r>
              <w:rPr>
                <w:rFonts w:hint="default" w:ascii="Times New Roman" w:hAnsi="Times New Roman" w:cs="Times New Roman"/>
                <w:b/>
                <w:color w:val="auto"/>
                <w:sz w:val="24"/>
                <w:highlight w:val="none"/>
              </w:rPr>
              <w:t>1</w:t>
            </w:r>
            <w:r>
              <w:rPr>
                <w:rFonts w:hint="eastAsia"/>
                <w:b/>
                <w:color w:val="auto"/>
                <w:sz w:val="24"/>
                <w:highlight w:val="none"/>
              </w:rPr>
              <w:t>、</w:t>
            </w:r>
            <w:r>
              <w:rPr>
                <w:b/>
                <w:color w:val="auto"/>
                <w:sz w:val="24"/>
                <w:highlight w:val="none"/>
              </w:rPr>
              <w:t>项目名称</w:t>
            </w:r>
          </w:p>
          <w:p>
            <w:pPr>
              <w:keepNext w:val="0"/>
              <w:keepLines w:val="0"/>
              <w:pageBreakBefore w:val="0"/>
              <w:widowControl w:val="0"/>
              <w:tabs>
                <w:tab w:val="left" w:pos="0"/>
              </w:tabs>
              <w:kinsoku/>
              <w:wordWrap/>
              <w:overflowPunct/>
              <w:topLinePunct w:val="0"/>
              <w:autoSpaceDE w:val="0"/>
              <w:autoSpaceDN w:val="0"/>
              <w:bidi w:val="0"/>
              <w:spacing w:line="360" w:lineRule="auto"/>
              <w:ind w:firstLine="480" w:firstLineChars="200"/>
              <w:rPr>
                <w:rFonts w:hint="eastAsia"/>
                <w:color w:val="auto"/>
                <w:sz w:val="24"/>
                <w:highlight w:val="none"/>
              </w:rPr>
            </w:pPr>
            <w:r>
              <w:rPr>
                <w:rFonts w:hint="eastAsia" w:ascii="Times New Roman" w:hAnsi="Times New Roman" w:eastAsia="宋体" w:cs="Times New Roman"/>
                <w:color w:val="auto"/>
                <w:sz w:val="24"/>
                <w:szCs w:val="24"/>
                <w:highlight w:val="none"/>
                <w:lang w:val="en-US" w:eastAsia="zh-CN"/>
              </w:rPr>
              <w:t>内蒙古蒙瑞环保科技有限公司再生资源废旧塑料回收利用项目</w:t>
            </w:r>
            <w:r>
              <w:rPr>
                <w:rFonts w:hint="eastAsia"/>
                <w:color w:val="auto"/>
                <w:sz w:val="24"/>
                <w:highlight w:val="none"/>
              </w:rPr>
              <w:t>。</w:t>
            </w:r>
          </w:p>
          <w:p>
            <w:pPr>
              <w:keepNext w:val="0"/>
              <w:keepLines w:val="0"/>
              <w:pageBreakBefore w:val="0"/>
              <w:widowControl w:val="0"/>
              <w:kinsoku/>
              <w:wordWrap/>
              <w:overflowPunct/>
              <w:topLinePunct w:val="0"/>
              <w:autoSpaceDE w:val="0"/>
              <w:autoSpaceDN w:val="0"/>
              <w:bidi w:val="0"/>
              <w:spacing w:line="360" w:lineRule="auto"/>
              <w:ind w:firstLine="481" w:firstLineChars="200"/>
              <w:jc w:val="left"/>
              <w:rPr>
                <w:b/>
                <w:color w:val="auto"/>
                <w:sz w:val="24"/>
                <w:highlight w:val="none"/>
              </w:rPr>
            </w:pPr>
            <w:r>
              <w:rPr>
                <w:rFonts w:hint="default" w:ascii="Times New Roman" w:hAnsi="Times New Roman" w:cs="Times New Roman"/>
                <w:b/>
                <w:color w:val="auto"/>
                <w:sz w:val="24"/>
                <w:highlight w:val="none"/>
              </w:rPr>
              <w:t>2</w:t>
            </w:r>
            <w:r>
              <w:rPr>
                <w:b/>
                <w:color w:val="auto"/>
                <w:sz w:val="24"/>
                <w:highlight w:val="none"/>
              </w:rPr>
              <w:t>、建设地点</w:t>
            </w:r>
          </w:p>
          <w:p>
            <w:pPr>
              <w:pStyle w:val="11"/>
              <w:keepNext w:val="0"/>
              <w:keepLines w:val="0"/>
              <w:pageBreakBefore w:val="0"/>
              <w:widowControl w:val="0"/>
              <w:kinsoku/>
              <w:wordWrap/>
              <w:overflowPunct/>
              <w:topLinePunct w:val="0"/>
              <w:autoSpaceDE w:val="0"/>
              <w:autoSpaceDN w:val="0"/>
              <w:bidi w:val="0"/>
              <w:spacing w:line="360" w:lineRule="auto"/>
              <w:ind w:firstLine="480" w:firstLineChars="200"/>
              <w:rPr>
                <w:rFonts w:hint="eastAsia"/>
                <w:color w:val="auto"/>
                <w:sz w:val="24"/>
                <w:highlight w:val="none"/>
              </w:rPr>
            </w:pPr>
            <w:r>
              <w:rPr>
                <w:rFonts w:hint="eastAsia" w:ascii="Times New Roman" w:hAnsi="Times New Roman" w:eastAsia="宋体" w:cs="Times New Roman"/>
                <w:color w:val="auto"/>
                <w:sz w:val="24"/>
                <w:szCs w:val="24"/>
                <w:highlight w:val="none"/>
                <w:lang w:val="en-US" w:eastAsia="zh-CN"/>
              </w:rPr>
              <w:t>鄂尔多斯</w:t>
            </w:r>
            <w:r>
              <w:rPr>
                <w:rFonts w:hint="default" w:ascii="Times New Roman" w:hAnsi="Times New Roman" w:eastAsia="宋体" w:cs="Times New Roman"/>
                <w:color w:val="auto"/>
                <w:sz w:val="24"/>
                <w:szCs w:val="24"/>
                <w:highlight w:val="none"/>
                <w:lang w:val="en-US" w:eastAsia="zh-CN"/>
              </w:rPr>
              <w:t>空港物流园区中央生态大道上行线东、纬十四路南、经三南路西、纬十三路北A03</w:t>
            </w:r>
            <w:r>
              <w:rPr>
                <w:rFonts w:hint="eastAsia" w:ascii="Times New Roman" w:hAnsi="Times New Roman" w:cs="Times New Roman"/>
                <w:color w:val="auto"/>
                <w:highlight w:val="none"/>
                <w:vertAlign w:val="baseline"/>
                <w:lang w:val="en-US" w:eastAsia="zh-CN"/>
              </w:rPr>
              <w:t>，</w:t>
            </w:r>
            <w:r>
              <w:rPr>
                <w:rFonts w:hint="eastAsia" w:ascii="Times New Roman" w:hAnsi="Times New Roman" w:cs="Times New Roman"/>
                <w:color w:val="auto"/>
                <w:sz w:val="24"/>
                <w:szCs w:val="24"/>
                <w:highlight w:val="none"/>
                <w:vertAlign w:val="baseline"/>
                <w:lang w:val="en-US" w:eastAsia="zh-CN"/>
              </w:rPr>
              <w:t>厂址</w:t>
            </w:r>
            <w:r>
              <w:rPr>
                <w:rFonts w:hint="eastAsia" w:ascii="Times New Roman" w:hAnsi="Times New Roman" w:cs="Times New Roman"/>
                <w:color w:val="auto"/>
                <w:sz w:val="24"/>
                <w:szCs w:val="24"/>
                <w:highlight w:val="none"/>
                <w:lang w:val="en-US" w:eastAsia="zh-CN"/>
              </w:rPr>
              <w:t>中心坐标为：</w:t>
            </w:r>
            <w:r>
              <w:rPr>
                <w:rFonts w:hint="eastAsia" w:ascii="Times New Roman" w:hAnsi="Times New Roman" w:cs="Times New Roman"/>
                <w:color w:val="auto"/>
                <w:sz w:val="24"/>
                <w:szCs w:val="24"/>
                <w:highlight w:val="none"/>
                <w:lang w:eastAsia="zh-CN"/>
              </w:rPr>
              <w:t>东经</w:t>
            </w:r>
            <w:r>
              <w:rPr>
                <w:rFonts w:hint="eastAsia" w:ascii="Times New Roman" w:hAnsi="Times New Roman" w:cs="Times New Roman"/>
                <w:color w:val="auto"/>
                <w:sz w:val="24"/>
                <w:szCs w:val="24"/>
                <w:highlight w:val="none"/>
                <w:lang w:val="en-US" w:eastAsia="zh-CN"/>
              </w:rPr>
              <w:t>109°52′36.325″</w:t>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北纬</w:t>
            </w:r>
            <w:r>
              <w:rPr>
                <w:rFonts w:ascii="Times New Roman" w:hAnsi="Times New Roman" w:cs="Times New Roman"/>
                <w:color w:val="auto"/>
                <w:sz w:val="24"/>
                <w:szCs w:val="24"/>
                <w:highlight w:val="none"/>
              </w:rPr>
              <w:t>3</w:t>
            </w:r>
            <w:r>
              <w:rPr>
                <w:rFonts w:hint="eastAsia" w:ascii="Times New Roman" w:hAnsi="Times New Roman" w:cs="Times New Roman"/>
                <w:color w:val="auto"/>
                <w:sz w:val="24"/>
                <w:szCs w:val="24"/>
                <w:highlight w:val="none"/>
                <w:lang w:val="en-US" w:eastAsia="zh-CN"/>
              </w:rPr>
              <w:t>9°32′10.835″</w:t>
            </w:r>
            <w:r>
              <w:rPr>
                <w:rFonts w:hint="eastAsia" w:ascii="Times New Roman" w:hAnsi="Times New Roman" w:cs="Times New Roman"/>
                <w:color w:val="auto"/>
                <w:highlight w:val="none"/>
                <w:lang w:val="en-US" w:eastAsia="zh-CN"/>
              </w:rPr>
              <w:t>，</w:t>
            </w:r>
            <w:r>
              <w:rPr>
                <w:rFonts w:hint="eastAsia"/>
                <w:color w:val="auto"/>
                <w:sz w:val="24"/>
                <w:highlight w:val="none"/>
              </w:rPr>
              <w:t>项目地理位置见附图</w:t>
            </w:r>
            <w:r>
              <w:rPr>
                <w:rFonts w:hint="eastAsia" w:ascii="Times New Roman" w:hAnsi="Times New Roman" w:cs="Times New Roman"/>
                <w:color w:val="auto"/>
                <w:sz w:val="24"/>
                <w:highlight w:val="none"/>
              </w:rPr>
              <w:t>1</w:t>
            </w:r>
            <w:r>
              <w:rPr>
                <w:rFonts w:hint="eastAsia"/>
                <w:color w:val="auto"/>
                <w:sz w:val="24"/>
                <w:highlight w:val="none"/>
              </w:rPr>
              <w:t>。</w:t>
            </w:r>
          </w:p>
          <w:p>
            <w:pPr>
              <w:pStyle w:val="11"/>
              <w:keepNext w:val="0"/>
              <w:keepLines w:val="0"/>
              <w:pageBreakBefore w:val="0"/>
              <w:widowControl w:val="0"/>
              <w:kinsoku/>
              <w:wordWrap/>
              <w:overflowPunct/>
              <w:topLinePunct w:val="0"/>
              <w:autoSpaceDE w:val="0"/>
              <w:autoSpaceDN w:val="0"/>
              <w:bidi w:val="0"/>
              <w:spacing w:line="360" w:lineRule="auto"/>
              <w:ind w:firstLine="481" w:firstLineChars="200"/>
              <w:rPr>
                <w:rFonts w:ascii="Times New Roman" w:hAnsi="Times New Roman" w:cs="Times New Roman"/>
                <w:b/>
                <w:color w:val="auto"/>
                <w:sz w:val="24"/>
                <w:highlight w:val="none"/>
              </w:rPr>
            </w:pPr>
            <w:r>
              <w:rPr>
                <w:rFonts w:ascii="Times New Roman" w:hAnsi="Times New Roman" w:cs="Times New Roman"/>
                <w:b/>
                <w:color w:val="auto"/>
                <w:sz w:val="24"/>
                <w:highlight w:val="none"/>
              </w:rPr>
              <w:t>3、建设性质</w:t>
            </w:r>
          </w:p>
          <w:p>
            <w:pPr>
              <w:pStyle w:val="11"/>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新建</w:t>
            </w:r>
            <w:r>
              <w:rPr>
                <w:rFonts w:hint="eastAsia" w:ascii="Times New Roman" w:hAnsi="Times New Roman" w:cs="Times New Roman"/>
                <w:color w:val="auto"/>
                <w:sz w:val="24"/>
                <w:highlight w:val="none"/>
              </w:rPr>
              <w:t>。</w:t>
            </w:r>
          </w:p>
          <w:p>
            <w:pPr>
              <w:pStyle w:val="11"/>
              <w:keepNext w:val="0"/>
              <w:keepLines w:val="0"/>
              <w:pageBreakBefore w:val="0"/>
              <w:widowControl w:val="0"/>
              <w:kinsoku/>
              <w:wordWrap/>
              <w:overflowPunct/>
              <w:topLinePunct w:val="0"/>
              <w:autoSpaceDE w:val="0"/>
              <w:autoSpaceDN w:val="0"/>
              <w:bidi w:val="0"/>
              <w:spacing w:line="360" w:lineRule="auto"/>
              <w:ind w:firstLine="481" w:firstLineChars="200"/>
              <w:rPr>
                <w:rFonts w:ascii="Times New Roman" w:hAnsi="Times New Roman" w:cs="Times New Roman"/>
                <w:b/>
                <w:color w:val="auto"/>
                <w:sz w:val="24"/>
                <w:highlight w:val="none"/>
              </w:rPr>
            </w:pPr>
            <w:r>
              <w:rPr>
                <w:rFonts w:ascii="Times New Roman" w:hAnsi="Times New Roman" w:cs="Times New Roman"/>
                <w:b/>
                <w:color w:val="auto"/>
                <w:sz w:val="24"/>
                <w:highlight w:val="none"/>
              </w:rPr>
              <w:t>4、项目总投资</w:t>
            </w:r>
          </w:p>
          <w:p>
            <w:pPr>
              <w:pStyle w:val="11"/>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b/>
                <w:color w:val="auto"/>
                <w:sz w:val="24"/>
                <w:highlight w:val="none"/>
              </w:rPr>
            </w:pPr>
            <w:r>
              <w:rPr>
                <w:rFonts w:ascii="Times New Roman" w:hAnsi="Times New Roman" w:cs="Times New Roman"/>
                <w:color w:val="auto"/>
                <w:sz w:val="24"/>
                <w:szCs w:val="24"/>
                <w:highlight w:val="none"/>
              </w:rPr>
              <w:t>本项目总投资</w:t>
            </w:r>
            <w:r>
              <w:rPr>
                <w:rFonts w:hint="eastAsia" w:ascii="Times New Roman" w:hAnsi="Times New Roman" w:cs="Times New Roman"/>
                <w:color w:val="auto"/>
                <w:sz w:val="24"/>
                <w:szCs w:val="24"/>
                <w:highlight w:val="none"/>
                <w:lang w:val="en-US" w:eastAsia="zh-CN"/>
              </w:rPr>
              <w:t>300</w:t>
            </w:r>
            <w:r>
              <w:rPr>
                <w:rFonts w:ascii="Times New Roman" w:hAnsi="Times New Roman" w:cs="Times New Roman"/>
                <w:color w:val="auto"/>
                <w:sz w:val="24"/>
                <w:szCs w:val="24"/>
                <w:highlight w:val="none"/>
              </w:rPr>
              <w:t>万元</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highlight w:val="none"/>
              </w:rPr>
              <w:t>其中环保投资为</w:t>
            </w:r>
            <w:r>
              <w:rPr>
                <w:rFonts w:hint="eastAsia" w:ascii="Times New Roman" w:hAnsi="Times New Roman" w:cs="Times New Roman"/>
                <w:color w:val="auto"/>
                <w:sz w:val="24"/>
                <w:highlight w:val="none"/>
                <w:lang w:val="en-US" w:eastAsia="zh-CN"/>
              </w:rPr>
              <w:t>66.75</w:t>
            </w:r>
            <w:r>
              <w:rPr>
                <w:rFonts w:hint="default" w:ascii="Times New Roman" w:hAnsi="Times New Roman" w:eastAsia="宋体" w:cs="Times New Roman"/>
                <w:color w:val="auto"/>
                <w:sz w:val="24"/>
                <w:highlight w:val="none"/>
              </w:rPr>
              <w:t>万</w:t>
            </w:r>
            <w:r>
              <w:rPr>
                <w:rFonts w:hint="eastAsia" w:ascii="Times New Roman" w:hAnsi="Times New Roman" w:cs="Times New Roman"/>
                <w:color w:val="auto"/>
                <w:sz w:val="24"/>
                <w:highlight w:val="none"/>
                <w:lang w:eastAsia="zh-CN"/>
              </w:rPr>
              <w:t>元</w:t>
            </w:r>
            <w:r>
              <w:rPr>
                <w:rFonts w:hint="default" w:ascii="Times New Roman" w:hAnsi="Times New Roman" w:eastAsia="宋体" w:cs="Times New Roman"/>
                <w:color w:val="auto"/>
                <w:sz w:val="24"/>
                <w:highlight w:val="none"/>
              </w:rPr>
              <w:t>，占项目总投资的</w:t>
            </w:r>
            <w:r>
              <w:rPr>
                <w:rFonts w:hint="eastAsia" w:ascii="Times New Roman" w:hAnsi="Times New Roman" w:cs="Times New Roman"/>
                <w:color w:val="auto"/>
                <w:sz w:val="24"/>
                <w:highlight w:val="none"/>
                <w:lang w:val="en-US" w:eastAsia="zh-CN"/>
              </w:rPr>
              <w:t>22.25</w:t>
            </w:r>
            <w:r>
              <w:rPr>
                <w:rFonts w:hint="default" w:ascii="Times New Roman" w:hAnsi="Times New Roman" w:eastAsia="宋体" w:cs="Times New Roman"/>
                <w:color w:val="auto"/>
                <w:sz w:val="24"/>
                <w:highlight w:val="none"/>
              </w:rPr>
              <w:t>%</w:t>
            </w:r>
            <w:r>
              <w:rPr>
                <w:rFonts w:hint="eastAsia" w:ascii="Times New Roman" w:hAnsi="Times New Roman" w:cs="Times New Roman"/>
                <w:color w:val="auto"/>
                <w:sz w:val="24"/>
                <w:szCs w:val="24"/>
                <w:highlight w:val="none"/>
              </w:rPr>
              <w:t>。</w:t>
            </w:r>
          </w:p>
          <w:p>
            <w:pPr>
              <w:pStyle w:val="11"/>
              <w:keepNext w:val="0"/>
              <w:keepLines w:val="0"/>
              <w:pageBreakBefore w:val="0"/>
              <w:widowControl w:val="0"/>
              <w:kinsoku/>
              <w:wordWrap/>
              <w:overflowPunct/>
              <w:topLinePunct w:val="0"/>
              <w:autoSpaceDE w:val="0"/>
              <w:autoSpaceDN w:val="0"/>
              <w:bidi w:val="0"/>
              <w:spacing w:line="360" w:lineRule="auto"/>
              <w:ind w:firstLine="481" w:firstLineChars="200"/>
              <w:rPr>
                <w:rFonts w:hint="eastAsia"/>
                <w:color w:val="auto"/>
                <w:sz w:val="24"/>
                <w:highlight w:val="none"/>
              </w:rPr>
            </w:pPr>
            <w:r>
              <w:rPr>
                <w:rFonts w:hint="eastAsia" w:ascii="Times New Roman" w:hAnsi="Times New Roman" w:cs="Times New Roman"/>
                <w:b/>
                <w:color w:val="auto"/>
                <w:sz w:val="24"/>
                <w:highlight w:val="none"/>
              </w:rPr>
              <w:t>5、建</w:t>
            </w:r>
            <w:r>
              <w:rPr>
                <w:rFonts w:hint="eastAsia" w:ascii="Times New Roman" w:hAnsi="Times New Roman" w:cs="Times New Roman"/>
                <w:b/>
                <w:color w:val="auto"/>
                <w:sz w:val="24"/>
                <w:highlight w:val="none"/>
                <w:lang w:eastAsia="zh-CN"/>
              </w:rPr>
              <w:t>设</w:t>
            </w:r>
            <w:r>
              <w:rPr>
                <w:rFonts w:ascii="Times New Roman" w:hAnsi="Times New Roman" w:cs="Times New Roman"/>
                <w:b/>
                <w:color w:val="auto"/>
                <w:sz w:val="24"/>
                <w:highlight w:val="none"/>
              </w:rPr>
              <w:t>内容及规模</w:t>
            </w:r>
          </w:p>
          <w:p>
            <w:pPr>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szCs w:val="24"/>
                <w:highlight w:val="none"/>
                <w:vertAlign w:val="baseline"/>
                <w:lang w:val="en-US" w:eastAsia="zh-CN"/>
              </w:rPr>
              <w:t>主要建设内容包括：租用园区生产车间1座</w:t>
            </w:r>
            <w:r>
              <w:rPr>
                <w:rFonts w:hint="eastAsia" w:ascii="Times New Roman" w:hAnsi="Times New Roman" w:cs="Times New Roman"/>
                <w:color w:val="auto"/>
                <w:sz w:val="24"/>
                <w:szCs w:val="24"/>
                <w:highlight w:val="none"/>
                <w:vertAlign w:val="baseline"/>
                <w:lang w:val="en-US" w:eastAsia="zh-CN"/>
              </w:rPr>
              <w:t>，建筑面积5000m</w:t>
            </w:r>
            <w:r>
              <w:rPr>
                <w:rFonts w:hint="eastAsia"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vertAlign w:val="baseline"/>
                <w:lang w:val="en-US" w:eastAsia="zh-CN"/>
              </w:rPr>
              <w:t>，内置1</w:t>
            </w:r>
            <w:r>
              <w:rPr>
                <w:rFonts w:hint="eastAsia" w:ascii="Times New Roman" w:hAnsi="Times New Roman" w:cs="Times New Roman"/>
                <w:color w:val="auto"/>
                <w:sz w:val="24"/>
                <w:szCs w:val="24"/>
                <w:highlight w:val="none"/>
                <w:vertAlign w:val="baseline"/>
                <w:lang w:val="en-US" w:eastAsia="zh-CN"/>
              </w:rPr>
              <w:t>条</w:t>
            </w:r>
            <w:r>
              <w:rPr>
                <w:rFonts w:hint="default" w:ascii="Times New Roman" w:hAnsi="Times New Roman" w:cs="Times New Roman"/>
                <w:color w:val="auto"/>
                <w:sz w:val="24"/>
                <w:szCs w:val="24"/>
                <w:highlight w:val="none"/>
                <w:vertAlign w:val="baseline"/>
                <w:lang w:val="en-US" w:eastAsia="zh-CN"/>
              </w:rPr>
              <w:t>废塑料处理规模20000t/a生产线，</w:t>
            </w:r>
            <w:r>
              <w:rPr>
                <w:rFonts w:hint="eastAsia" w:cs="宋体"/>
                <w:color w:val="auto"/>
                <w:sz w:val="24"/>
                <w:szCs w:val="24"/>
                <w:highlight w:val="none"/>
                <w:vertAlign w:val="baseline"/>
                <w:lang w:val="en-US" w:eastAsia="zh-CN"/>
              </w:rPr>
              <w:t>配套相关公辅工程及环保工程等</w:t>
            </w:r>
            <w:r>
              <w:rPr>
                <w:rFonts w:hint="default" w:ascii="Times New Roman" w:hAnsi="Times New Roman" w:eastAsia="宋体" w:cs="Times New Roman"/>
                <w:color w:val="auto"/>
                <w:sz w:val="24"/>
                <w:szCs w:val="24"/>
                <w:highlight w:val="none"/>
              </w:rPr>
              <w:t>。</w:t>
            </w:r>
            <w:r>
              <w:rPr>
                <w:rFonts w:hint="eastAsia" w:ascii="Times New Roman" w:hAnsi="Times New Roman" w:cs="Times New Roman"/>
                <w:color w:val="auto"/>
                <w:sz w:val="24"/>
                <w:szCs w:val="24"/>
                <w:highlight w:val="none"/>
                <w:lang w:eastAsia="zh-CN"/>
              </w:rPr>
              <w:t>项目组成见表</w:t>
            </w:r>
            <w:r>
              <w:rPr>
                <w:rFonts w:hint="eastAsia" w:ascii="Times New Roman" w:hAnsi="Times New Roman" w:cs="Times New Roman"/>
                <w:color w:val="auto"/>
                <w:sz w:val="24"/>
                <w:szCs w:val="24"/>
                <w:highlight w:val="none"/>
                <w:lang w:val="en-US" w:eastAsia="zh-CN"/>
              </w:rPr>
              <w:t>2-1</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wordWrap/>
              <w:overflowPunct/>
              <w:topLinePunct w:val="0"/>
              <w:autoSpaceDE w:val="0"/>
              <w:autoSpaceDN w:val="0"/>
              <w:bidi w:val="0"/>
              <w:spacing w:line="240" w:lineRule="auto"/>
              <w:ind w:firstLine="481" w:firstLineChars="200"/>
              <w:jc w:val="center"/>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表2-1  项目工程一览表</w:t>
            </w:r>
          </w:p>
          <w:tbl>
            <w:tblPr>
              <w:tblStyle w:val="23"/>
              <w:tblW w:w="7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443"/>
              <w:gridCol w:w="105"/>
              <w:gridCol w:w="564"/>
              <w:gridCol w:w="5313"/>
              <w:gridCol w:w="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gridSpan w:val="4"/>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项目名称</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建设内容</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jc w:val="center"/>
              </w:trPr>
              <w:tc>
                <w:tcPr>
                  <w:tcW w:w="713"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主体工程</w:t>
                  </w:r>
                </w:p>
              </w:tc>
              <w:tc>
                <w:tcPr>
                  <w:tcW w:w="1112" w:type="dxa"/>
                  <w:gridSpan w:val="3"/>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生产区</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left"/>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租用生产车间占地面积5000m</w:t>
                  </w:r>
                  <w:r>
                    <w:rPr>
                      <w:rFonts w:hint="eastAsia" w:ascii="Times New Roman" w:hAnsi="Times New Roman"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vertAlign w:val="baseline"/>
                      <w:lang w:val="en-US" w:eastAsia="zh-CN"/>
                    </w:rPr>
                    <w:t>，高12m，内设生产区及办公区，生产区位于生产车间内南侧，占地面积2000m</w:t>
                  </w:r>
                  <w:r>
                    <w:rPr>
                      <w:rFonts w:hint="eastAsia" w:ascii="Times New Roman" w:hAnsi="Times New Roman"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vertAlign w:val="baseline"/>
                      <w:lang w:val="en-US" w:eastAsia="zh-CN"/>
                    </w:rPr>
                    <w:t>，设置1套废塑料处理设备，主要设备包括：</w:t>
                  </w:r>
                  <w:r>
                    <w:rPr>
                      <w:rFonts w:hint="eastAsia" w:asciiTheme="minorEastAsia" w:hAnsiTheme="minorEastAsia" w:eastAsiaTheme="minorEastAsia"/>
                      <w:color w:val="auto"/>
                      <w:sz w:val="21"/>
                      <w:szCs w:val="21"/>
                      <w:highlight w:val="none"/>
                    </w:rPr>
                    <w:t>内锤破粉碎机</w:t>
                  </w:r>
                  <w:r>
                    <w:rPr>
                      <w:rFonts w:hint="eastAsia" w:ascii="Times New Roman" w:hAnsi="Times New Roman" w:cs="Times New Roman"/>
                      <w:bCs/>
                      <w:color w:val="auto"/>
                      <w:sz w:val="21"/>
                      <w:szCs w:val="21"/>
                      <w:highlight w:val="none"/>
                      <w:lang w:val="en-US" w:eastAsia="zh-CN"/>
                    </w:rPr>
                    <w:t>、刀破粉碎机</w:t>
                  </w:r>
                  <w:r>
                    <w:rPr>
                      <w:rFonts w:hint="eastAsia" w:ascii="Times New Roman" w:hAnsi="Times New Roman" w:cs="Times New Roman"/>
                      <w:bCs/>
                      <w:color w:val="auto"/>
                      <w:sz w:val="21"/>
                      <w:szCs w:val="21"/>
                      <w:highlight w:val="none"/>
                      <w:lang w:eastAsia="zh-CN"/>
                    </w:rPr>
                    <w:t>、</w:t>
                  </w:r>
                  <w:r>
                    <w:rPr>
                      <w:rFonts w:hint="eastAsia" w:asciiTheme="minorEastAsia" w:hAnsiTheme="minorEastAsia" w:eastAsiaTheme="minorEastAsia"/>
                      <w:color w:val="auto"/>
                      <w:sz w:val="21"/>
                      <w:szCs w:val="21"/>
                      <w:highlight w:val="none"/>
                      <w:lang w:eastAsia="zh-CN"/>
                    </w:rPr>
                    <w:t>无轴滚筒筛</w:t>
                  </w:r>
                  <w:r>
                    <w:rPr>
                      <w:rFonts w:hint="eastAsia" w:ascii="Times New Roman" w:hAnsi="Times New Roman" w:cs="Times New Roman"/>
                      <w:bCs/>
                      <w:color w:val="auto"/>
                      <w:sz w:val="21"/>
                      <w:szCs w:val="21"/>
                      <w:highlight w:val="none"/>
                      <w:lang w:val="en-US" w:eastAsia="zh-CN"/>
                    </w:rPr>
                    <w:t>、滚筒筛</w:t>
                  </w:r>
                  <w:r>
                    <w:rPr>
                      <w:rFonts w:hint="eastAsia" w:asciiTheme="minorEastAsia" w:hAnsiTheme="minorEastAsia" w:eastAsiaTheme="minorEastAsia"/>
                      <w:color w:val="auto"/>
                      <w:sz w:val="21"/>
                      <w:szCs w:val="21"/>
                      <w:highlight w:val="none"/>
                      <w:lang w:eastAsia="zh-CN"/>
                    </w:rPr>
                    <w:t>、</w:t>
                  </w:r>
                  <w:r>
                    <w:rPr>
                      <w:rFonts w:hint="eastAsia" w:ascii="宋体" w:hAnsi="宋体" w:eastAsia="宋体" w:cs="宋体"/>
                      <w:color w:val="auto"/>
                      <w:kern w:val="0"/>
                      <w:sz w:val="21"/>
                      <w:szCs w:val="21"/>
                      <w:highlight w:val="none"/>
                      <w:lang w:val="en-US" w:eastAsia="zh-CN" w:bidi="ar"/>
                    </w:rPr>
                    <w:t>无动力风选机</w:t>
                  </w:r>
                  <w:r>
                    <w:rPr>
                      <w:rFonts w:hint="eastAsia" w:ascii="Times New Roman" w:hAnsi="Times New Roman" w:cs="Times New Roman"/>
                      <w:bCs/>
                      <w:color w:val="auto"/>
                      <w:sz w:val="21"/>
                      <w:szCs w:val="21"/>
                      <w:highlight w:val="none"/>
                      <w:lang w:val="en-US" w:eastAsia="zh-CN"/>
                    </w:rPr>
                    <w:t>、全网甩干机</w:t>
                  </w:r>
                  <w:r>
                    <w:rPr>
                      <w:rFonts w:hint="eastAsia" w:ascii="宋体" w:hAnsi="宋体" w:eastAsia="宋体" w:cs="宋体"/>
                      <w:color w:val="auto"/>
                      <w:kern w:val="0"/>
                      <w:sz w:val="21"/>
                      <w:szCs w:val="21"/>
                      <w:highlight w:val="none"/>
                      <w:lang w:val="en-US" w:eastAsia="zh-CN" w:bidi="ar"/>
                    </w:rPr>
                    <w:t>等</w:t>
                  </w:r>
                  <w:r>
                    <w:rPr>
                      <w:rFonts w:hint="eastAsia" w:cs="宋体"/>
                      <w:color w:val="auto"/>
                      <w:kern w:val="0"/>
                      <w:sz w:val="21"/>
                      <w:szCs w:val="21"/>
                      <w:highlight w:val="none"/>
                      <w:lang w:val="en-US" w:eastAsia="zh-CN" w:bidi="ar"/>
                    </w:rPr>
                    <w:t>设备</w:t>
                  </w:r>
                  <w:r>
                    <w:rPr>
                      <w:rFonts w:hint="eastAsia" w:ascii="Times New Roman" w:hAnsi="Times New Roman" w:cs="Times New Roman"/>
                      <w:b w:val="0"/>
                      <w:bCs w:val="0"/>
                      <w:color w:val="auto"/>
                      <w:sz w:val="21"/>
                      <w:szCs w:val="21"/>
                      <w:highlight w:val="none"/>
                      <w:vertAlign w:val="baseline"/>
                      <w:lang w:val="en-US" w:eastAsia="zh-CN"/>
                    </w:rPr>
                    <w:t>。</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现有厂房+新建设备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储运工程</w:t>
                  </w:r>
                </w:p>
              </w:tc>
              <w:tc>
                <w:tcPr>
                  <w:tcW w:w="1112" w:type="dxa"/>
                  <w:gridSpan w:val="3"/>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原料区</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生产车间东侧南侧300m</w:t>
                  </w:r>
                  <w:r>
                    <w:rPr>
                      <w:rFonts w:hint="eastAsia" w:ascii="Times New Roman" w:hAnsi="Times New Roman" w:cs="Times New Roman"/>
                      <w:b w:val="0"/>
                      <w:bCs w:val="0"/>
                      <w:color w:val="auto"/>
                      <w:sz w:val="21"/>
                      <w:szCs w:val="21"/>
                      <w:highlight w:val="none"/>
                      <w:vertAlign w:val="superscript"/>
                      <w:lang w:val="en-US" w:eastAsia="zh-CN"/>
                    </w:rPr>
                    <w:t>2</w:t>
                  </w:r>
                  <w:r>
                    <w:rPr>
                      <w:rFonts w:hint="eastAsia" w:ascii="Times New Roman" w:hAnsi="Times New Roman" w:cs="Times New Roman"/>
                      <w:b w:val="0"/>
                      <w:bCs w:val="0"/>
                      <w:color w:val="auto"/>
                      <w:sz w:val="21"/>
                      <w:szCs w:val="21"/>
                      <w:highlight w:val="none"/>
                      <w:vertAlign w:val="baseline"/>
                      <w:lang w:val="en-US" w:eastAsia="zh-CN"/>
                    </w:rPr>
                    <w:t>作为本项目原料区，地面已进行一般防渗处理，用于存放本项目原辅材料。</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利用现有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p>
              </w:tc>
              <w:tc>
                <w:tcPr>
                  <w:tcW w:w="1112" w:type="dxa"/>
                  <w:gridSpan w:val="3"/>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成品区</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对现有车间进行分区，东北侧占地面积500m</w:t>
                  </w:r>
                  <w:r>
                    <w:rPr>
                      <w:rFonts w:hint="eastAsia" w:ascii="Times New Roman" w:hAnsi="Times New Roman" w:cs="Times New Roman"/>
                      <w:b w:val="0"/>
                      <w:bCs w:val="0"/>
                      <w:color w:val="auto"/>
                      <w:sz w:val="21"/>
                      <w:szCs w:val="21"/>
                      <w:highlight w:val="none"/>
                      <w:vertAlign w:val="superscript"/>
                      <w:lang w:val="en-US" w:eastAsia="zh-CN"/>
                    </w:rPr>
                    <w:t>2</w:t>
                  </w:r>
                  <w:r>
                    <w:rPr>
                      <w:rFonts w:hint="eastAsia" w:ascii="Times New Roman" w:hAnsi="Times New Roman" w:cs="Times New Roman"/>
                      <w:b w:val="0"/>
                      <w:bCs w:val="0"/>
                      <w:color w:val="auto"/>
                      <w:sz w:val="21"/>
                      <w:szCs w:val="21"/>
                      <w:highlight w:val="none"/>
                      <w:vertAlign w:val="baseline"/>
                      <w:lang w:val="en-US" w:eastAsia="zh-CN"/>
                    </w:rPr>
                    <w:t>区域作为本项目成品库，地面已进行一般防渗处理，用于存放本项目产品。</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利用现有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p>
              </w:tc>
              <w:tc>
                <w:tcPr>
                  <w:tcW w:w="1112" w:type="dxa"/>
                  <w:gridSpan w:val="3"/>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一般固废暂存区</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利用厂房内北侧现有闲置区域作为一般固废暂存区，占地面积200m</w:t>
                  </w:r>
                  <w:r>
                    <w:rPr>
                      <w:rFonts w:hint="eastAsia" w:ascii="Times New Roman" w:hAnsi="Times New Roman" w:cs="Times New Roman"/>
                      <w:b w:val="0"/>
                      <w:bCs w:val="0"/>
                      <w:color w:val="auto"/>
                      <w:sz w:val="21"/>
                      <w:szCs w:val="21"/>
                      <w:highlight w:val="none"/>
                      <w:vertAlign w:val="superscript"/>
                      <w:lang w:val="en-US" w:eastAsia="zh-CN"/>
                    </w:rPr>
                    <w:t>2</w:t>
                  </w:r>
                  <w:r>
                    <w:rPr>
                      <w:rFonts w:hint="eastAsia" w:ascii="Times New Roman" w:hAnsi="Times New Roman" w:cs="Times New Roman"/>
                      <w:b w:val="0"/>
                      <w:bCs w:val="0"/>
                      <w:color w:val="auto"/>
                      <w:sz w:val="21"/>
                      <w:szCs w:val="21"/>
                      <w:highlight w:val="none"/>
                      <w:vertAlign w:val="baseline"/>
                      <w:lang w:val="en-US" w:eastAsia="zh-CN"/>
                    </w:rPr>
                    <w:t>，用于存放本项目产生的固体废物。</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利用现有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p>
              </w:tc>
              <w:tc>
                <w:tcPr>
                  <w:tcW w:w="1112" w:type="dxa"/>
                  <w:gridSpan w:val="3"/>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危废暂存间</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厂房内已建成10m</w:t>
                  </w:r>
                  <w:r>
                    <w:rPr>
                      <w:rFonts w:hint="eastAsia" w:ascii="Times New Roman" w:hAnsi="Times New Roman" w:cs="Times New Roman"/>
                      <w:b w:val="0"/>
                      <w:bCs w:val="0"/>
                      <w:color w:val="auto"/>
                      <w:sz w:val="21"/>
                      <w:szCs w:val="21"/>
                      <w:highlight w:val="none"/>
                      <w:vertAlign w:val="superscript"/>
                      <w:lang w:val="en-US" w:eastAsia="zh-CN"/>
                    </w:rPr>
                    <w:t>2</w:t>
                  </w:r>
                  <w:r>
                    <w:rPr>
                      <w:rFonts w:hint="eastAsia" w:ascii="Times New Roman" w:hAnsi="Times New Roman" w:cs="Times New Roman"/>
                      <w:b w:val="0"/>
                      <w:bCs w:val="0"/>
                      <w:color w:val="auto"/>
                      <w:sz w:val="21"/>
                      <w:szCs w:val="21"/>
                      <w:highlight w:val="none"/>
                      <w:vertAlign w:val="baseline"/>
                      <w:lang w:val="en-US" w:eastAsia="zh-CN"/>
                    </w:rPr>
                    <w:t>彩钢结构库房，改造为危废暂存间，暂存间进行防渗处理，用于存放本项目产生的废机油及废油桶。</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辅助工程</w:t>
                  </w:r>
                </w:p>
              </w:tc>
              <w:tc>
                <w:tcPr>
                  <w:tcW w:w="1112" w:type="dxa"/>
                  <w:gridSpan w:val="3"/>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办公生活区</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生产车间内已建成办公生活区，建筑面积100m</w:t>
                  </w:r>
                  <w:r>
                    <w:rPr>
                      <w:rFonts w:hint="eastAsia" w:ascii="Times New Roman" w:hAnsi="Times New Roman" w:cs="Times New Roman"/>
                      <w:b w:val="0"/>
                      <w:bCs w:val="0"/>
                      <w:color w:val="auto"/>
                      <w:sz w:val="21"/>
                      <w:szCs w:val="21"/>
                      <w:highlight w:val="none"/>
                      <w:vertAlign w:val="superscript"/>
                      <w:lang w:val="en-US" w:eastAsia="zh-CN"/>
                    </w:rPr>
                    <w:t>2</w:t>
                  </w:r>
                  <w:r>
                    <w:rPr>
                      <w:rFonts w:hint="default" w:ascii="Times New Roman" w:hAnsi="Times New Roman" w:eastAsia="宋体" w:cs="Times New Roman"/>
                      <w:b w:val="0"/>
                      <w:bCs w:val="0"/>
                      <w:color w:val="auto"/>
                      <w:sz w:val="21"/>
                      <w:szCs w:val="21"/>
                      <w:highlight w:val="none"/>
                      <w:vertAlign w:val="baseline"/>
                      <w:lang w:val="en-US" w:eastAsia="zh-CN"/>
                    </w:rPr>
                    <w:t>。</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利用现有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公用工程</w:t>
                  </w:r>
                </w:p>
              </w:tc>
              <w:tc>
                <w:tcPr>
                  <w:tcW w:w="1112" w:type="dxa"/>
                  <w:gridSpan w:val="3"/>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供水</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color w:val="auto"/>
                      <w:sz w:val="21"/>
                      <w:szCs w:val="21"/>
                      <w:highlight w:val="none"/>
                      <w:lang w:eastAsia="zh-CN"/>
                    </w:rPr>
                    <w:t>生活用水</w:t>
                  </w:r>
                  <w:r>
                    <w:rPr>
                      <w:rFonts w:hint="eastAsia"/>
                      <w:color w:val="auto"/>
                      <w:sz w:val="21"/>
                      <w:szCs w:val="21"/>
                      <w:highlight w:val="none"/>
                      <w:lang w:val="en-US" w:eastAsia="zh-CN"/>
                    </w:rPr>
                    <w:t>由园区供水管网提供</w:t>
                  </w:r>
                  <w:r>
                    <w:rPr>
                      <w:rFonts w:hint="eastAsia"/>
                      <w:color w:val="auto"/>
                      <w:sz w:val="21"/>
                      <w:szCs w:val="21"/>
                      <w:highlight w:val="none"/>
                      <w:lang w:eastAsia="zh-CN"/>
                    </w:rPr>
                    <w:t>；生产用</w:t>
                  </w:r>
                  <w:r>
                    <w:rPr>
                      <w:rFonts w:hint="eastAsia"/>
                      <w:color w:val="auto"/>
                      <w:sz w:val="21"/>
                      <w:szCs w:val="21"/>
                      <w:highlight w:val="none"/>
                      <w:lang w:val="en-US" w:eastAsia="zh-CN"/>
                    </w:rPr>
                    <w:t>水由园区供水管网提供</w:t>
                  </w:r>
                  <w:r>
                    <w:rPr>
                      <w:rFonts w:hint="eastAsia"/>
                      <w:color w:val="auto"/>
                      <w:sz w:val="21"/>
                      <w:szCs w:val="21"/>
                      <w:highlight w:val="none"/>
                      <w:lang w:eastAsia="zh-CN"/>
                    </w:rPr>
                    <w:t>。</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依托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p>
              </w:tc>
              <w:tc>
                <w:tcPr>
                  <w:tcW w:w="1112" w:type="dxa"/>
                  <w:gridSpan w:val="3"/>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供暖</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园区供暖管网提供。</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依托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p>
              </w:tc>
              <w:tc>
                <w:tcPr>
                  <w:tcW w:w="1112" w:type="dxa"/>
                  <w:gridSpan w:val="3"/>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供电</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电源</w:t>
                  </w:r>
                  <w:r>
                    <w:rPr>
                      <w:rFonts w:hint="eastAsia" w:ascii="Times New Roman" w:hAnsi="Times New Roman" w:cs="Times New Roman"/>
                      <w:b w:val="0"/>
                      <w:bCs w:val="0"/>
                      <w:color w:val="auto"/>
                      <w:sz w:val="21"/>
                      <w:szCs w:val="21"/>
                      <w:highlight w:val="none"/>
                      <w:vertAlign w:val="baseline"/>
                      <w:lang w:val="en-US" w:eastAsia="zh-CN"/>
                    </w:rPr>
                    <w:t>由园区电网统一提供</w:t>
                  </w:r>
                  <w:r>
                    <w:rPr>
                      <w:rFonts w:hint="default" w:ascii="Times New Roman" w:hAnsi="Times New Roman" w:eastAsia="宋体" w:cs="Times New Roman"/>
                      <w:b w:val="0"/>
                      <w:bCs w:val="0"/>
                      <w:color w:val="auto"/>
                      <w:sz w:val="21"/>
                      <w:szCs w:val="21"/>
                      <w:highlight w:val="none"/>
                      <w:vertAlign w:val="baseline"/>
                      <w:lang w:val="en-US" w:eastAsia="zh-CN"/>
                    </w:rPr>
                    <w:t>，满足</w:t>
                  </w:r>
                  <w:r>
                    <w:rPr>
                      <w:rFonts w:hint="eastAsia" w:ascii="Times New Roman" w:hAnsi="Times New Roman" w:eastAsia="宋体" w:cs="Times New Roman"/>
                      <w:b w:val="0"/>
                      <w:bCs w:val="0"/>
                      <w:color w:val="auto"/>
                      <w:sz w:val="21"/>
                      <w:szCs w:val="21"/>
                      <w:highlight w:val="none"/>
                      <w:vertAlign w:val="baseline"/>
                      <w:lang w:val="en-US" w:eastAsia="zh-CN"/>
                    </w:rPr>
                    <w:t>本项目</w:t>
                  </w:r>
                  <w:r>
                    <w:rPr>
                      <w:rFonts w:hint="default" w:ascii="Times New Roman" w:hAnsi="Times New Roman" w:eastAsia="宋体" w:cs="Times New Roman"/>
                      <w:b w:val="0"/>
                      <w:bCs w:val="0"/>
                      <w:color w:val="auto"/>
                      <w:sz w:val="21"/>
                      <w:szCs w:val="21"/>
                      <w:highlight w:val="none"/>
                      <w:vertAlign w:val="baseline"/>
                      <w:lang w:val="en-US" w:eastAsia="zh-CN"/>
                    </w:rPr>
                    <w:t>用电需求</w:t>
                  </w:r>
                  <w:r>
                    <w:rPr>
                      <w:rFonts w:hint="eastAsia" w:ascii="Times New Roman" w:hAnsi="Times New Roman" w:eastAsia="宋体" w:cs="Times New Roman"/>
                      <w:b w:val="0"/>
                      <w:bCs w:val="0"/>
                      <w:color w:val="auto"/>
                      <w:sz w:val="21"/>
                      <w:szCs w:val="21"/>
                      <w:highlight w:val="none"/>
                      <w:vertAlign w:val="baseline"/>
                      <w:lang w:val="en-US" w:eastAsia="zh-CN"/>
                    </w:rPr>
                    <w:t>。</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依托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3"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环保工程</w:t>
                  </w:r>
                </w:p>
              </w:tc>
              <w:tc>
                <w:tcPr>
                  <w:tcW w:w="1112" w:type="dxa"/>
                  <w:gridSpan w:val="3"/>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废气</w:t>
                  </w:r>
                </w:p>
              </w:tc>
              <w:tc>
                <w:tcPr>
                  <w:tcW w:w="5313" w:type="dxa"/>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原料贮存产生的恶臭气体，通过合理安排生产时间和原料周转周期，尽量避免原料堆存时间过长。定期冲洗原料堆棚地面，保持堆棚地面的洁净。原料堆场设置在封闭式厂房内，设置通风换气装置。必要时喷洒微生物除臭菌剂等措施进行抑制。</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p>
              </w:tc>
              <w:tc>
                <w:tcPr>
                  <w:tcW w:w="1112" w:type="dxa"/>
                  <w:gridSpan w:val="3"/>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5313" w:type="dxa"/>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本项目</w:t>
                  </w:r>
                  <w:r>
                    <w:rPr>
                      <w:rFonts w:hint="default" w:ascii="Times New Roman" w:hAnsi="Times New Roman" w:cs="Times New Roman"/>
                      <w:b w:val="0"/>
                      <w:bCs w:val="0"/>
                      <w:color w:val="auto"/>
                      <w:sz w:val="21"/>
                      <w:szCs w:val="21"/>
                      <w:highlight w:val="none"/>
                      <w:vertAlign w:val="baseline"/>
                      <w:lang w:eastAsia="zh-CN"/>
                    </w:rPr>
                    <w:t>破碎、风选、筛分及粉碎工序产生粉尘</w:t>
                  </w:r>
                  <w:r>
                    <w:rPr>
                      <w:rFonts w:hint="default" w:ascii="Times New Roman" w:hAnsi="Times New Roman" w:eastAsia="宋体" w:cs="Times New Roman"/>
                      <w:b w:val="0"/>
                      <w:bCs w:val="0"/>
                      <w:color w:val="auto"/>
                      <w:sz w:val="21"/>
                      <w:szCs w:val="21"/>
                      <w:highlight w:val="none"/>
                      <w:vertAlign w:val="baseline"/>
                      <w:lang w:val="en-US" w:eastAsia="zh-CN"/>
                    </w:rPr>
                    <w:t>，通过</w:t>
                  </w:r>
                  <w:r>
                    <w:rPr>
                      <w:rFonts w:hint="eastAsia" w:ascii="Times New Roman" w:hAnsi="Times New Roman" w:cs="Times New Roman"/>
                      <w:b w:val="0"/>
                      <w:bCs w:val="0"/>
                      <w:color w:val="auto"/>
                      <w:sz w:val="21"/>
                      <w:szCs w:val="21"/>
                      <w:highlight w:val="none"/>
                      <w:vertAlign w:val="baseline"/>
                      <w:lang w:val="en-US" w:eastAsia="zh-CN"/>
                    </w:rPr>
                    <w:t>3座</w:t>
                  </w:r>
                  <w:r>
                    <w:rPr>
                      <w:rFonts w:hint="default" w:ascii="Times New Roman" w:hAnsi="Times New Roman" w:eastAsia="宋体" w:cs="Times New Roman"/>
                      <w:b w:val="0"/>
                      <w:bCs w:val="0"/>
                      <w:color w:val="auto"/>
                      <w:sz w:val="21"/>
                      <w:szCs w:val="21"/>
                      <w:highlight w:val="none"/>
                      <w:vertAlign w:val="baseline"/>
                      <w:lang w:val="en-US" w:eastAsia="zh-CN"/>
                    </w:rPr>
                    <w:t>集气罩</w:t>
                  </w:r>
                  <w:r>
                    <w:rPr>
                      <w:rFonts w:hint="default" w:ascii="Times New Roman" w:hAnsi="Times New Roman" w:cs="Times New Roman"/>
                      <w:b w:val="0"/>
                      <w:bCs w:val="0"/>
                      <w:color w:val="auto"/>
                      <w:sz w:val="21"/>
                      <w:szCs w:val="21"/>
                      <w:highlight w:val="none"/>
                      <w:vertAlign w:val="baseline"/>
                      <w:lang w:eastAsia="zh-CN"/>
                    </w:rPr>
                    <w:t>收集后由1套布袋除尘器处理后</w:t>
                  </w:r>
                  <w:r>
                    <w:rPr>
                      <w:rFonts w:hint="eastAsia" w:ascii="Times New Roman" w:hAnsi="Times New Roman" w:cs="Times New Roman"/>
                      <w:b w:val="0"/>
                      <w:bCs w:val="0"/>
                      <w:color w:val="auto"/>
                      <w:sz w:val="21"/>
                      <w:szCs w:val="21"/>
                      <w:highlight w:val="none"/>
                      <w:vertAlign w:val="baseline"/>
                      <w:lang w:val="en-US" w:eastAsia="zh-CN"/>
                    </w:rPr>
                    <w:t>通过1根15m高排气筒排放；</w:t>
                  </w:r>
                  <w:r>
                    <w:rPr>
                      <w:rFonts w:hint="default" w:ascii="Times New Roman" w:hAnsi="Times New Roman" w:eastAsia="宋体" w:cs="Times New Roman"/>
                      <w:b w:val="0"/>
                      <w:bCs w:val="0"/>
                      <w:color w:val="auto"/>
                      <w:sz w:val="21"/>
                      <w:szCs w:val="21"/>
                      <w:highlight w:val="none"/>
                      <w:vertAlign w:val="baseline"/>
                      <w:lang w:val="en-US" w:eastAsia="zh-CN"/>
                    </w:rPr>
                    <w:t>车间无组织废气经车间封闭、加强通风和绿化措施处理后，厂界达标。</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p>
              </w:tc>
              <w:tc>
                <w:tcPr>
                  <w:tcW w:w="548" w:type="dxa"/>
                  <w:gridSpan w:val="2"/>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废水</w:t>
                  </w:r>
                </w:p>
              </w:tc>
              <w:tc>
                <w:tcPr>
                  <w:tcW w:w="56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生活污水</w:t>
                  </w:r>
                </w:p>
              </w:tc>
              <w:tc>
                <w:tcPr>
                  <w:tcW w:w="5313" w:type="dxa"/>
                  <w:vAlign w:val="center"/>
                </w:tcPr>
                <w:p>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车间内设置卫生间，接管园区生活污水管网，生活污水最终进入伊金霍洛旗污水处理厂处理。</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利用现有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color w:val="auto"/>
                      <w:highlight w:val="none"/>
                    </w:rPr>
                  </w:pPr>
                </w:p>
              </w:tc>
              <w:tc>
                <w:tcPr>
                  <w:tcW w:w="548"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color w:val="auto"/>
                      <w:highlight w:val="none"/>
                    </w:rPr>
                  </w:pPr>
                </w:p>
              </w:tc>
              <w:tc>
                <w:tcPr>
                  <w:tcW w:w="56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生产废水</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color w:val="auto"/>
                      <w:sz w:val="21"/>
                      <w:szCs w:val="21"/>
                      <w:highlight w:val="none"/>
                      <w:lang w:val="en-US" w:eastAsia="zh-CN"/>
                    </w:rPr>
                    <w:t>项目新建30m</w:t>
                  </w:r>
                  <w:r>
                    <w:rPr>
                      <w:rFonts w:hint="eastAsia" w:ascii="Times New Roman" w:hAnsi="Times New Roman" w:cs="Times New Roman"/>
                      <w:color w:val="auto"/>
                      <w:sz w:val="21"/>
                      <w:szCs w:val="21"/>
                      <w:highlight w:val="none"/>
                      <w:vertAlign w:val="superscript"/>
                      <w:lang w:val="en-US" w:eastAsia="zh-CN"/>
                    </w:rPr>
                    <w:t>3</w:t>
                  </w:r>
                  <w:r>
                    <w:rPr>
                      <w:rFonts w:hint="eastAsia" w:ascii="Times New Roman" w:hAnsi="Times New Roman" w:cs="Times New Roman"/>
                      <w:color w:val="auto"/>
                      <w:sz w:val="21"/>
                      <w:szCs w:val="21"/>
                      <w:highlight w:val="none"/>
                      <w:vertAlign w:val="baseline"/>
                      <w:lang w:val="en-US" w:eastAsia="zh-CN"/>
                    </w:rPr>
                    <w:t>三级</w:t>
                  </w:r>
                  <w:r>
                    <w:rPr>
                      <w:rFonts w:hint="eastAsia" w:ascii="Times New Roman" w:hAnsi="Times New Roman" w:cs="Times New Roman"/>
                      <w:color w:val="auto"/>
                      <w:sz w:val="21"/>
                      <w:szCs w:val="21"/>
                      <w:highlight w:val="none"/>
                      <w:lang w:val="en-US" w:eastAsia="zh-CN"/>
                    </w:rPr>
                    <w:t>沉淀池1座，</w:t>
                  </w:r>
                  <w:r>
                    <w:rPr>
                      <w:rFonts w:hint="default" w:ascii="Times New Roman" w:hAnsi="Times New Roman" w:cs="Times New Roman"/>
                      <w:color w:val="auto"/>
                      <w:sz w:val="21"/>
                      <w:szCs w:val="21"/>
                      <w:highlight w:val="none"/>
                      <w:lang w:eastAsia="zh-CN"/>
                    </w:rPr>
                    <w:t>废</w:t>
                  </w:r>
                  <w:r>
                    <w:rPr>
                      <w:rFonts w:hint="eastAsia" w:ascii="Times New Roman" w:hAnsi="Times New Roman" w:cs="Times New Roman"/>
                      <w:color w:val="auto"/>
                      <w:sz w:val="21"/>
                      <w:szCs w:val="21"/>
                      <w:highlight w:val="none"/>
                      <w:lang w:val="en-US" w:eastAsia="zh-CN"/>
                    </w:rPr>
                    <w:t>水经沉淀池处理后，循环使用不外排。</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548" w:type="dxa"/>
                  <w:gridSpan w:val="2"/>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固废</w:t>
                  </w:r>
                </w:p>
              </w:tc>
              <w:tc>
                <w:tcPr>
                  <w:tcW w:w="56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生活垃圾</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设置生活垃圾箱，生活垃圾</w:t>
                  </w:r>
                  <w:r>
                    <w:rPr>
                      <w:rFonts w:hint="eastAsia" w:ascii="Times New Roman" w:hAnsi="Times New Roman" w:eastAsia="宋体" w:cs="Times New Roman"/>
                      <w:b w:val="0"/>
                      <w:bCs w:val="0"/>
                      <w:color w:val="auto"/>
                      <w:sz w:val="21"/>
                      <w:szCs w:val="21"/>
                      <w:highlight w:val="none"/>
                      <w:vertAlign w:val="baseline"/>
                      <w:lang w:val="en-US" w:eastAsia="zh-CN"/>
                    </w:rPr>
                    <w:t>集中收集后</w:t>
                  </w:r>
                  <w:r>
                    <w:rPr>
                      <w:rFonts w:hint="eastAsia" w:ascii="Times New Roman" w:hAnsi="Times New Roman" w:cs="Times New Roman"/>
                      <w:b w:val="0"/>
                      <w:bCs w:val="0"/>
                      <w:color w:val="auto"/>
                      <w:sz w:val="21"/>
                      <w:szCs w:val="21"/>
                      <w:highlight w:val="none"/>
                      <w:vertAlign w:val="baseline"/>
                      <w:lang w:val="en-US" w:eastAsia="zh-CN"/>
                    </w:rPr>
                    <w:t>由环卫部门统一处理。</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548"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56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金属杂质</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生产过程分选出的</w:t>
                  </w:r>
                  <w:r>
                    <w:rPr>
                      <w:rFonts w:hint="eastAsia" w:ascii="Times New Roman" w:hAnsi="Times New Roman" w:cs="Times New Roman"/>
                      <w:b w:val="0"/>
                      <w:bCs w:val="0"/>
                      <w:color w:val="auto"/>
                      <w:sz w:val="21"/>
                      <w:szCs w:val="21"/>
                      <w:highlight w:val="none"/>
                      <w:vertAlign w:val="baseline"/>
                      <w:lang w:val="en-US" w:eastAsia="zh-CN"/>
                    </w:rPr>
                    <w:t>金属</w:t>
                  </w:r>
                  <w:r>
                    <w:rPr>
                      <w:rFonts w:hint="default" w:ascii="Times New Roman" w:hAnsi="Times New Roman" w:eastAsia="宋体" w:cs="Times New Roman"/>
                      <w:b w:val="0"/>
                      <w:bCs w:val="0"/>
                      <w:color w:val="auto"/>
                      <w:sz w:val="21"/>
                      <w:szCs w:val="21"/>
                      <w:highlight w:val="none"/>
                      <w:vertAlign w:val="baseline"/>
                      <w:lang w:val="en-US" w:eastAsia="zh-CN"/>
                    </w:rPr>
                    <w:t>杂物</w:t>
                  </w:r>
                  <w:r>
                    <w:rPr>
                      <w:rFonts w:hint="eastAsia" w:ascii="Times New Roman" w:hAnsi="Times New Roman" w:cs="Times New Roman"/>
                      <w:b w:val="0"/>
                      <w:bCs w:val="0"/>
                      <w:color w:val="auto"/>
                      <w:sz w:val="21"/>
                      <w:szCs w:val="21"/>
                      <w:highlight w:val="none"/>
                      <w:vertAlign w:val="baseline"/>
                      <w:lang w:val="en-US" w:eastAsia="zh-CN"/>
                    </w:rPr>
                    <w:t>收集后暂存于一般固废暂存区，定期外售废品收购站。</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548"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56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废料</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生产过程分选出的</w:t>
                  </w:r>
                  <w:r>
                    <w:rPr>
                      <w:rFonts w:hint="eastAsia" w:ascii="Times New Roman" w:hAnsi="Times New Roman" w:cs="Times New Roman"/>
                      <w:b w:val="0"/>
                      <w:bCs w:val="0"/>
                      <w:color w:val="auto"/>
                      <w:sz w:val="21"/>
                      <w:szCs w:val="21"/>
                      <w:highlight w:val="none"/>
                      <w:vertAlign w:val="baseline"/>
                      <w:lang w:val="en-US" w:eastAsia="zh-CN"/>
                    </w:rPr>
                    <w:t>废料（纸片、沙子、木屑等），属性与生活垃圾相同，收集后暂存于一般固废暂存区，定期交由环卫部门统一拉运处置。</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548"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56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color w:val="auto"/>
                      <w:spacing w:val="-1"/>
                      <w:sz w:val="21"/>
                      <w:szCs w:val="21"/>
                      <w:highlight w:val="none"/>
                      <w:lang w:val="en-US" w:eastAsia="zh-CN"/>
                    </w:rPr>
                    <w:t>废硅胶</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废塑料中分离出的</w:t>
                  </w:r>
                  <w:r>
                    <w:rPr>
                      <w:rFonts w:hint="default" w:ascii="Times New Roman" w:hAnsi="Times New Roman" w:eastAsia="宋体" w:cs="Times New Roman"/>
                      <w:b w:val="0"/>
                      <w:bCs w:val="0"/>
                      <w:color w:val="auto"/>
                      <w:sz w:val="21"/>
                      <w:szCs w:val="21"/>
                      <w:highlight w:val="none"/>
                      <w:vertAlign w:val="baseline"/>
                      <w:lang w:val="en-US" w:eastAsia="zh-CN"/>
                    </w:rPr>
                    <w:t>废硅胶收集后定期外售废硅胶回收单位回收利用</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548"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56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沉淀池底泥</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底泥定期清掏，送就近建筑垃圾消纳场所处置。</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548"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56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除尘粉尘</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除尘器粉尘，收集后定期交由环卫部门统一处置。</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548"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56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废布袋</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除尘器废布袋由厂家更换时回收，不在场内存放。</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548" w:type="dxa"/>
                  <w:gridSpan w:val="2"/>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危险废物</w:t>
                  </w:r>
                </w:p>
              </w:tc>
              <w:tc>
                <w:tcPr>
                  <w:tcW w:w="564"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废机油及废油桶</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项目设备维修产生的废机油</w:t>
                  </w:r>
                  <w:r>
                    <w:rPr>
                      <w:rFonts w:hint="default" w:ascii="Times New Roman" w:hAnsi="Times New Roman" w:cs="Times New Roman"/>
                      <w:color w:val="auto"/>
                      <w:sz w:val="21"/>
                      <w:szCs w:val="21"/>
                      <w:highlight w:val="none"/>
                      <w:lang w:val="en-US" w:eastAsia="zh-CN"/>
                    </w:rPr>
                    <w:t>（HW08  900-214-08）</w:t>
                  </w:r>
                  <w:r>
                    <w:rPr>
                      <w:rFonts w:hint="eastAsia" w:ascii="Times New Roman" w:hAnsi="Times New Roman" w:cs="Times New Roman"/>
                      <w:color w:val="auto"/>
                      <w:sz w:val="21"/>
                      <w:szCs w:val="21"/>
                      <w:highlight w:val="none"/>
                      <w:lang w:val="en-US" w:eastAsia="zh-CN"/>
                    </w:rPr>
                    <w:t>、废油桶（HW49  900-041-49）</w:t>
                  </w:r>
                  <w:r>
                    <w:rPr>
                      <w:rFonts w:hint="eastAsia"/>
                      <w:color w:val="auto"/>
                      <w:sz w:val="21"/>
                      <w:szCs w:val="21"/>
                      <w:highlight w:val="none"/>
                      <w:lang w:val="en-US" w:eastAsia="zh-CN"/>
                    </w:rPr>
                    <w:t>属于危险废物，收集后暂存于危险废物暂存间内，定期交由有资质单位处置。</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1112" w:type="dxa"/>
                  <w:gridSpan w:val="3"/>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噪声</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rPr>
                    <w:t>选用低噪设备</w:t>
                  </w:r>
                  <w:r>
                    <w:rPr>
                      <w:rFonts w:hint="eastAsia" w:ascii="Times New Roman" w:hAnsi="Times New Roman" w:cs="Times New Roman"/>
                      <w:b w:val="0"/>
                      <w:bCs w:val="0"/>
                      <w:color w:val="auto"/>
                      <w:sz w:val="21"/>
                      <w:szCs w:val="21"/>
                      <w:highlight w:val="none"/>
                      <w:vertAlign w:val="baseline"/>
                      <w:lang w:val="en-US" w:eastAsia="zh-CN"/>
                    </w:rPr>
                    <w:t>，进行</w:t>
                  </w:r>
                  <w:r>
                    <w:rPr>
                      <w:rFonts w:hint="default" w:ascii="Times New Roman" w:hAnsi="Times New Roman" w:cs="Times New Roman"/>
                      <w:b w:val="0"/>
                      <w:bCs w:val="0"/>
                      <w:color w:val="auto"/>
                      <w:sz w:val="21"/>
                      <w:szCs w:val="21"/>
                      <w:highlight w:val="none"/>
                      <w:vertAlign w:val="baseline"/>
                      <w:lang w:eastAsia="zh-CN"/>
                    </w:rPr>
                    <w:t>基础</w:t>
                  </w:r>
                  <w:r>
                    <w:rPr>
                      <w:rFonts w:hint="eastAsia" w:ascii="Times New Roman" w:hAnsi="Times New Roman" w:cs="Times New Roman"/>
                      <w:b w:val="0"/>
                      <w:bCs w:val="0"/>
                      <w:color w:val="auto"/>
                      <w:sz w:val="21"/>
                      <w:szCs w:val="21"/>
                      <w:highlight w:val="none"/>
                      <w:vertAlign w:val="baseline"/>
                      <w:lang w:val="en-US" w:eastAsia="zh-CN"/>
                    </w:rPr>
                    <w:t>减振、</w:t>
                  </w:r>
                  <w:r>
                    <w:rPr>
                      <w:rFonts w:hint="default" w:ascii="Times New Roman" w:hAnsi="Times New Roman" w:cs="Times New Roman"/>
                      <w:b w:val="0"/>
                      <w:bCs w:val="0"/>
                      <w:color w:val="auto"/>
                      <w:sz w:val="21"/>
                      <w:szCs w:val="21"/>
                      <w:highlight w:val="none"/>
                      <w:vertAlign w:val="baseline"/>
                      <w:lang w:eastAsia="zh-CN"/>
                    </w:rPr>
                    <w:t>厂房</w:t>
                  </w:r>
                  <w:r>
                    <w:rPr>
                      <w:rFonts w:hint="eastAsia" w:ascii="Times New Roman" w:hAnsi="Times New Roman" w:cs="Times New Roman"/>
                      <w:b w:val="0"/>
                      <w:bCs w:val="0"/>
                      <w:color w:val="auto"/>
                      <w:sz w:val="21"/>
                      <w:szCs w:val="21"/>
                      <w:highlight w:val="none"/>
                      <w:vertAlign w:val="baseline"/>
                      <w:lang w:val="en-US" w:eastAsia="zh-CN"/>
                    </w:rPr>
                    <w:t>隔声</w:t>
                  </w:r>
                  <w:r>
                    <w:rPr>
                      <w:rFonts w:hint="default" w:ascii="Times New Roman" w:hAnsi="Times New Roman" w:cs="Times New Roman"/>
                      <w:b w:val="0"/>
                      <w:bCs w:val="0"/>
                      <w:color w:val="auto"/>
                      <w:sz w:val="21"/>
                      <w:szCs w:val="21"/>
                      <w:highlight w:val="none"/>
                      <w:vertAlign w:val="baseline"/>
                      <w:lang w:eastAsia="zh-CN"/>
                    </w:rPr>
                    <w:t>（现有）</w:t>
                  </w:r>
                  <w:r>
                    <w:rPr>
                      <w:rFonts w:hint="eastAsia" w:ascii="Times New Roman" w:hAnsi="Times New Roman" w:cs="Times New Roman"/>
                      <w:b w:val="0"/>
                      <w:bCs w:val="0"/>
                      <w:color w:val="auto"/>
                      <w:sz w:val="21"/>
                      <w:szCs w:val="21"/>
                      <w:highlight w:val="none"/>
                      <w:vertAlign w:val="baseline"/>
                      <w:lang w:val="en-US" w:eastAsia="zh-CN"/>
                    </w:rPr>
                    <w:t>等措施。</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vertAlign w:val="baseline"/>
                      <w:lang w:val="en-US" w:eastAsia="zh-CN"/>
                    </w:rPr>
                    <w:t>新建</w:t>
                  </w:r>
                  <w:r>
                    <w:rPr>
                      <w:rFonts w:hint="default" w:ascii="Times New Roman" w:hAnsi="Times New Roman" w:cs="Times New Roman"/>
                      <w:b w:val="0"/>
                      <w:bCs w:val="0"/>
                      <w:color w:val="auto"/>
                      <w:sz w:val="21"/>
                      <w:szCs w:val="21"/>
                      <w:highlight w:val="none"/>
                      <w:vertAlign w:val="baseline"/>
                      <w:lang w:eastAsia="zh-CN"/>
                    </w:rPr>
                    <w:t>+现有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443"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防渗</w:t>
                  </w:r>
                </w:p>
              </w:tc>
              <w:tc>
                <w:tcPr>
                  <w:tcW w:w="669" w:type="dxa"/>
                  <w:gridSpan w:val="2"/>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重点防渗</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rPr>
                    <w:t>危废库</w:t>
                  </w:r>
                  <w:r>
                    <w:rPr>
                      <w:rFonts w:hint="default" w:ascii="Times New Roman" w:hAnsi="Times New Roman" w:eastAsia="宋体" w:cs="Times New Roman"/>
                      <w:bCs/>
                      <w:color w:val="auto"/>
                      <w:sz w:val="21"/>
                      <w:szCs w:val="21"/>
                      <w:highlight w:val="none"/>
                      <w:lang w:eastAsia="zh-CN"/>
                    </w:rPr>
                    <w:t>地面</w:t>
                  </w:r>
                  <w:r>
                    <w:rPr>
                      <w:rFonts w:hint="default" w:ascii="Times New Roman" w:hAnsi="Times New Roman" w:eastAsia="宋体" w:cs="Times New Roman"/>
                      <w:color w:val="auto"/>
                      <w:sz w:val="21"/>
                      <w:szCs w:val="21"/>
                      <w:highlight w:val="none"/>
                    </w:rPr>
                    <w:t>按照</w:t>
                  </w:r>
                  <w:r>
                    <w:rPr>
                      <w:rFonts w:hint="default" w:ascii="Times New Roman" w:hAnsi="Times New Roman" w:eastAsia="宋体" w:cs="Times New Roman"/>
                      <w:color w:val="auto"/>
                      <w:sz w:val="21"/>
                      <w:szCs w:val="21"/>
                      <w:highlight w:val="none"/>
                      <w:vertAlign w:val="baseline"/>
                      <w:lang w:val="en-US" w:eastAsia="zh-CN"/>
                    </w:rPr>
                    <w:t>《危险废物贮存污染控制标准》（GB18597-2023）要求进行设计、建设和管理，防渗结构为基础防渗+2mmHDPE膜+20cm抗渗</w:t>
                  </w:r>
                  <w:r>
                    <w:rPr>
                      <w:rFonts w:hint="eastAsia" w:ascii="Times New Roman" w:hAnsi="Times New Roman" w:cs="Times New Roman"/>
                      <w:color w:val="auto"/>
                      <w:sz w:val="21"/>
                      <w:szCs w:val="21"/>
                      <w:highlight w:val="none"/>
                      <w:vertAlign w:val="baseline"/>
                      <w:lang w:val="en-US" w:eastAsia="zh-CN"/>
                    </w:rPr>
                    <w:t>混凝土</w:t>
                  </w:r>
                  <w:r>
                    <w:rPr>
                      <w:rFonts w:hint="default" w:ascii="Times New Roman" w:hAnsi="Times New Roman" w:eastAsia="宋体" w:cs="Times New Roman"/>
                      <w:color w:val="auto"/>
                      <w:sz w:val="21"/>
                      <w:szCs w:val="21"/>
                      <w:highlight w:val="none"/>
                      <w:vertAlign w:val="baseline"/>
                      <w:lang w:val="en-US" w:eastAsia="zh-CN"/>
                    </w:rPr>
                    <w:t>+环氧树脂涂层防腐</w:t>
                  </w:r>
                  <w:r>
                    <w:rPr>
                      <w:rFonts w:hint="default" w:ascii="Times New Roman" w:hAnsi="Times New Roman" w:eastAsia="宋体" w:cs="Times New Roman"/>
                      <w:color w:val="auto"/>
                      <w:sz w:val="21"/>
                      <w:szCs w:val="21"/>
                      <w:highlight w:val="none"/>
                    </w:rPr>
                    <w:t>，渗透系数小于1×10</w:t>
                  </w:r>
                  <w:r>
                    <w:rPr>
                      <w:rFonts w:hint="default" w:ascii="Times New Roman" w:hAnsi="Times New Roman" w:eastAsia="宋体" w:cs="Times New Roman"/>
                      <w:color w:val="auto"/>
                      <w:sz w:val="21"/>
                      <w:szCs w:val="21"/>
                      <w:highlight w:val="none"/>
                      <w:vertAlign w:val="superscript"/>
                    </w:rPr>
                    <w:t>-10</w:t>
                  </w:r>
                  <w:r>
                    <w:rPr>
                      <w:rFonts w:hint="default" w:ascii="Times New Roman" w:hAnsi="Times New Roman" w:eastAsia="宋体" w:cs="Times New Roman"/>
                      <w:color w:val="auto"/>
                      <w:sz w:val="21"/>
                      <w:szCs w:val="21"/>
                      <w:highlight w:val="none"/>
                    </w:rPr>
                    <w:t>cm/s</w:t>
                  </w:r>
                  <w:r>
                    <w:rPr>
                      <w:rFonts w:hint="default" w:ascii="Times New Roman" w:hAnsi="Times New Roman" w:eastAsia="宋体" w:cs="Times New Roman"/>
                      <w:bCs/>
                      <w:color w:val="auto"/>
                      <w:sz w:val="21"/>
                      <w:szCs w:val="21"/>
                      <w:highlight w:val="none"/>
                    </w:rPr>
                    <w:t>。</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44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669" w:type="dxa"/>
                  <w:gridSpan w:val="2"/>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一般防渗</w:t>
                  </w: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color w:val="auto"/>
                      <w:sz w:val="21"/>
                      <w:szCs w:val="21"/>
                      <w:highlight w:val="none"/>
                      <w:lang w:val="en-US" w:eastAsia="zh-CN"/>
                    </w:rPr>
                    <w:t>项目生产车间</w:t>
                  </w:r>
                  <w:r>
                    <w:rPr>
                      <w:rFonts w:hint="eastAsia"/>
                      <w:color w:val="auto"/>
                      <w:sz w:val="21"/>
                      <w:szCs w:val="21"/>
                      <w:highlight w:val="none"/>
                    </w:rPr>
                    <w:t>地面防渗</w:t>
                  </w:r>
                  <w:r>
                    <w:rPr>
                      <w:rFonts w:hint="eastAsia"/>
                      <w:color w:val="auto"/>
                      <w:sz w:val="21"/>
                      <w:szCs w:val="21"/>
                      <w:highlight w:val="none"/>
                      <w:lang w:eastAsia="zh-CN"/>
                    </w:rPr>
                    <w:t>：基础黏土层夯实</w:t>
                  </w:r>
                  <w:r>
                    <w:rPr>
                      <w:rFonts w:hint="default" w:ascii="Times New Roman" w:hAnsi="Times New Roman" w:cs="Times New Roman"/>
                      <w:color w:val="auto"/>
                      <w:sz w:val="21"/>
                      <w:szCs w:val="21"/>
                      <w:highlight w:val="none"/>
                      <w:lang w:eastAsia="zh-CN"/>
                    </w:rPr>
                    <w:t>，表面</w:t>
                  </w:r>
                  <w:r>
                    <w:rPr>
                      <w:rFonts w:hint="default" w:ascii="Times New Roman" w:hAnsi="Times New Roman" w:cs="Times New Roman"/>
                      <w:color w:val="auto"/>
                      <w:sz w:val="21"/>
                      <w:szCs w:val="21"/>
                      <w:highlight w:val="none"/>
                      <w:lang w:val="en-US" w:eastAsia="zh-CN"/>
                    </w:rPr>
                    <w:t>15cm厚混凝土</w:t>
                  </w:r>
                  <w:r>
                    <w:rPr>
                      <w:rFonts w:hint="default" w:ascii="Times New Roman" w:hAnsi="Times New Roman" w:cs="Times New Roman"/>
                      <w:color w:val="auto"/>
                      <w:sz w:val="21"/>
                      <w:szCs w:val="21"/>
                      <w:highlight w:val="none"/>
                      <w:lang w:eastAsia="zh-CN"/>
                    </w:rPr>
                    <w:t>防渗措施</w:t>
                  </w:r>
                  <w:r>
                    <w:rPr>
                      <w:rFonts w:hint="eastAsia" w:ascii="Times New Roman" w:hAnsi="Times New Roman" w:cs="Times New Roman"/>
                      <w:color w:val="auto"/>
                      <w:sz w:val="21"/>
                      <w:szCs w:val="21"/>
                      <w:highlight w:val="none"/>
                      <w:lang w:val="en-US" w:eastAsia="zh-CN"/>
                    </w:rPr>
                    <w:t>+环氧树脂漆涂层防腐</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等效粘土防渗层Mb≥1.5m，K≤1×10</w:t>
                  </w:r>
                  <w:r>
                    <w:rPr>
                      <w:rFonts w:hint="default" w:ascii="Times New Roman" w:hAnsi="Times New Roman" w:cs="Times New Roman"/>
                      <w:color w:val="auto"/>
                      <w:sz w:val="21"/>
                      <w:szCs w:val="21"/>
                      <w:highlight w:val="none"/>
                      <w:vertAlign w:val="superscript"/>
                    </w:rPr>
                    <w:t>-7</w:t>
                  </w:r>
                  <w:r>
                    <w:rPr>
                      <w:rFonts w:hint="default" w:ascii="Times New Roman" w:hAnsi="Times New Roman" w:cs="Times New Roman"/>
                      <w:color w:val="auto"/>
                      <w:sz w:val="21"/>
                      <w:szCs w:val="21"/>
                      <w:highlight w:val="none"/>
                    </w:rPr>
                    <w:t>cm/s</w:t>
                  </w:r>
                  <w:r>
                    <w:rPr>
                      <w:rFonts w:hint="eastAsia"/>
                      <w:color w:val="auto"/>
                      <w:sz w:val="21"/>
                      <w:szCs w:val="21"/>
                      <w:highlight w:val="none"/>
                    </w:rPr>
                    <w:t>。</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rPr>
                  </w:pPr>
                </w:p>
              </w:tc>
              <w:tc>
                <w:tcPr>
                  <w:tcW w:w="443"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669"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1"/>
                      <w:szCs w:val="21"/>
                      <w:highlight w:val="none"/>
                      <w:vertAlign w:val="baseline"/>
                      <w:lang w:val="en-US" w:eastAsia="zh-CN"/>
                    </w:rPr>
                  </w:pPr>
                </w:p>
              </w:tc>
              <w:tc>
                <w:tcPr>
                  <w:tcW w:w="5313"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color w:val="auto"/>
                      <w:sz w:val="21"/>
                      <w:szCs w:val="21"/>
                      <w:highlight w:val="none"/>
                      <w:lang w:val="en-US" w:eastAsia="zh-CN"/>
                    </w:rPr>
                  </w:pPr>
                  <w:r>
                    <w:rPr>
                      <w:rFonts w:hint="eastAsia"/>
                      <w:color w:val="auto"/>
                      <w:sz w:val="21"/>
                      <w:szCs w:val="21"/>
                      <w:highlight w:val="none"/>
                      <w:lang w:val="en-US" w:eastAsia="zh-CN"/>
                    </w:rPr>
                    <w:t>沉淀池池壁及底部防渗：</w:t>
                  </w:r>
                  <w:r>
                    <w:rPr>
                      <w:rFonts w:hint="eastAsia"/>
                      <w:color w:val="auto"/>
                      <w:sz w:val="21"/>
                      <w:szCs w:val="21"/>
                      <w:highlight w:val="none"/>
                      <w:lang w:eastAsia="zh-CN"/>
                    </w:rPr>
                    <w:t>基础黏土层夯实</w:t>
                  </w:r>
                  <w:r>
                    <w:rPr>
                      <w:rFonts w:hint="default" w:ascii="Times New Roman" w:hAnsi="Times New Roman" w:cs="Times New Roman"/>
                      <w:color w:val="auto"/>
                      <w:sz w:val="21"/>
                      <w:szCs w:val="21"/>
                      <w:highlight w:val="none"/>
                      <w:lang w:eastAsia="zh-CN"/>
                    </w:rPr>
                    <w:t>，表面</w:t>
                  </w:r>
                  <w:r>
                    <w:rPr>
                      <w:rFonts w:hint="default" w:ascii="Times New Roman" w:hAnsi="Times New Roman" w:cs="Times New Roman"/>
                      <w:color w:val="auto"/>
                      <w:sz w:val="21"/>
                      <w:szCs w:val="21"/>
                      <w:highlight w:val="none"/>
                      <w:lang w:val="en-US" w:eastAsia="zh-CN"/>
                    </w:rPr>
                    <w:t>15cm厚混凝土</w:t>
                  </w:r>
                  <w:r>
                    <w:rPr>
                      <w:rFonts w:hint="default" w:ascii="Times New Roman" w:hAnsi="Times New Roman" w:cs="Times New Roman"/>
                      <w:color w:val="auto"/>
                      <w:sz w:val="21"/>
                      <w:szCs w:val="21"/>
                      <w:highlight w:val="none"/>
                      <w:lang w:eastAsia="zh-CN"/>
                    </w:rPr>
                    <w:t>防渗措施</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等效粘土防渗层Mb≥1.5m，K≤1×10</w:t>
                  </w:r>
                  <w:r>
                    <w:rPr>
                      <w:rFonts w:hint="default" w:ascii="Times New Roman" w:hAnsi="Times New Roman" w:cs="Times New Roman"/>
                      <w:color w:val="auto"/>
                      <w:sz w:val="21"/>
                      <w:szCs w:val="21"/>
                      <w:highlight w:val="none"/>
                      <w:vertAlign w:val="superscript"/>
                    </w:rPr>
                    <w:t>-7</w:t>
                  </w:r>
                  <w:r>
                    <w:rPr>
                      <w:rFonts w:hint="default" w:ascii="Times New Roman" w:hAnsi="Times New Roman" w:cs="Times New Roman"/>
                      <w:color w:val="auto"/>
                      <w:sz w:val="21"/>
                      <w:szCs w:val="21"/>
                      <w:highlight w:val="none"/>
                    </w:rPr>
                    <w:t>cm/s</w:t>
                  </w:r>
                  <w:r>
                    <w:rPr>
                      <w:rFonts w:hint="eastAsia"/>
                      <w:color w:val="auto"/>
                      <w:sz w:val="21"/>
                      <w:szCs w:val="21"/>
                      <w:highlight w:val="none"/>
                    </w:rPr>
                    <w:t>。</w:t>
                  </w:r>
                </w:p>
              </w:tc>
              <w:tc>
                <w:tcPr>
                  <w:tcW w:w="769" w:type="dxa"/>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新建</w:t>
                  </w:r>
                </w:p>
              </w:tc>
            </w:tr>
          </w:tbl>
          <w:p>
            <w:pPr>
              <w:keepNext w:val="0"/>
              <w:keepLines w:val="0"/>
              <w:pageBreakBefore w:val="0"/>
              <w:widowControl w:val="0"/>
              <w:kinsoku/>
              <w:wordWrap/>
              <w:overflowPunct/>
              <w:topLinePunct w:val="0"/>
              <w:autoSpaceDE w:val="0"/>
              <w:autoSpaceDN w:val="0"/>
              <w:bidi w:val="0"/>
              <w:spacing w:line="360" w:lineRule="auto"/>
              <w:ind w:firstLine="481" w:firstLineChars="200"/>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val="en-US" w:eastAsia="zh-CN"/>
              </w:rPr>
              <w:t>6</w:t>
            </w:r>
            <w:r>
              <w:rPr>
                <w:rFonts w:hint="default" w:ascii="Times New Roman" w:hAnsi="Times New Roman" w:eastAsia="宋体" w:cs="Times New Roman"/>
                <w:b/>
                <w:bCs/>
                <w:color w:val="auto"/>
                <w:sz w:val="24"/>
                <w:highlight w:val="none"/>
                <w:lang w:val="en-US"/>
              </w:rPr>
              <w:t>、</w:t>
            </w:r>
            <w:r>
              <w:rPr>
                <w:rFonts w:hint="eastAsia" w:ascii="Times New Roman" w:hAnsi="Times New Roman" w:eastAsia="宋体" w:cs="Times New Roman"/>
                <w:b/>
                <w:bCs/>
                <w:color w:val="auto"/>
                <w:sz w:val="24"/>
                <w:highlight w:val="none"/>
                <w:lang w:eastAsia="zh-CN"/>
              </w:rPr>
              <w:t>主要设备</w:t>
            </w:r>
          </w:p>
          <w:p>
            <w:pPr>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color w:val="auto"/>
                <w:sz w:val="24"/>
                <w:highlight w:val="none"/>
                <w:lang w:eastAsia="zh-CN"/>
              </w:rPr>
            </w:pPr>
            <w:r>
              <w:rPr>
                <w:rFonts w:hint="eastAsia" w:ascii="Times New Roman" w:hAnsi="Times New Roman" w:cs="Times New Roman"/>
                <w:color w:val="auto"/>
                <w:sz w:val="24"/>
                <w:highlight w:val="none"/>
                <w:lang w:eastAsia="zh-CN"/>
              </w:rPr>
              <w:t>项目主要设备清单见下表。</w:t>
            </w:r>
          </w:p>
          <w:p>
            <w:pPr>
              <w:keepNext w:val="0"/>
              <w:keepLines w:val="0"/>
              <w:pageBreakBefore w:val="0"/>
              <w:widowControl w:val="0"/>
              <w:kinsoku/>
              <w:wordWrap/>
              <w:overflowPunct/>
              <w:topLinePunct w:val="0"/>
              <w:autoSpaceDE w:val="0"/>
              <w:autoSpaceDN w:val="0"/>
              <w:bidi w:val="0"/>
              <w:spacing w:line="240" w:lineRule="auto"/>
              <w:ind w:firstLine="481" w:firstLineChars="200"/>
              <w:jc w:val="center"/>
              <w:rPr>
                <w:rFonts w:hint="default" w:ascii="Times New Roman" w:hAnsi="Times New Roman" w:cs="Times New Roman"/>
                <w:b/>
                <w:bCs/>
                <w:color w:val="auto"/>
                <w:sz w:val="24"/>
                <w:highlight w:val="none"/>
                <w:lang w:val="en-US" w:eastAsia="zh-CN"/>
              </w:rPr>
            </w:pPr>
            <w:r>
              <w:rPr>
                <w:rFonts w:hint="eastAsia" w:ascii="Times New Roman" w:hAnsi="Times New Roman" w:cs="Times New Roman"/>
                <w:b/>
                <w:bCs/>
                <w:color w:val="auto"/>
                <w:sz w:val="24"/>
                <w:highlight w:val="none"/>
                <w:lang w:eastAsia="zh-CN"/>
              </w:rPr>
              <w:t>表</w:t>
            </w:r>
            <w:r>
              <w:rPr>
                <w:rFonts w:hint="eastAsia" w:ascii="Times New Roman" w:hAnsi="Times New Roman" w:cs="Times New Roman"/>
                <w:b/>
                <w:bCs/>
                <w:color w:val="auto"/>
                <w:sz w:val="24"/>
                <w:highlight w:val="none"/>
                <w:lang w:val="en-US" w:eastAsia="zh-CN"/>
              </w:rPr>
              <w:t>2-2  主要设备一览表</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23"/>
              <w:gridCol w:w="2742"/>
              <w:gridCol w:w="1249"/>
              <w:gridCol w:w="12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设备名称</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型号及规格</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数量</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链板输送带</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1200型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锤破粉碎机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1500型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输送带</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1000型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输送带</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800型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空分机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提升机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470型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8</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无轴滚筒筛</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1500型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除铁风送</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400型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无动力风选机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800型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刀破粉碎机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1200型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高速摩擦机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480型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全网甩干机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720型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4</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提升机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400型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4</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深水漂槽</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5</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全网甩干机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800型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风选机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1200型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提升机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340型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捞料机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400型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斗式提升机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26型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lang w:val="en-US"/>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硅橡胶分选机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HBR4000S</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滚筒筛</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HB-GTS2000</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6米加热蛟龙</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HB-JR-6M</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空分机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HB-KF55</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四级静电分选机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HB300</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热洗罐</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1900型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刀破粉碎机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1000型</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色选机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十通道</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4</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材质机</w:t>
                  </w:r>
                </w:p>
              </w:tc>
              <w:tc>
                <w:tcPr>
                  <w:tcW w:w="1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十通道</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4</w:t>
                  </w:r>
                </w:p>
              </w:tc>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val="0"/>
                    <w:autoSpaceDN w:val="0"/>
                    <w:bidi w:val="0"/>
                    <w:jc w:val="center"/>
                    <w:textAlignment w:val="center"/>
                    <w:rPr>
                      <w:rFonts w:hint="default" w:ascii="Times New Roman" w:hAnsi="Times New Roman" w:cs="Times New Roman" w:eastAsiaTheme="minorEastAsia"/>
                      <w:b w:val="0"/>
                      <w:bCs w:val="0"/>
                      <w:i w:val="0"/>
                      <w:iCs w:val="0"/>
                      <w:color w:val="auto"/>
                      <w:sz w:val="21"/>
                      <w:szCs w:val="21"/>
                      <w:highlight w:val="none"/>
                      <w:u w:val="none"/>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台</w:t>
                  </w:r>
                </w:p>
              </w:tc>
            </w:tr>
          </w:tbl>
          <w:p>
            <w:pPr>
              <w:pStyle w:val="21"/>
              <w:keepNext w:val="0"/>
              <w:keepLines w:val="0"/>
              <w:pageBreakBefore w:val="0"/>
              <w:widowControl w:val="0"/>
              <w:numPr>
                <w:ilvl w:val="0"/>
                <w:numId w:val="2"/>
              </w:numPr>
              <w:kinsoku/>
              <w:wordWrap/>
              <w:overflowPunct/>
              <w:topLinePunct w:val="0"/>
              <w:autoSpaceDE w:val="0"/>
              <w:autoSpaceDN w:val="0"/>
              <w:bidi w:val="0"/>
              <w:spacing w:line="360" w:lineRule="auto"/>
              <w:ind w:firstLine="481" w:firstLineChars="200"/>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原辅材料</w:t>
            </w:r>
          </w:p>
          <w:p>
            <w:pPr>
              <w:pStyle w:val="63"/>
              <w:keepNext w:val="0"/>
              <w:keepLines w:val="0"/>
              <w:pageBreakBefore w:val="0"/>
              <w:widowControl w:val="0"/>
              <w:kinsoku/>
              <w:wordWrap/>
              <w:overflowPunct/>
              <w:topLinePunct w:val="0"/>
              <w:autoSpaceDE w:val="0"/>
              <w:autoSpaceDN w:val="0"/>
              <w:bidi w:val="0"/>
              <w:adjustRightInd/>
              <w:snapToGrid/>
              <w:spacing w:line="360" w:lineRule="auto"/>
              <w:ind w:firstLine="452"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color w:val="auto"/>
                <w:spacing w:val="-7"/>
                <w:sz w:val="24"/>
                <w:szCs w:val="24"/>
                <w:highlight w:val="none"/>
              </w:rPr>
              <w:t>本项目原料主要为外购的废塑料，主要为工业源废塑料、生活源废塑料及少量农业源废塑料，不含医疗机构产生的废塑料</w:t>
            </w:r>
            <w:r>
              <w:rPr>
                <w:rFonts w:hint="eastAsia" w:ascii="Times New Roman" w:hAnsi="Times New Roman" w:cs="Times New Roman"/>
                <w:color w:val="auto"/>
                <w:spacing w:val="-7"/>
                <w:sz w:val="24"/>
                <w:szCs w:val="24"/>
                <w:highlight w:val="none"/>
                <w:lang w:eastAsia="zh-CN"/>
              </w:rPr>
              <w:t>，</w:t>
            </w:r>
            <w:r>
              <w:rPr>
                <w:rFonts w:hint="eastAsia" w:ascii="Times New Roman" w:hAnsi="Times New Roman" w:cs="Times New Roman"/>
                <w:color w:val="auto"/>
                <w:spacing w:val="-7"/>
                <w:sz w:val="24"/>
                <w:szCs w:val="24"/>
                <w:highlight w:val="none"/>
                <w:lang w:val="en-US" w:eastAsia="zh-CN"/>
              </w:rPr>
              <w:t>不沾染有毒有害物质</w:t>
            </w:r>
            <w:r>
              <w:rPr>
                <w:rFonts w:hint="default" w:ascii="Times New Roman" w:hAnsi="Times New Roman" w:eastAsia="宋体" w:cs="Times New Roman"/>
                <w:color w:val="auto"/>
                <w:spacing w:val="-7"/>
                <w:sz w:val="24"/>
                <w:szCs w:val="24"/>
                <w:highlight w:val="none"/>
              </w:rPr>
              <w:t>。废塑料为本地区</w:t>
            </w:r>
            <w:r>
              <w:rPr>
                <w:rFonts w:hint="eastAsia" w:ascii="Times New Roman" w:hAnsi="Times New Roman" w:cs="Times New Roman"/>
                <w:color w:val="auto"/>
                <w:spacing w:val="-7"/>
                <w:sz w:val="24"/>
                <w:szCs w:val="24"/>
                <w:highlight w:val="none"/>
                <w:lang w:val="en-US" w:eastAsia="zh-CN"/>
              </w:rPr>
              <w:t>废塑料回收企业经过初步筛选后的</w:t>
            </w:r>
            <w:r>
              <w:rPr>
                <w:rFonts w:hint="default" w:ascii="Times New Roman" w:hAnsi="Times New Roman" w:eastAsia="宋体" w:cs="Times New Roman"/>
                <w:color w:val="auto"/>
                <w:spacing w:val="-7"/>
                <w:sz w:val="24"/>
                <w:szCs w:val="24"/>
                <w:highlight w:val="none"/>
              </w:rPr>
              <w:t>压缩块料</w:t>
            </w:r>
            <w:r>
              <w:rPr>
                <w:rFonts w:hint="eastAsia" w:ascii="Times New Roman" w:hAnsi="Times New Roman" w:cs="Times New Roman"/>
                <w:color w:val="auto"/>
                <w:spacing w:val="-7"/>
                <w:sz w:val="24"/>
                <w:szCs w:val="24"/>
                <w:highlight w:val="none"/>
                <w:lang w:eastAsia="zh-CN"/>
              </w:rPr>
              <w:t>，</w:t>
            </w:r>
            <w:r>
              <w:rPr>
                <w:rFonts w:hint="eastAsia" w:ascii="Times New Roman" w:hAnsi="Times New Roman" w:cs="Times New Roman"/>
                <w:color w:val="auto"/>
                <w:spacing w:val="-7"/>
                <w:sz w:val="24"/>
                <w:szCs w:val="24"/>
                <w:highlight w:val="none"/>
                <w:lang w:val="en-US" w:eastAsia="zh-CN"/>
              </w:rPr>
              <w:t>入场原料必须带有上游企业合格标志</w:t>
            </w:r>
            <w:r>
              <w:rPr>
                <w:rFonts w:hint="default" w:ascii="Times New Roman" w:hAnsi="Times New Roman" w:eastAsia="宋体" w:cs="Times New Roman"/>
                <w:color w:val="auto"/>
                <w:spacing w:val="-7"/>
                <w:sz w:val="24"/>
                <w:szCs w:val="24"/>
                <w:highlight w:val="none"/>
              </w:rPr>
              <w:t>。</w:t>
            </w:r>
          </w:p>
          <w:p>
            <w:pPr>
              <w:keepNext w:val="0"/>
              <w:keepLines w:val="0"/>
              <w:pageBreakBefore w:val="0"/>
              <w:widowControl w:val="0"/>
              <w:numPr>
                <w:ilvl w:val="0"/>
                <w:numId w:val="0"/>
              </w:numPr>
              <w:kinsoku/>
              <w:wordWrap/>
              <w:overflowPunct/>
              <w:topLinePunct w:val="0"/>
              <w:autoSpaceDE w:val="0"/>
              <w:autoSpaceDN w:val="0"/>
              <w:bidi w:val="0"/>
              <w:spacing w:line="360" w:lineRule="auto"/>
              <w:ind w:firstLine="480" w:firstLineChars="200"/>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本项目主要原辅材料消耗见表2-3</w:t>
            </w:r>
            <w:r>
              <w:rPr>
                <w:rFonts w:hint="eastAsia" w:ascii="Times New Roman" w:hAnsi="Times New Roman" w:cs="Times New Roman"/>
                <w:b w:val="0"/>
                <w:bCs w:val="0"/>
                <w:color w:val="auto"/>
                <w:sz w:val="24"/>
                <w:szCs w:val="24"/>
                <w:highlight w:val="none"/>
                <w:lang w:val="en-US" w:eastAsia="zh-CN"/>
              </w:rPr>
              <w:t>、物料平衡见表2-4</w:t>
            </w:r>
            <w:r>
              <w:rPr>
                <w:rFonts w:hint="default" w:ascii="Times New Roman" w:hAnsi="Times New Roman" w:cs="Times New Roman"/>
                <w:b w:val="0"/>
                <w:bCs w:val="0"/>
                <w:color w:val="auto"/>
                <w:sz w:val="24"/>
                <w:szCs w:val="24"/>
                <w:highlight w:val="none"/>
                <w:lang w:val="en-US" w:eastAsia="zh-CN"/>
              </w:rPr>
              <w:t>。</w:t>
            </w:r>
          </w:p>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highlight w:val="none"/>
                <w:vertAlign w:val="baseline"/>
                <w:lang w:val="en-US" w:eastAsia="zh-CN"/>
              </w:rPr>
            </w:pPr>
            <w:r>
              <w:rPr>
                <w:rFonts w:hint="eastAsia"/>
                <w:b/>
                <w:bCs/>
                <w:color w:val="auto"/>
                <w:highlight w:val="none"/>
                <w:lang w:val="en-US" w:eastAsia="zh-CN"/>
              </w:rPr>
              <w:t>表2-3  项目原辅材料消耗一览表</w:t>
            </w:r>
          </w:p>
          <w:tbl>
            <w:tblPr>
              <w:tblStyle w:val="6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2"/>
              <w:gridCol w:w="1436"/>
              <w:gridCol w:w="1598"/>
              <w:gridCol w:w="1321"/>
              <w:gridCol w:w="1804"/>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369" w:type="pct"/>
                  <w:vAlign w:val="center"/>
                </w:tcPr>
                <w:p>
                  <w:pPr>
                    <w:pStyle w:val="63"/>
                    <w:keepNext w:val="0"/>
                    <w:keepLines w:val="0"/>
                    <w:pageBreakBefore w:val="0"/>
                    <w:widowControl w:val="0"/>
                    <w:kinsoku/>
                    <w:wordWrap/>
                    <w:overflowPunct/>
                    <w:topLinePunct w:val="0"/>
                    <w:autoSpaceDE w:val="0"/>
                    <w:autoSpaceDN w:val="0"/>
                    <w:bidi w:val="0"/>
                    <w:spacing w:before="75" w:line="209"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bCs/>
                      <w:color w:val="auto"/>
                      <w:spacing w:val="-6"/>
                      <w:sz w:val="21"/>
                      <w:szCs w:val="21"/>
                      <w:highlight w:val="none"/>
                    </w:rPr>
                    <w:t>类别</w:t>
                  </w:r>
                </w:p>
              </w:tc>
              <w:tc>
                <w:tcPr>
                  <w:tcW w:w="839" w:type="pct"/>
                  <w:vAlign w:val="center"/>
                </w:tcPr>
                <w:p>
                  <w:pPr>
                    <w:pStyle w:val="63"/>
                    <w:keepNext w:val="0"/>
                    <w:keepLines w:val="0"/>
                    <w:pageBreakBefore w:val="0"/>
                    <w:widowControl w:val="0"/>
                    <w:kinsoku/>
                    <w:wordWrap/>
                    <w:overflowPunct/>
                    <w:topLinePunct w:val="0"/>
                    <w:autoSpaceDE w:val="0"/>
                    <w:autoSpaceDN w:val="0"/>
                    <w:bidi w:val="0"/>
                    <w:spacing w:before="75" w:line="209"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bCs/>
                      <w:color w:val="auto"/>
                      <w:spacing w:val="-7"/>
                      <w:sz w:val="21"/>
                      <w:szCs w:val="21"/>
                      <w:highlight w:val="none"/>
                    </w:rPr>
                    <w:t>名称</w:t>
                  </w:r>
                </w:p>
              </w:tc>
              <w:tc>
                <w:tcPr>
                  <w:tcW w:w="934" w:type="pct"/>
                  <w:vAlign w:val="center"/>
                </w:tcPr>
                <w:p>
                  <w:pPr>
                    <w:pStyle w:val="63"/>
                    <w:keepNext w:val="0"/>
                    <w:keepLines w:val="0"/>
                    <w:pageBreakBefore w:val="0"/>
                    <w:widowControl w:val="0"/>
                    <w:kinsoku/>
                    <w:wordWrap/>
                    <w:overflowPunct/>
                    <w:topLinePunct w:val="0"/>
                    <w:autoSpaceDE w:val="0"/>
                    <w:autoSpaceDN w:val="0"/>
                    <w:bidi w:val="0"/>
                    <w:spacing w:before="75" w:line="209"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bCs/>
                      <w:color w:val="auto"/>
                      <w:spacing w:val="-3"/>
                      <w:sz w:val="21"/>
                      <w:szCs w:val="21"/>
                      <w:highlight w:val="none"/>
                    </w:rPr>
                    <w:t>年耗量（t/a）</w:t>
                  </w:r>
                </w:p>
              </w:tc>
              <w:tc>
                <w:tcPr>
                  <w:tcW w:w="772" w:type="pct"/>
                  <w:vAlign w:val="center"/>
                </w:tcPr>
                <w:p>
                  <w:pPr>
                    <w:pStyle w:val="63"/>
                    <w:keepNext w:val="0"/>
                    <w:keepLines w:val="0"/>
                    <w:pageBreakBefore w:val="0"/>
                    <w:widowControl w:val="0"/>
                    <w:kinsoku/>
                    <w:wordWrap/>
                    <w:overflowPunct/>
                    <w:topLinePunct w:val="0"/>
                    <w:autoSpaceDE w:val="0"/>
                    <w:autoSpaceDN w:val="0"/>
                    <w:bidi w:val="0"/>
                    <w:spacing w:before="75" w:line="209"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bCs/>
                      <w:color w:val="auto"/>
                      <w:spacing w:val="-6"/>
                      <w:sz w:val="21"/>
                      <w:szCs w:val="21"/>
                      <w:highlight w:val="none"/>
                    </w:rPr>
                    <w:t>来源</w:t>
                  </w:r>
                </w:p>
              </w:tc>
              <w:tc>
                <w:tcPr>
                  <w:tcW w:w="1054" w:type="pct"/>
                  <w:vAlign w:val="center"/>
                </w:tcPr>
                <w:p>
                  <w:pPr>
                    <w:pStyle w:val="63"/>
                    <w:keepNext w:val="0"/>
                    <w:keepLines w:val="0"/>
                    <w:pageBreakBefore w:val="0"/>
                    <w:widowControl w:val="0"/>
                    <w:kinsoku/>
                    <w:wordWrap/>
                    <w:overflowPunct/>
                    <w:topLinePunct w:val="0"/>
                    <w:autoSpaceDE w:val="0"/>
                    <w:autoSpaceDN w:val="0"/>
                    <w:bidi w:val="0"/>
                    <w:spacing w:before="75" w:line="209"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bCs/>
                      <w:color w:val="auto"/>
                      <w:spacing w:val="-7"/>
                      <w:sz w:val="21"/>
                      <w:szCs w:val="21"/>
                      <w:highlight w:val="none"/>
                    </w:rPr>
                    <w:t>成分</w:t>
                  </w:r>
                </w:p>
              </w:tc>
              <w:tc>
                <w:tcPr>
                  <w:tcW w:w="1030" w:type="pct"/>
                  <w:vAlign w:val="center"/>
                </w:tcPr>
                <w:p>
                  <w:pPr>
                    <w:pStyle w:val="63"/>
                    <w:keepNext w:val="0"/>
                    <w:keepLines w:val="0"/>
                    <w:pageBreakBefore w:val="0"/>
                    <w:widowControl w:val="0"/>
                    <w:kinsoku/>
                    <w:wordWrap/>
                    <w:overflowPunct/>
                    <w:topLinePunct w:val="0"/>
                    <w:autoSpaceDE w:val="0"/>
                    <w:autoSpaceDN w:val="0"/>
                    <w:bidi w:val="0"/>
                    <w:spacing w:before="75" w:line="209"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bCs/>
                      <w:color w:val="auto"/>
                      <w:spacing w:val="-4"/>
                      <w:sz w:val="21"/>
                      <w:szCs w:val="21"/>
                      <w:highlight w:val="none"/>
                    </w:rPr>
                    <w:t>性状、包装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369" w:type="pct"/>
                  <w:vAlign w:val="center"/>
                </w:tcPr>
                <w:p>
                  <w:pPr>
                    <w:pStyle w:val="63"/>
                    <w:keepNext w:val="0"/>
                    <w:keepLines w:val="0"/>
                    <w:pageBreakBefore w:val="0"/>
                    <w:widowControl w:val="0"/>
                    <w:kinsoku/>
                    <w:wordWrap/>
                    <w:overflowPunct/>
                    <w:topLinePunct w:val="0"/>
                    <w:autoSpaceDE w:val="0"/>
                    <w:autoSpaceDN w:val="0"/>
                    <w:bidi w:val="0"/>
                    <w:adjustRightInd/>
                    <w:snapToGrid/>
                    <w:spacing w:line="240" w:lineRule="auto"/>
                    <w:ind w:right="97"/>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pacing w:val="-6"/>
                      <w:sz w:val="21"/>
                      <w:szCs w:val="21"/>
                      <w:highlight w:val="none"/>
                    </w:rPr>
                    <w:t>原辅</w:t>
                  </w:r>
                  <w:r>
                    <w:rPr>
                      <w:rFonts w:hint="default" w:ascii="Times New Roman" w:hAnsi="Times New Roman" w:cs="Times New Roman" w:eastAsiaTheme="minorEastAsia"/>
                      <w:color w:val="auto"/>
                      <w:sz w:val="21"/>
                      <w:szCs w:val="21"/>
                      <w:highlight w:val="none"/>
                    </w:rPr>
                    <w:t xml:space="preserve"> </w:t>
                  </w:r>
                  <w:r>
                    <w:rPr>
                      <w:rFonts w:hint="default" w:ascii="Times New Roman" w:hAnsi="Times New Roman" w:cs="Times New Roman" w:eastAsiaTheme="minorEastAsia"/>
                      <w:color w:val="auto"/>
                      <w:spacing w:val="-4"/>
                      <w:sz w:val="21"/>
                      <w:szCs w:val="21"/>
                      <w:highlight w:val="none"/>
                    </w:rPr>
                    <w:t>材料</w:t>
                  </w:r>
                </w:p>
              </w:tc>
              <w:tc>
                <w:tcPr>
                  <w:tcW w:w="1436" w:type="dxa"/>
                  <w:vAlign w:val="center"/>
                </w:tcPr>
                <w:p>
                  <w:pPr>
                    <w:pStyle w:val="63"/>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pacing w:val="-2"/>
                      <w:highlight w:val="none"/>
                    </w:rPr>
                    <w:t>废塑料</w:t>
                  </w:r>
                  <w:r>
                    <w:rPr>
                      <w:rFonts w:ascii="Times New Roman" w:hAnsi="Times New Roman" w:cs="Times New Roman" w:eastAsiaTheme="minorEastAsia"/>
                      <w:color w:val="auto"/>
                      <w:spacing w:val="-2"/>
                      <w:highlight w:val="none"/>
                      <w:lang w:eastAsia="zh-CN"/>
                    </w:rPr>
                    <w:t>压缩</w:t>
                  </w:r>
                  <w:r>
                    <w:rPr>
                      <w:rFonts w:ascii="Times New Roman" w:hAnsi="Times New Roman" w:cs="Times New Roman" w:eastAsiaTheme="minorEastAsia"/>
                      <w:color w:val="auto"/>
                      <w:spacing w:val="-2"/>
                      <w:highlight w:val="none"/>
                    </w:rPr>
                    <w:t>块料</w:t>
                  </w:r>
                </w:p>
              </w:tc>
              <w:tc>
                <w:tcPr>
                  <w:tcW w:w="1598"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pacing w:val="-1"/>
                      <w:sz w:val="21"/>
                      <w:szCs w:val="21"/>
                      <w:highlight w:val="none"/>
                    </w:rPr>
                    <w:t>2</w:t>
                  </w:r>
                  <w:r>
                    <w:rPr>
                      <w:rFonts w:hint="eastAsia" w:ascii="Times New Roman" w:hAnsi="Times New Roman" w:cs="Times New Roman" w:eastAsiaTheme="minorEastAsia"/>
                      <w:color w:val="auto"/>
                      <w:spacing w:val="-1"/>
                      <w:sz w:val="21"/>
                      <w:szCs w:val="21"/>
                      <w:highlight w:val="none"/>
                      <w:lang w:val="en-US" w:eastAsia="zh-CN"/>
                    </w:rPr>
                    <w:t>0</w:t>
                  </w:r>
                  <w:r>
                    <w:rPr>
                      <w:rFonts w:ascii="Times New Roman" w:hAnsi="Times New Roman" w:cs="Times New Roman" w:eastAsiaTheme="minorEastAsia"/>
                      <w:color w:val="auto"/>
                      <w:spacing w:val="-1"/>
                      <w:sz w:val="21"/>
                      <w:szCs w:val="21"/>
                      <w:highlight w:val="none"/>
                    </w:rPr>
                    <w:t>000</w:t>
                  </w:r>
                </w:p>
              </w:tc>
              <w:tc>
                <w:tcPr>
                  <w:tcW w:w="772" w:type="pct"/>
                  <w:vAlign w:val="center"/>
                </w:tcPr>
                <w:p>
                  <w:pPr>
                    <w:pStyle w:val="63"/>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pacing w:val="-3"/>
                      <w:sz w:val="21"/>
                      <w:szCs w:val="21"/>
                      <w:highlight w:val="none"/>
                      <w:lang w:val="en-US" w:eastAsia="zh-CN"/>
                    </w:rPr>
                    <w:t>内蒙古</w:t>
                  </w:r>
                  <w:r>
                    <w:rPr>
                      <w:rFonts w:hint="default" w:ascii="Times New Roman" w:hAnsi="Times New Roman" w:cs="Times New Roman" w:eastAsiaTheme="minorEastAsia"/>
                      <w:color w:val="auto"/>
                      <w:spacing w:val="-3"/>
                      <w:sz w:val="21"/>
                      <w:szCs w:val="21"/>
                      <w:highlight w:val="none"/>
                    </w:rPr>
                    <w:t>等地</w:t>
                  </w:r>
                </w:p>
              </w:tc>
              <w:tc>
                <w:tcPr>
                  <w:tcW w:w="1054" w:type="pct"/>
                  <w:vAlign w:val="center"/>
                </w:tcPr>
                <w:p>
                  <w:pPr>
                    <w:pStyle w:val="63"/>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pacing w:val="-4"/>
                      <w:sz w:val="21"/>
                      <w:szCs w:val="21"/>
                      <w:highlight w:val="none"/>
                    </w:rPr>
                    <w:t>ABS、PP、</w:t>
                  </w:r>
                  <w:r>
                    <w:rPr>
                      <w:rFonts w:hint="eastAsia" w:ascii="Times New Roman" w:hAnsi="Times New Roman" w:cs="Times New Roman" w:eastAsiaTheme="minorEastAsia"/>
                      <w:color w:val="auto"/>
                      <w:spacing w:val="-4"/>
                      <w:sz w:val="21"/>
                      <w:szCs w:val="21"/>
                      <w:highlight w:val="none"/>
                      <w:lang w:val="en-US" w:eastAsia="zh-CN"/>
                    </w:rPr>
                    <w:t>PE、</w:t>
                  </w:r>
                  <w:r>
                    <w:rPr>
                      <w:rFonts w:hint="default" w:ascii="Times New Roman" w:hAnsi="Times New Roman" w:cs="Times New Roman" w:eastAsiaTheme="minorEastAsia"/>
                      <w:color w:val="auto"/>
                      <w:spacing w:val="-4"/>
                      <w:sz w:val="21"/>
                      <w:szCs w:val="21"/>
                      <w:highlight w:val="none"/>
                    </w:rPr>
                    <w:t>PS等</w:t>
                  </w:r>
                </w:p>
              </w:tc>
              <w:tc>
                <w:tcPr>
                  <w:tcW w:w="1030" w:type="pct"/>
                  <w:vAlign w:val="center"/>
                </w:tcPr>
                <w:p>
                  <w:pPr>
                    <w:pStyle w:val="63"/>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pacing w:val="-2"/>
                      <w:sz w:val="21"/>
                      <w:szCs w:val="21"/>
                      <w:highlight w:val="none"/>
                    </w:rPr>
                    <w:t>压缩块包</w:t>
                  </w:r>
                </w:p>
              </w:tc>
            </w:tr>
          </w:tbl>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eastAsia"/>
                <w:b/>
                <w:bCs/>
                <w:color w:val="auto"/>
                <w:highlight w:val="none"/>
                <w:lang w:val="en-US" w:eastAsia="zh-CN"/>
              </w:rPr>
            </w:pPr>
          </w:p>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b/>
                <w:bCs/>
                <w:color w:val="auto"/>
                <w:highlight w:val="none"/>
                <w:lang w:val="en-US" w:eastAsia="zh-CN"/>
              </w:rPr>
            </w:pPr>
            <w:r>
              <w:rPr>
                <w:rFonts w:hint="eastAsia"/>
                <w:b/>
                <w:bCs/>
                <w:color w:val="auto"/>
                <w:highlight w:val="none"/>
                <w:lang w:val="en-US" w:eastAsia="zh-CN"/>
              </w:rPr>
              <w:t>表2-4  物料平衡</w:t>
            </w:r>
          </w:p>
          <w:tbl>
            <w:tblPr>
              <w:tblStyle w:val="64"/>
              <w:tblW w:w="499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1"/>
              <w:gridCol w:w="1750"/>
              <w:gridCol w:w="2540"/>
              <w:gridCol w:w="22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2221" w:type="pct"/>
                  <w:gridSpan w:val="2"/>
                </w:tcPr>
                <w:p>
                  <w:pPr>
                    <w:pStyle w:val="63"/>
                    <w:keepNext w:val="0"/>
                    <w:keepLines w:val="0"/>
                    <w:pageBreakBefore w:val="0"/>
                    <w:widowControl w:val="0"/>
                    <w:kinsoku/>
                    <w:wordWrap/>
                    <w:overflowPunct/>
                    <w:topLinePunct w:val="0"/>
                    <w:autoSpaceDE w:val="0"/>
                    <w:autoSpaceDN w:val="0"/>
                    <w:bidi w:val="0"/>
                    <w:spacing w:before="91" w:line="213" w:lineRule="auto"/>
                    <w:ind w:left="1620"/>
                    <w:rPr>
                      <w:rFonts w:ascii="Times New Roman" w:hAnsi="Times New Roman" w:cs="Times New Roman" w:eastAsiaTheme="minorEastAsia"/>
                      <w:color w:val="auto"/>
                      <w:highlight w:val="none"/>
                    </w:rPr>
                  </w:pPr>
                  <w:r>
                    <w:rPr>
                      <w:rFonts w:ascii="Times New Roman" w:hAnsi="Times New Roman" w:cs="Times New Roman" w:eastAsiaTheme="minorEastAsia"/>
                      <w:b/>
                      <w:bCs/>
                      <w:color w:val="auto"/>
                      <w:spacing w:val="-7"/>
                      <w:highlight w:val="none"/>
                    </w:rPr>
                    <w:t>投入</w:t>
                  </w:r>
                </w:p>
              </w:tc>
              <w:tc>
                <w:tcPr>
                  <w:tcW w:w="2778" w:type="pct"/>
                  <w:gridSpan w:val="2"/>
                </w:tcPr>
                <w:p>
                  <w:pPr>
                    <w:pStyle w:val="63"/>
                    <w:keepNext w:val="0"/>
                    <w:keepLines w:val="0"/>
                    <w:pageBreakBefore w:val="0"/>
                    <w:widowControl w:val="0"/>
                    <w:kinsoku/>
                    <w:wordWrap/>
                    <w:overflowPunct/>
                    <w:topLinePunct w:val="0"/>
                    <w:autoSpaceDE w:val="0"/>
                    <w:autoSpaceDN w:val="0"/>
                    <w:bidi w:val="0"/>
                    <w:spacing w:before="91" w:line="213" w:lineRule="auto"/>
                    <w:ind w:left="1920"/>
                    <w:rPr>
                      <w:rFonts w:ascii="Times New Roman" w:hAnsi="Times New Roman" w:cs="Times New Roman" w:eastAsiaTheme="minorEastAsia"/>
                      <w:color w:val="auto"/>
                      <w:highlight w:val="none"/>
                    </w:rPr>
                  </w:pPr>
                  <w:r>
                    <w:rPr>
                      <w:rFonts w:ascii="Times New Roman" w:hAnsi="Times New Roman" w:cs="Times New Roman" w:eastAsiaTheme="minorEastAsia"/>
                      <w:b/>
                      <w:bCs/>
                      <w:color w:val="auto"/>
                      <w:spacing w:val="-6"/>
                      <w:highlight w:val="none"/>
                    </w:rPr>
                    <w:t>产出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98" w:type="pct"/>
                </w:tcPr>
                <w:p>
                  <w:pPr>
                    <w:pStyle w:val="63"/>
                    <w:keepNext w:val="0"/>
                    <w:keepLines w:val="0"/>
                    <w:pageBreakBefore w:val="0"/>
                    <w:widowControl w:val="0"/>
                    <w:kinsoku/>
                    <w:wordWrap/>
                    <w:overflowPunct/>
                    <w:topLinePunct w:val="0"/>
                    <w:autoSpaceDE w:val="0"/>
                    <w:autoSpaceDN w:val="0"/>
                    <w:bidi w:val="0"/>
                    <w:spacing w:before="87" w:line="213" w:lineRule="auto"/>
                    <w:ind w:left="763"/>
                    <w:rPr>
                      <w:rFonts w:ascii="Times New Roman" w:hAnsi="Times New Roman" w:cs="Times New Roman" w:eastAsiaTheme="minorEastAsia"/>
                      <w:color w:val="auto"/>
                      <w:highlight w:val="none"/>
                    </w:rPr>
                  </w:pPr>
                  <w:r>
                    <w:rPr>
                      <w:rFonts w:ascii="Times New Roman" w:hAnsi="Times New Roman" w:cs="Times New Roman" w:eastAsiaTheme="minorEastAsia"/>
                      <w:b/>
                      <w:bCs/>
                      <w:color w:val="auto"/>
                      <w:spacing w:val="-8"/>
                      <w:highlight w:val="none"/>
                    </w:rPr>
                    <w:t>原料</w:t>
                  </w:r>
                </w:p>
              </w:tc>
              <w:tc>
                <w:tcPr>
                  <w:tcW w:w="1022" w:type="pct"/>
                </w:tcPr>
                <w:p>
                  <w:pPr>
                    <w:pStyle w:val="63"/>
                    <w:keepNext w:val="0"/>
                    <w:keepLines w:val="0"/>
                    <w:pageBreakBefore w:val="0"/>
                    <w:widowControl w:val="0"/>
                    <w:kinsoku/>
                    <w:wordWrap/>
                    <w:overflowPunct/>
                    <w:topLinePunct w:val="0"/>
                    <w:autoSpaceDE w:val="0"/>
                    <w:autoSpaceDN w:val="0"/>
                    <w:bidi w:val="0"/>
                    <w:spacing w:before="87" w:line="213" w:lineRule="auto"/>
                    <w:ind w:left="312"/>
                    <w:rPr>
                      <w:rFonts w:ascii="Times New Roman" w:hAnsi="Times New Roman" w:cs="Times New Roman" w:eastAsiaTheme="minorEastAsia"/>
                      <w:color w:val="auto"/>
                      <w:highlight w:val="none"/>
                    </w:rPr>
                  </w:pPr>
                  <w:r>
                    <w:rPr>
                      <w:rFonts w:ascii="Times New Roman" w:hAnsi="Times New Roman" w:cs="Times New Roman" w:eastAsiaTheme="minorEastAsia"/>
                      <w:b/>
                      <w:bCs/>
                      <w:color w:val="auto"/>
                      <w:spacing w:val="-2"/>
                      <w:highlight w:val="none"/>
                    </w:rPr>
                    <w:t>投入量（t/a）</w:t>
                  </w:r>
                </w:p>
              </w:tc>
              <w:tc>
                <w:tcPr>
                  <w:tcW w:w="1485" w:type="pct"/>
                </w:tcPr>
                <w:p>
                  <w:pPr>
                    <w:pStyle w:val="63"/>
                    <w:keepNext w:val="0"/>
                    <w:keepLines w:val="0"/>
                    <w:pageBreakBefore w:val="0"/>
                    <w:widowControl w:val="0"/>
                    <w:kinsoku/>
                    <w:wordWrap/>
                    <w:overflowPunct/>
                    <w:topLinePunct w:val="0"/>
                    <w:autoSpaceDE w:val="0"/>
                    <w:autoSpaceDN w:val="0"/>
                    <w:bidi w:val="0"/>
                    <w:spacing w:before="87" w:line="213" w:lineRule="auto"/>
                    <w:ind w:left="916"/>
                    <w:rPr>
                      <w:rFonts w:ascii="Times New Roman" w:hAnsi="Times New Roman" w:cs="Times New Roman" w:eastAsiaTheme="minorEastAsia"/>
                      <w:color w:val="auto"/>
                      <w:highlight w:val="none"/>
                    </w:rPr>
                  </w:pPr>
                  <w:r>
                    <w:rPr>
                      <w:rFonts w:ascii="Times New Roman" w:hAnsi="Times New Roman" w:cs="Times New Roman" w:eastAsiaTheme="minorEastAsia"/>
                      <w:b/>
                      <w:bCs/>
                      <w:color w:val="auto"/>
                      <w:spacing w:val="-6"/>
                      <w:highlight w:val="none"/>
                    </w:rPr>
                    <w:t>产品</w:t>
                  </w:r>
                </w:p>
              </w:tc>
              <w:tc>
                <w:tcPr>
                  <w:tcW w:w="1292" w:type="pct"/>
                </w:tcPr>
                <w:p>
                  <w:pPr>
                    <w:pStyle w:val="63"/>
                    <w:keepNext w:val="0"/>
                    <w:keepLines w:val="0"/>
                    <w:pageBreakBefore w:val="0"/>
                    <w:widowControl w:val="0"/>
                    <w:kinsoku/>
                    <w:wordWrap/>
                    <w:overflowPunct/>
                    <w:topLinePunct w:val="0"/>
                    <w:autoSpaceDE w:val="0"/>
                    <w:autoSpaceDN w:val="0"/>
                    <w:bidi w:val="0"/>
                    <w:spacing w:before="87" w:line="213" w:lineRule="auto"/>
                    <w:ind w:left="456"/>
                    <w:rPr>
                      <w:rFonts w:ascii="Times New Roman" w:hAnsi="Times New Roman" w:cs="Times New Roman" w:eastAsiaTheme="minorEastAsia"/>
                      <w:color w:val="auto"/>
                      <w:highlight w:val="none"/>
                    </w:rPr>
                  </w:pPr>
                  <w:r>
                    <w:rPr>
                      <w:rFonts w:ascii="Times New Roman" w:hAnsi="Times New Roman" w:cs="Times New Roman" w:eastAsiaTheme="minorEastAsia"/>
                      <w:b/>
                      <w:bCs/>
                      <w:color w:val="auto"/>
                      <w:spacing w:val="-2"/>
                      <w:highlight w:val="none"/>
                    </w:rPr>
                    <w:t>产出量（t/a）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98" w:type="pct"/>
                </w:tcPr>
                <w:p>
                  <w:pPr>
                    <w:pStyle w:val="63"/>
                    <w:keepNext w:val="0"/>
                    <w:keepLines w:val="0"/>
                    <w:pageBreakBefore w:val="0"/>
                    <w:widowControl w:val="0"/>
                    <w:kinsoku/>
                    <w:wordWrap/>
                    <w:overflowPunct/>
                    <w:topLinePunct w:val="0"/>
                    <w:autoSpaceDE w:val="0"/>
                    <w:autoSpaceDN w:val="0"/>
                    <w:bidi w:val="0"/>
                    <w:spacing w:before="63" w:line="219" w:lineRule="auto"/>
                    <w:ind w:left="398"/>
                    <w:rPr>
                      <w:rFonts w:hint="default" w:ascii="Times New Roman" w:hAnsi="Times New Roman" w:cs="Times New Roman" w:eastAsiaTheme="minorEastAsia"/>
                      <w:color w:val="auto"/>
                      <w:highlight w:val="none"/>
                      <w:lang w:val="en-US"/>
                    </w:rPr>
                  </w:pPr>
                  <w:r>
                    <w:rPr>
                      <w:rFonts w:ascii="Times New Roman" w:hAnsi="Times New Roman" w:cs="Times New Roman" w:eastAsiaTheme="minorEastAsia"/>
                      <w:color w:val="auto"/>
                      <w:spacing w:val="-2"/>
                      <w:highlight w:val="none"/>
                    </w:rPr>
                    <w:t>废塑料</w:t>
                  </w:r>
                  <w:r>
                    <w:rPr>
                      <w:rFonts w:hint="eastAsia" w:ascii="Times New Roman" w:hAnsi="Times New Roman" w:cs="Times New Roman" w:eastAsiaTheme="minorEastAsia"/>
                      <w:color w:val="auto"/>
                      <w:spacing w:val="-2"/>
                      <w:highlight w:val="none"/>
                      <w:lang w:val="en-US" w:eastAsia="zh-CN"/>
                    </w:rPr>
                    <w:t>压缩块料</w:t>
                  </w:r>
                </w:p>
              </w:tc>
              <w:tc>
                <w:tcPr>
                  <w:tcW w:w="1022" w:type="pct"/>
                </w:tcPr>
                <w:p>
                  <w:pPr>
                    <w:keepNext w:val="0"/>
                    <w:keepLines w:val="0"/>
                    <w:pageBreakBefore w:val="0"/>
                    <w:widowControl w:val="0"/>
                    <w:kinsoku/>
                    <w:wordWrap/>
                    <w:overflowPunct/>
                    <w:topLinePunct w:val="0"/>
                    <w:autoSpaceDE w:val="0"/>
                    <w:autoSpaceDN w:val="0"/>
                    <w:bidi w:val="0"/>
                    <w:spacing w:before="94" w:line="188" w:lineRule="auto"/>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pacing w:val="-1"/>
                      <w:sz w:val="21"/>
                      <w:szCs w:val="21"/>
                      <w:highlight w:val="none"/>
                    </w:rPr>
                    <w:t>2</w:t>
                  </w:r>
                  <w:r>
                    <w:rPr>
                      <w:rFonts w:hint="eastAsia" w:ascii="Times New Roman" w:hAnsi="Times New Roman" w:cs="Times New Roman" w:eastAsiaTheme="minorEastAsia"/>
                      <w:color w:val="auto"/>
                      <w:spacing w:val="-1"/>
                      <w:sz w:val="21"/>
                      <w:szCs w:val="21"/>
                      <w:highlight w:val="none"/>
                      <w:lang w:val="en-US"/>
                    </w:rPr>
                    <w:t>0</w:t>
                  </w:r>
                  <w:r>
                    <w:rPr>
                      <w:rFonts w:ascii="Times New Roman" w:hAnsi="Times New Roman" w:cs="Times New Roman" w:eastAsiaTheme="minorEastAsia"/>
                      <w:color w:val="auto"/>
                      <w:spacing w:val="-1"/>
                      <w:sz w:val="21"/>
                      <w:szCs w:val="21"/>
                      <w:highlight w:val="none"/>
                    </w:rPr>
                    <w:t>000</w:t>
                  </w:r>
                </w:p>
              </w:tc>
              <w:tc>
                <w:tcPr>
                  <w:tcW w:w="1485" w:type="pct"/>
                </w:tcPr>
                <w:p>
                  <w:pPr>
                    <w:pStyle w:val="63"/>
                    <w:keepNext w:val="0"/>
                    <w:keepLines w:val="0"/>
                    <w:pageBreakBefore w:val="0"/>
                    <w:widowControl w:val="0"/>
                    <w:kinsoku/>
                    <w:wordWrap/>
                    <w:overflowPunct/>
                    <w:topLinePunct w:val="0"/>
                    <w:autoSpaceDE w:val="0"/>
                    <w:autoSpaceDN w:val="0"/>
                    <w:bidi w:val="0"/>
                    <w:spacing w:before="62" w:line="219" w:lineRule="auto"/>
                    <w:ind w:left="647"/>
                    <w:rPr>
                      <w:rFonts w:ascii="Times New Roman" w:hAnsi="Times New Roman" w:cs="Times New Roman" w:eastAsiaTheme="minorEastAsia"/>
                      <w:color w:val="auto"/>
                      <w:highlight w:val="none"/>
                    </w:rPr>
                  </w:pPr>
                  <w:r>
                    <w:rPr>
                      <w:rFonts w:ascii="Times New Roman" w:hAnsi="Times New Roman" w:cs="Times New Roman" w:eastAsiaTheme="minorEastAsia"/>
                      <w:color w:val="auto"/>
                      <w:spacing w:val="-2"/>
                      <w:highlight w:val="none"/>
                    </w:rPr>
                    <w:t>废塑料片材</w:t>
                  </w:r>
                </w:p>
              </w:tc>
              <w:tc>
                <w:tcPr>
                  <w:tcW w:w="1292" w:type="pct"/>
                </w:tcPr>
                <w:p>
                  <w:pPr>
                    <w:keepNext w:val="0"/>
                    <w:keepLines w:val="0"/>
                    <w:pageBreakBefore w:val="0"/>
                    <w:widowControl w:val="0"/>
                    <w:kinsoku/>
                    <w:wordWrap/>
                    <w:overflowPunct/>
                    <w:topLinePunct w:val="0"/>
                    <w:autoSpaceDE w:val="0"/>
                    <w:autoSpaceDN w:val="0"/>
                    <w:bidi w:val="0"/>
                    <w:spacing w:before="91" w:line="188" w:lineRule="auto"/>
                    <w:jc w:val="center"/>
                    <w:rPr>
                      <w:rFonts w:hint="default" w:ascii="Times New Roman" w:hAnsi="Times New Roman" w:cs="Times New Roman" w:eastAsiaTheme="minorEastAsia"/>
                      <w:color w:val="auto"/>
                      <w:sz w:val="21"/>
                      <w:szCs w:val="21"/>
                      <w:highlight w:val="none"/>
                      <w:lang w:val="en-US"/>
                    </w:rPr>
                  </w:pPr>
                  <w:r>
                    <w:rPr>
                      <w:rFonts w:hint="eastAsia" w:ascii="Times New Roman" w:hAnsi="Times New Roman" w:cs="Times New Roman" w:eastAsiaTheme="minorEastAsia"/>
                      <w:color w:val="auto"/>
                      <w:sz w:val="21"/>
                      <w:szCs w:val="21"/>
                      <w:highlight w:val="none"/>
                      <w:lang w:val="en-US"/>
                    </w:rPr>
                    <w:t>1</w:t>
                  </w:r>
                  <w:r>
                    <w:rPr>
                      <w:rFonts w:hint="eastAsia" w:ascii="Times New Roman" w:hAnsi="Times New Roman" w:cs="Times New Roman" w:eastAsiaTheme="minorEastAsia"/>
                      <w:color w:val="auto"/>
                      <w:sz w:val="21"/>
                      <w:szCs w:val="21"/>
                      <w:highlight w:val="none"/>
                      <w:lang w:val="en-US" w:eastAsia="zh-CN"/>
                    </w:rPr>
                    <w:t>9871.9955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98" w:type="pct"/>
                </w:tcPr>
                <w:p>
                  <w:pPr>
                    <w:pStyle w:val="63"/>
                    <w:keepNext w:val="0"/>
                    <w:keepLines w:val="0"/>
                    <w:pageBreakBefore w:val="0"/>
                    <w:widowControl w:val="0"/>
                    <w:kinsoku/>
                    <w:wordWrap/>
                    <w:overflowPunct/>
                    <w:topLinePunct w:val="0"/>
                    <w:autoSpaceDE w:val="0"/>
                    <w:autoSpaceDN w:val="0"/>
                    <w:bidi w:val="0"/>
                    <w:spacing w:before="63" w:line="219" w:lineRule="auto"/>
                    <w:jc w:val="center"/>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清洗产品携带水分</w:t>
                  </w:r>
                </w:p>
              </w:tc>
              <w:tc>
                <w:tcPr>
                  <w:tcW w:w="1022" w:type="pct"/>
                </w:tcPr>
                <w:p>
                  <w:pPr>
                    <w:keepNext w:val="0"/>
                    <w:keepLines w:val="0"/>
                    <w:pageBreakBefore w:val="0"/>
                    <w:widowControl w:val="0"/>
                    <w:kinsoku/>
                    <w:wordWrap/>
                    <w:overflowPunct/>
                    <w:topLinePunct w:val="0"/>
                    <w:autoSpaceDE w:val="0"/>
                    <w:autoSpaceDN w:val="0"/>
                    <w:bidi w:val="0"/>
                    <w:spacing w:before="94" w:line="188" w:lineRule="auto"/>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196.8</w:t>
                  </w:r>
                </w:p>
              </w:tc>
              <w:tc>
                <w:tcPr>
                  <w:tcW w:w="1485" w:type="pct"/>
                </w:tcPr>
                <w:p>
                  <w:pPr>
                    <w:pStyle w:val="63"/>
                    <w:keepNext w:val="0"/>
                    <w:keepLines w:val="0"/>
                    <w:pageBreakBefore w:val="0"/>
                    <w:widowControl w:val="0"/>
                    <w:kinsoku/>
                    <w:wordWrap/>
                    <w:overflowPunct/>
                    <w:topLinePunct w:val="0"/>
                    <w:autoSpaceDE w:val="0"/>
                    <w:autoSpaceDN w:val="0"/>
                    <w:bidi w:val="0"/>
                    <w:spacing w:before="63" w:line="219" w:lineRule="auto"/>
                    <w:jc w:val="center"/>
                    <w:rPr>
                      <w:rFonts w:ascii="Times New Roman" w:hAnsi="Times New Roman" w:cs="Times New Roman" w:eastAsiaTheme="minorEastAsia"/>
                      <w:color w:val="auto"/>
                      <w:highlight w:val="none"/>
                      <w:lang w:eastAsia="zh-CN"/>
                    </w:rPr>
                  </w:pPr>
                  <w:r>
                    <w:rPr>
                      <w:rFonts w:hint="eastAsia" w:ascii="Times New Roman" w:hAnsi="Times New Roman" w:cs="Times New Roman" w:eastAsiaTheme="minorEastAsia"/>
                      <w:color w:val="auto"/>
                      <w:spacing w:val="-1"/>
                      <w:highlight w:val="none"/>
                      <w:lang w:eastAsia="zh-CN"/>
                    </w:rPr>
                    <w:t>金属杂质</w:t>
                  </w:r>
                </w:p>
              </w:tc>
              <w:tc>
                <w:tcPr>
                  <w:tcW w:w="1292" w:type="pct"/>
                </w:tcPr>
                <w:p>
                  <w:pPr>
                    <w:keepNext w:val="0"/>
                    <w:keepLines w:val="0"/>
                    <w:pageBreakBefore w:val="0"/>
                    <w:widowControl w:val="0"/>
                    <w:kinsoku/>
                    <w:wordWrap/>
                    <w:overflowPunct/>
                    <w:topLinePunct w:val="0"/>
                    <w:autoSpaceDE w:val="0"/>
                    <w:autoSpaceDN w:val="0"/>
                    <w:bidi w:val="0"/>
                    <w:spacing w:before="94" w:line="188" w:lineRule="auto"/>
                    <w:jc w:val="center"/>
                    <w:rPr>
                      <w:rFonts w:ascii="Times New Roman" w:hAnsi="Times New Roman" w:cs="Times New Roman" w:eastAsiaTheme="minorEastAsia"/>
                      <w:color w:val="auto"/>
                      <w:sz w:val="21"/>
                      <w:szCs w:val="21"/>
                      <w:highlight w:val="none"/>
                      <w:lang w:val="en-US"/>
                    </w:rPr>
                  </w:pPr>
                  <w:r>
                    <w:rPr>
                      <w:rFonts w:hint="eastAsia" w:ascii="Times New Roman" w:hAnsi="Times New Roman" w:cs="Times New Roman" w:eastAsiaTheme="minorEastAsia"/>
                      <w:color w:val="auto"/>
                      <w:spacing w:val="-4"/>
                      <w:sz w:val="21"/>
                      <w:szCs w:val="21"/>
                      <w:highlight w:val="none"/>
                      <w:lang w:val="en-US"/>
                    </w:rPr>
                    <w:t>204.936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98" w:type="pct"/>
                </w:tcPr>
                <w:p>
                  <w:pPr>
                    <w:keepNext w:val="0"/>
                    <w:keepLines w:val="0"/>
                    <w:pageBreakBefore w:val="0"/>
                    <w:widowControl w:val="0"/>
                    <w:kinsoku/>
                    <w:wordWrap/>
                    <w:overflowPunct/>
                    <w:topLinePunct w:val="0"/>
                    <w:autoSpaceDE w:val="0"/>
                    <w:autoSpaceDN w:val="0"/>
                    <w:bidi w:val="0"/>
                    <w:rPr>
                      <w:rFonts w:ascii="Times New Roman" w:hAnsi="Times New Roman" w:cs="Times New Roman" w:eastAsiaTheme="minorEastAsia"/>
                      <w:color w:val="auto"/>
                      <w:sz w:val="21"/>
                      <w:szCs w:val="21"/>
                      <w:highlight w:val="none"/>
                    </w:rPr>
                  </w:pPr>
                </w:p>
              </w:tc>
              <w:tc>
                <w:tcPr>
                  <w:tcW w:w="1022" w:type="pct"/>
                </w:tcPr>
                <w:p>
                  <w:pPr>
                    <w:keepNext w:val="0"/>
                    <w:keepLines w:val="0"/>
                    <w:pageBreakBefore w:val="0"/>
                    <w:widowControl w:val="0"/>
                    <w:kinsoku/>
                    <w:wordWrap/>
                    <w:overflowPunct/>
                    <w:topLinePunct w:val="0"/>
                    <w:autoSpaceDE w:val="0"/>
                    <w:autoSpaceDN w:val="0"/>
                    <w:bidi w:val="0"/>
                    <w:jc w:val="center"/>
                    <w:rPr>
                      <w:rFonts w:ascii="Times New Roman" w:hAnsi="Times New Roman" w:cs="Times New Roman" w:eastAsiaTheme="minorEastAsia"/>
                      <w:color w:val="auto"/>
                      <w:sz w:val="21"/>
                      <w:szCs w:val="21"/>
                      <w:highlight w:val="none"/>
                    </w:rPr>
                  </w:pPr>
                </w:p>
              </w:tc>
              <w:tc>
                <w:tcPr>
                  <w:tcW w:w="1485" w:type="pct"/>
                </w:tcPr>
                <w:p>
                  <w:pPr>
                    <w:pStyle w:val="63"/>
                    <w:keepNext w:val="0"/>
                    <w:keepLines w:val="0"/>
                    <w:pageBreakBefore w:val="0"/>
                    <w:widowControl w:val="0"/>
                    <w:kinsoku/>
                    <w:wordWrap/>
                    <w:overflowPunct/>
                    <w:topLinePunct w:val="0"/>
                    <w:autoSpaceDE w:val="0"/>
                    <w:autoSpaceDN w:val="0"/>
                    <w:bidi w:val="0"/>
                    <w:spacing w:before="65" w:line="219" w:lineRule="auto"/>
                    <w:jc w:val="center"/>
                    <w:rPr>
                      <w:rFonts w:ascii="Times New Roman" w:hAnsi="Times New Roman" w:cs="Times New Roman" w:eastAsiaTheme="minorEastAsia"/>
                      <w:color w:val="auto"/>
                      <w:highlight w:val="none"/>
                      <w:lang w:eastAsia="zh-CN"/>
                    </w:rPr>
                  </w:pPr>
                  <w:r>
                    <w:rPr>
                      <w:rFonts w:hint="eastAsia" w:ascii="Times New Roman" w:hAnsi="Times New Roman" w:cs="Times New Roman" w:eastAsiaTheme="minorEastAsia"/>
                      <w:color w:val="auto"/>
                      <w:highlight w:val="none"/>
                      <w:lang w:eastAsia="zh-CN"/>
                    </w:rPr>
                    <w:t>废料（纸片、沙子、木屑等）</w:t>
                  </w:r>
                </w:p>
              </w:tc>
              <w:tc>
                <w:tcPr>
                  <w:tcW w:w="1292" w:type="pct"/>
                </w:tcPr>
                <w:p>
                  <w:pPr>
                    <w:keepNext w:val="0"/>
                    <w:keepLines w:val="0"/>
                    <w:pageBreakBefore w:val="0"/>
                    <w:widowControl w:val="0"/>
                    <w:kinsoku/>
                    <w:wordWrap/>
                    <w:overflowPunct/>
                    <w:topLinePunct w:val="0"/>
                    <w:autoSpaceDE w:val="0"/>
                    <w:autoSpaceDN w:val="0"/>
                    <w:bidi w:val="0"/>
                    <w:spacing w:before="96" w:line="188" w:lineRule="auto"/>
                    <w:jc w:val="center"/>
                    <w:rPr>
                      <w:rFonts w:ascii="Times New Roman" w:hAnsi="Times New Roman" w:cs="Times New Roman" w:eastAsiaTheme="minorEastAsia"/>
                      <w:color w:val="auto"/>
                      <w:sz w:val="21"/>
                      <w:szCs w:val="21"/>
                      <w:highlight w:val="none"/>
                      <w:lang w:val="en-US"/>
                    </w:rPr>
                  </w:pPr>
                  <w:r>
                    <w:rPr>
                      <w:rFonts w:hint="eastAsia" w:ascii="Times New Roman" w:hAnsi="Times New Roman" w:cs="Times New Roman" w:eastAsiaTheme="minorEastAsia"/>
                      <w:color w:val="auto"/>
                      <w:spacing w:val="-1"/>
                      <w:sz w:val="21"/>
                      <w:szCs w:val="21"/>
                      <w:highlight w:val="none"/>
                      <w:lang w:val="en-US"/>
                    </w:rPr>
                    <w:t>99.1625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98" w:type="pct"/>
                </w:tcPr>
                <w:p>
                  <w:pPr>
                    <w:keepNext w:val="0"/>
                    <w:keepLines w:val="0"/>
                    <w:pageBreakBefore w:val="0"/>
                    <w:widowControl w:val="0"/>
                    <w:kinsoku/>
                    <w:wordWrap/>
                    <w:overflowPunct/>
                    <w:topLinePunct w:val="0"/>
                    <w:autoSpaceDE w:val="0"/>
                    <w:autoSpaceDN w:val="0"/>
                    <w:bidi w:val="0"/>
                    <w:rPr>
                      <w:rFonts w:ascii="Times New Roman" w:hAnsi="Times New Roman" w:cs="Times New Roman" w:eastAsiaTheme="minorEastAsia"/>
                      <w:color w:val="auto"/>
                      <w:sz w:val="21"/>
                      <w:szCs w:val="21"/>
                      <w:highlight w:val="none"/>
                    </w:rPr>
                  </w:pPr>
                </w:p>
              </w:tc>
              <w:tc>
                <w:tcPr>
                  <w:tcW w:w="1022" w:type="pct"/>
                </w:tcPr>
                <w:p>
                  <w:pPr>
                    <w:keepNext w:val="0"/>
                    <w:keepLines w:val="0"/>
                    <w:pageBreakBefore w:val="0"/>
                    <w:widowControl w:val="0"/>
                    <w:kinsoku/>
                    <w:wordWrap/>
                    <w:overflowPunct/>
                    <w:topLinePunct w:val="0"/>
                    <w:autoSpaceDE w:val="0"/>
                    <w:autoSpaceDN w:val="0"/>
                    <w:bidi w:val="0"/>
                    <w:jc w:val="center"/>
                    <w:rPr>
                      <w:rFonts w:ascii="Times New Roman" w:hAnsi="Times New Roman" w:cs="Times New Roman" w:eastAsiaTheme="minorEastAsia"/>
                      <w:color w:val="auto"/>
                      <w:sz w:val="21"/>
                      <w:szCs w:val="21"/>
                      <w:highlight w:val="none"/>
                    </w:rPr>
                  </w:pPr>
                </w:p>
              </w:tc>
              <w:tc>
                <w:tcPr>
                  <w:tcW w:w="1485" w:type="pct"/>
                </w:tcPr>
                <w:p>
                  <w:pPr>
                    <w:pStyle w:val="63"/>
                    <w:keepNext w:val="0"/>
                    <w:keepLines w:val="0"/>
                    <w:pageBreakBefore w:val="0"/>
                    <w:widowControl w:val="0"/>
                    <w:kinsoku/>
                    <w:wordWrap/>
                    <w:overflowPunct/>
                    <w:topLinePunct w:val="0"/>
                    <w:autoSpaceDE w:val="0"/>
                    <w:autoSpaceDN w:val="0"/>
                    <w:bidi w:val="0"/>
                    <w:spacing w:before="67" w:line="219" w:lineRule="auto"/>
                    <w:ind w:left="827"/>
                    <w:rPr>
                      <w:rFonts w:ascii="Times New Roman" w:hAnsi="Times New Roman" w:cs="Times New Roman" w:eastAsiaTheme="minorEastAsia"/>
                      <w:color w:val="auto"/>
                      <w:highlight w:val="none"/>
                      <w:lang w:eastAsia="zh-CN"/>
                    </w:rPr>
                  </w:pPr>
                  <w:r>
                    <w:rPr>
                      <w:rFonts w:ascii="Times New Roman" w:hAnsi="Times New Roman" w:cs="Times New Roman" w:eastAsiaTheme="minorEastAsia"/>
                      <w:color w:val="auto"/>
                      <w:spacing w:val="-3"/>
                      <w:highlight w:val="none"/>
                      <w:lang w:eastAsia="zh-CN"/>
                    </w:rPr>
                    <w:t>硅胶料</w:t>
                  </w:r>
                </w:p>
              </w:tc>
              <w:tc>
                <w:tcPr>
                  <w:tcW w:w="1292" w:type="pct"/>
                </w:tcPr>
                <w:p>
                  <w:pPr>
                    <w:keepNext w:val="0"/>
                    <w:keepLines w:val="0"/>
                    <w:pageBreakBefore w:val="0"/>
                    <w:widowControl w:val="0"/>
                    <w:kinsoku/>
                    <w:wordWrap/>
                    <w:overflowPunct/>
                    <w:topLinePunct w:val="0"/>
                    <w:autoSpaceDE w:val="0"/>
                    <w:autoSpaceDN w:val="0"/>
                    <w:bidi w:val="0"/>
                    <w:spacing w:before="95" w:line="188" w:lineRule="auto"/>
                    <w:jc w:val="center"/>
                    <w:rPr>
                      <w:rFonts w:ascii="Times New Roman" w:hAnsi="Times New Roman" w:cs="Times New Roman" w:eastAsiaTheme="minorEastAsia"/>
                      <w:color w:val="auto"/>
                      <w:sz w:val="21"/>
                      <w:szCs w:val="21"/>
                      <w:highlight w:val="none"/>
                      <w:lang w:val="en-US"/>
                    </w:rPr>
                  </w:pPr>
                  <w:r>
                    <w:rPr>
                      <w:rFonts w:hint="eastAsia" w:ascii="Times New Roman" w:hAnsi="Times New Roman" w:cs="Times New Roman" w:eastAsiaTheme="minorEastAsia"/>
                      <w:color w:val="auto"/>
                      <w:spacing w:val="-4"/>
                      <w:sz w:val="21"/>
                      <w:szCs w:val="21"/>
                      <w:highlight w:val="none"/>
                      <w:lang w:val="en-US"/>
                    </w:rPr>
                    <w:t>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98" w:type="pct"/>
                </w:tcPr>
                <w:p>
                  <w:pPr>
                    <w:keepNext w:val="0"/>
                    <w:keepLines w:val="0"/>
                    <w:pageBreakBefore w:val="0"/>
                    <w:widowControl w:val="0"/>
                    <w:kinsoku/>
                    <w:wordWrap/>
                    <w:overflowPunct/>
                    <w:topLinePunct w:val="0"/>
                    <w:autoSpaceDE w:val="0"/>
                    <w:autoSpaceDN w:val="0"/>
                    <w:bidi w:val="0"/>
                    <w:rPr>
                      <w:rFonts w:ascii="Times New Roman" w:hAnsi="Times New Roman" w:cs="Times New Roman" w:eastAsiaTheme="minorEastAsia"/>
                      <w:color w:val="auto"/>
                      <w:sz w:val="21"/>
                      <w:szCs w:val="21"/>
                      <w:highlight w:val="none"/>
                    </w:rPr>
                  </w:pPr>
                </w:p>
              </w:tc>
              <w:tc>
                <w:tcPr>
                  <w:tcW w:w="1022" w:type="pct"/>
                </w:tcPr>
                <w:p>
                  <w:pPr>
                    <w:keepNext w:val="0"/>
                    <w:keepLines w:val="0"/>
                    <w:pageBreakBefore w:val="0"/>
                    <w:widowControl w:val="0"/>
                    <w:kinsoku/>
                    <w:wordWrap/>
                    <w:overflowPunct/>
                    <w:topLinePunct w:val="0"/>
                    <w:autoSpaceDE w:val="0"/>
                    <w:autoSpaceDN w:val="0"/>
                    <w:bidi w:val="0"/>
                    <w:jc w:val="center"/>
                    <w:rPr>
                      <w:rFonts w:ascii="Times New Roman" w:hAnsi="Times New Roman" w:cs="Times New Roman" w:eastAsiaTheme="minorEastAsia"/>
                      <w:color w:val="auto"/>
                      <w:sz w:val="21"/>
                      <w:szCs w:val="21"/>
                      <w:highlight w:val="none"/>
                    </w:rPr>
                  </w:pPr>
                </w:p>
              </w:tc>
              <w:tc>
                <w:tcPr>
                  <w:tcW w:w="1485" w:type="pct"/>
                </w:tcPr>
                <w:p>
                  <w:pPr>
                    <w:pStyle w:val="63"/>
                    <w:keepNext w:val="0"/>
                    <w:keepLines w:val="0"/>
                    <w:pageBreakBefore w:val="0"/>
                    <w:widowControl w:val="0"/>
                    <w:kinsoku/>
                    <w:wordWrap/>
                    <w:overflowPunct/>
                    <w:topLinePunct w:val="0"/>
                    <w:autoSpaceDE w:val="0"/>
                    <w:autoSpaceDN w:val="0"/>
                    <w:bidi w:val="0"/>
                    <w:spacing w:before="67" w:line="219" w:lineRule="auto"/>
                    <w:jc w:val="center"/>
                    <w:rPr>
                      <w:rFonts w:hint="default" w:ascii="Times New Roman" w:hAnsi="Times New Roman" w:cs="Times New Roman" w:eastAsiaTheme="minorEastAsia"/>
                      <w:color w:val="auto"/>
                      <w:spacing w:val="-3"/>
                      <w:highlight w:val="none"/>
                      <w:lang w:val="en-US" w:eastAsia="zh-CN"/>
                    </w:rPr>
                  </w:pPr>
                  <w:r>
                    <w:rPr>
                      <w:rFonts w:hint="eastAsia" w:ascii="Times New Roman" w:hAnsi="Times New Roman" w:cs="Times New Roman" w:eastAsiaTheme="minorEastAsia"/>
                      <w:color w:val="auto"/>
                      <w:spacing w:val="-3"/>
                      <w:highlight w:val="none"/>
                      <w:lang w:eastAsia="zh-CN"/>
                    </w:rPr>
                    <w:t>粉尘</w:t>
                  </w:r>
                  <w:r>
                    <w:rPr>
                      <w:rFonts w:hint="eastAsia" w:ascii="Times New Roman" w:hAnsi="Times New Roman" w:cs="Times New Roman" w:eastAsiaTheme="minorEastAsia"/>
                      <w:color w:val="auto"/>
                      <w:spacing w:val="-3"/>
                      <w:highlight w:val="none"/>
                      <w:lang w:val="en-US" w:eastAsia="zh-CN"/>
                    </w:rPr>
                    <w:t>排放</w:t>
                  </w:r>
                </w:p>
                <w:p>
                  <w:pPr>
                    <w:keepNext w:val="0"/>
                    <w:keepLines w:val="0"/>
                    <w:pageBreakBefore w:val="0"/>
                    <w:widowControl w:val="0"/>
                    <w:kinsoku/>
                    <w:wordWrap/>
                    <w:overflowPunct/>
                    <w:topLinePunct w:val="0"/>
                    <w:autoSpaceDE w:val="0"/>
                    <w:autoSpaceDN w:val="0"/>
                    <w:bidi w:val="0"/>
                    <w:rPr>
                      <w:color w:val="auto"/>
                      <w:highlight w:val="none"/>
                    </w:rPr>
                  </w:pPr>
                </w:p>
              </w:tc>
              <w:tc>
                <w:tcPr>
                  <w:tcW w:w="1292" w:type="pct"/>
                </w:tcPr>
                <w:p>
                  <w:pPr>
                    <w:keepNext w:val="0"/>
                    <w:keepLines w:val="0"/>
                    <w:pageBreakBefore w:val="0"/>
                    <w:widowControl w:val="0"/>
                    <w:kinsoku/>
                    <w:wordWrap/>
                    <w:overflowPunct/>
                    <w:topLinePunct w:val="0"/>
                    <w:autoSpaceDE w:val="0"/>
                    <w:autoSpaceDN w:val="0"/>
                    <w:bidi w:val="0"/>
                    <w:spacing w:before="95" w:line="188" w:lineRule="auto"/>
                    <w:jc w:val="center"/>
                    <w:rPr>
                      <w:rFonts w:hint="default" w:ascii="Times New Roman" w:hAnsi="Times New Roman" w:eastAsia="宋体" w:cs="Times New Roman"/>
                      <w:color w:val="auto"/>
                      <w:spacing w:val="-4"/>
                      <w:sz w:val="21"/>
                      <w:szCs w:val="21"/>
                      <w:highlight w:val="none"/>
                      <w:lang w:val="en-US" w:eastAsia="zh-CN"/>
                    </w:rPr>
                  </w:pPr>
                  <w:r>
                    <w:rPr>
                      <w:rFonts w:hint="eastAsia" w:ascii="Times New Roman" w:hAnsi="Times New Roman" w:cs="Times New Roman"/>
                      <w:color w:val="auto"/>
                      <w:spacing w:val="-4"/>
                      <w:sz w:val="21"/>
                      <w:szCs w:val="21"/>
                      <w:highlight w:val="none"/>
                      <w:lang w:val="en-US" w:eastAsia="zh-CN"/>
                    </w:rPr>
                    <w:t>2.82837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98" w:type="pct"/>
                </w:tcPr>
                <w:p>
                  <w:pPr>
                    <w:keepNext w:val="0"/>
                    <w:keepLines w:val="0"/>
                    <w:pageBreakBefore w:val="0"/>
                    <w:widowControl w:val="0"/>
                    <w:kinsoku/>
                    <w:wordWrap/>
                    <w:overflowPunct/>
                    <w:topLinePunct w:val="0"/>
                    <w:autoSpaceDE w:val="0"/>
                    <w:autoSpaceDN w:val="0"/>
                    <w:bidi w:val="0"/>
                    <w:rPr>
                      <w:rFonts w:ascii="Times New Roman" w:hAnsi="Times New Roman" w:cs="Times New Roman" w:eastAsiaTheme="minorEastAsia"/>
                      <w:color w:val="auto"/>
                      <w:sz w:val="21"/>
                      <w:szCs w:val="21"/>
                      <w:highlight w:val="none"/>
                    </w:rPr>
                  </w:pPr>
                </w:p>
              </w:tc>
              <w:tc>
                <w:tcPr>
                  <w:tcW w:w="1022" w:type="pct"/>
                </w:tcPr>
                <w:p>
                  <w:pPr>
                    <w:keepNext w:val="0"/>
                    <w:keepLines w:val="0"/>
                    <w:pageBreakBefore w:val="0"/>
                    <w:widowControl w:val="0"/>
                    <w:kinsoku/>
                    <w:wordWrap/>
                    <w:overflowPunct/>
                    <w:topLinePunct w:val="0"/>
                    <w:autoSpaceDE w:val="0"/>
                    <w:autoSpaceDN w:val="0"/>
                    <w:bidi w:val="0"/>
                    <w:jc w:val="center"/>
                    <w:rPr>
                      <w:rFonts w:ascii="Times New Roman" w:hAnsi="Times New Roman" w:cs="Times New Roman" w:eastAsiaTheme="minorEastAsia"/>
                      <w:color w:val="auto"/>
                      <w:sz w:val="21"/>
                      <w:szCs w:val="21"/>
                      <w:highlight w:val="none"/>
                    </w:rPr>
                  </w:pPr>
                </w:p>
              </w:tc>
              <w:tc>
                <w:tcPr>
                  <w:tcW w:w="1485" w:type="pct"/>
                </w:tcPr>
                <w:p>
                  <w:pPr>
                    <w:pStyle w:val="63"/>
                    <w:keepNext w:val="0"/>
                    <w:keepLines w:val="0"/>
                    <w:pageBreakBefore w:val="0"/>
                    <w:widowControl w:val="0"/>
                    <w:kinsoku/>
                    <w:wordWrap/>
                    <w:overflowPunct/>
                    <w:topLinePunct w:val="0"/>
                    <w:autoSpaceDE w:val="0"/>
                    <w:autoSpaceDN w:val="0"/>
                    <w:bidi w:val="0"/>
                    <w:spacing w:before="67" w:line="219" w:lineRule="auto"/>
                    <w:jc w:val="center"/>
                    <w:rPr>
                      <w:rFonts w:hint="default" w:ascii="Times New Roman" w:hAnsi="Times New Roman" w:cs="Times New Roman" w:eastAsiaTheme="minorEastAsia"/>
                      <w:color w:val="auto"/>
                      <w:spacing w:val="-3"/>
                      <w:highlight w:val="none"/>
                      <w:lang w:val="en-US" w:eastAsia="zh-CN"/>
                    </w:rPr>
                  </w:pPr>
                  <w:r>
                    <w:rPr>
                      <w:rFonts w:hint="eastAsia" w:ascii="Times New Roman" w:hAnsi="Times New Roman" w:cs="Times New Roman" w:eastAsiaTheme="minorEastAsia"/>
                      <w:color w:val="auto"/>
                      <w:spacing w:val="-3"/>
                      <w:highlight w:val="none"/>
                      <w:lang w:val="en-US" w:eastAsia="zh-CN"/>
                    </w:rPr>
                    <w:t>除尘灰</w:t>
                  </w:r>
                </w:p>
              </w:tc>
              <w:tc>
                <w:tcPr>
                  <w:tcW w:w="1292" w:type="pct"/>
                </w:tcPr>
                <w:p>
                  <w:pPr>
                    <w:keepNext w:val="0"/>
                    <w:keepLines w:val="0"/>
                    <w:pageBreakBefore w:val="0"/>
                    <w:widowControl w:val="0"/>
                    <w:kinsoku/>
                    <w:wordWrap/>
                    <w:overflowPunct/>
                    <w:topLinePunct w:val="0"/>
                    <w:autoSpaceDE w:val="0"/>
                    <w:autoSpaceDN w:val="0"/>
                    <w:bidi w:val="0"/>
                    <w:spacing w:before="95" w:line="188" w:lineRule="auto"/>
                    <w:jc w:val="center"/>
                    <w:rPr>
                      <w:rStyle w:val="27"/>
                      <w:rFonts w:hint="default" w:ascii="Times New Roman" w:hAnsi="Times New Roman" w:eastAsia="宋体" w:cs="Times New Roman"/>
                      <w:color w:val="auto"/>
                      <w:sz w:val="21"/>
                      <w:szCs w:val="21"/>
                      <w:highlight w:val="none"/>
                      <w:lang w:val="en-US" w:eastAsia="zh-CN"/>
                    </w:rPr>
                  </w:pPr>
                  <w:r>
                    <w:rPr>
                      <w:rStyle w:val="27"/>
                      <w:rFonts w:hint="eastAsia" w:ascii="Times New Roman" w:hAnsi="Times New Roman" w:cs="Times New Roman"/>
                      <w:color w:val="auto"/>
                      <w:sz w:val="21"/>
                      <w:szCs w:val="21"/>
                      <w:highlight w:val="none"/>
                      <w:lang w:val="en-US" w:eastAsia="zh-CN"/>
                    </w:rPr>
                    <w:t>16.67763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98" w:type="pct"/>
                </w:tcPr>
                <w:p>
                  <w:pPr>
                    <w:pStyle w:val="63"/>
                    <w:keepNext w:val="0"/>
                    <w:keepLines w:val="0"/>
                    <w:pageBreakBefore w:val="0"/>
                    <w:widowControl w:val="0"/>
                    <w:kinsoku/>
                    <w:wordWrap/>
                    <w:overflowPunct/>
                    <w:topLinePunct w:val="0"/>
                    <w:autoSpaceDE w:val="0"/>
                    <w:autoSpaceDN w:val="0"/>
                    <w:bidi w:val="0"/>
                    <w:spacing w:before="66" w:line="221" w:lineRule="auto"/>
                    <w:ind w:left="759"/>
                    <w:rPr>
                      <w:rFonts w:ascii="Times New Roman" w:hAnsi="Times New Roman" w:cs="Times New Roman" w:eastAsiaTheme="minorEastAsia"/>
                      <w:color w:val="auto"/>
                      <w:highlight w:val="none"/>
                      <w:lang w:eastAsia="zh-CN"/>
                    </w:rPr>
                  </w:pPr>
                  <w:r>
                    <w:rPr>
                      <w:rFonts w:ascii="Times New Roman" w:hAnsi="Times New Roman" w:cs="Times New Roman" w:eastAsiaTheme="minorEastAsia"/>
                      <w:color w:val="auto"/>
                      <w:spacing w:val="-4"/>
                      <w:highlight w:val="none"/>
                      <w:lang w:eastAsia="zh-CN"/>
                    </w:rPr>
                    <w:t>合计</w:t>
                  </w:r>
                </w:p>
              </w:tc>
              <w:tc>
                <w:tcPr>
                  <w:tcW w:w="1022" w:type="pct"/>
                </w:tcPr>
                <w:p>
                  <w:pPr>
                    <w:keepNext w:val="0"/>
                    <w:keepLines w:val="0"/>
                    <w:pageBreakBefore w:val="0"/>
                    <w:widowControl w:val="0"/>
                    <w:kinsoku/>
                    <w:wordWrap/>
                    <w:overflowPunct/>
                    <w:topLinePunct w:val="0"/>
                    <w:autoSpaceDE w:val="0"/>
                    <w:autoSpaceDN w:val="0"/>
                    <w:bidi w:val="0"/>
                    <w:spacing w:before="97" w:line="188" w:lineRule="auto"/>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pacing w:val="-2"/>
                      <w:sz w:val="21"/>
                      <w:szCs w:val="21"/>
                      <w:highlight w:val="none"/>
                      <w:lang w:val="en-US"/>
                    </w:rPr>
                    <w:t>20</w:t>
                  </w:r>
                  <w:r>
                    <w:rPr>
                      <w:rFonts w:hint="eastAsia" w:ascii="Times New Roman" w:hAnsi="Times New Roman" w:cs="Times New Roman" w:eastAsiaTheme="minorEastAsia"/>
                      <w:color w:val="auto"/>
                      <w:spacing w:val="-2"/>
                      <w:sz w:val="21"/>
                      <w:szCs w:val="21"/>
                      <w:highlight w:val="none"/>
                      <w:lang w:val="en-US" w:eastAsia="zh-CN"/>
                    </w:rPr>
                    <w:t>196.8</w:t>
                  </w:r>
                </w:p>
              </w:tc>
              <w:tc>
                <w:tcPr>
                  <w:tcW w:w="1485" w:type="pct"/>
                </w:tcPr>
                <w:p>
                  <w:pPr>
                    <w:pStyle w:val="63"/>
                    <w:keepNext w:val="0"/>
                    <w:keepLines w:val="0"/>
                    <w:pageBreakBefore w:val="0"/>
                    <w:widowControl w:val="0"/>
                    <w:kinsoku/>
                    <w:wordWrap/>
                    <w:overflowPunct/>
                    <w:topLinePunct w:val="0"/>
                    <w:autoSpaceDE w:val="0"/>
                    <w:autoSpaceDN w:val="0"/>
                    <w:bidi w:val="0"/>
                    <w:spacing w:before="90" w:line="214" w:lineRule="auto"/>
                    <w:ind w:left="917"/>
                    <w:rPr>
                      <w:rFonts w:ascii="Times New Roman" w:hAnsi="Times New Roman" w:cs="Times New Roman" w:eastAsiaTheme="minorEastAsia"/>
                      <w:color w:val="auto"/>
                      <w:highlight w:val="none"/>
                      <w:lang w:eastAsia="zh-CN"/>
                    </w:rPr>
                  </w:pPr>
                  <w:r>
                    <w:rPr>
                      <w:rFonts w:ascii="Times New Roman" w:hAnsi="Times New Roman" w:cs="Times New Roman" w:eastAsiaTheme="minorEastAsia"/>
                      <w:color w:val="auto"/>
                      <w:spacing w:val="-4"/>
                      <w:highlight w:val="none"/>
                      <w:lang w:eastAsia="zh-CN"/>
                    </w:rPr>
                    <w:t>合计</w:t>
                  </w:r>
                </w:p>
              </w:tc>
              <w:tc>
                <w:tcPr>
                  <w:tcW w:w="1292" w:type="pct"/>
                </w:tcPr>
                <w:p>
                  <w:pPr>
                    <w:keepNext w:val="0"/>
                    <w:keepLines w:val="0"/>
                    <w:pageBreakBefore w:val="0"/>
                    <w:widowControl w:val="0"/>
                    <w:kinsoku/>
                    <w:wordWrap/>
                    <w:overflowPunct/>
                    <w:topLinePunct w:val="0"/>
                    <w:autoSpaceDE w:val="0"/>
                    <w:autoSpaceDN w:val="0"/>
                    <w:bidi w:val="0"/>
                    <w:spacing w:before="97" w:line="188" w:lineRule="auto"/>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rPr>
                    <w:t>20</w:t>
                  </w:r>
                  <w:r>
                    <w:rPr>
                      <w:rFonts w:hint="eastAsia" w:ascii="Times New Roman" w:hAnsi="Times New Roman" w:cs="Times New Roman" w:eastAsiaTheme="minorEastAsia"/>
                      <w:color w:val="auto"/>
                      <w:sz w:val="21"/>
                      <w:szCs w:val="21"/>
                      <w:highlight w:val="none"/>
                      <w:lang w:val="en-US" w:eastAsia="zh-CN"/>
                    </w:rPr>
                    <w:t>196.8</w:t>
                  </w:r>
                </w:p>
              </w:tc>
            </w:tr>
          </w:tbl>
          <w:p>
            <w:pPr>
              <w:pStyle w:val="6"/>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1" w:firstLineChars="200"/>
              <w:textAlignment w:val="auto"/>
              <w:rPr>
                <w:rFonts w:hint="default"/>
                <w:b/>
                <w:bCs/>
                <w:color w:val="auto"/>
                <w:highlight w:val="none"/>
                <w:lang w:val="en-US" w:eastAsia="zh-CN"/>
              </w:rPr>
            </w:pPr>
            <w:r>
              <w:rPr>
                <w:rFonts w:hint="eastAsia"/>
                <w:b/>
                <w:bCs/>
                <w:color w:val="auto"/>
                <w:highlight w:val="none"/>
                <w:lang w:val="en-US" w:eastAsia="zh-CN"/>
              </w:rPr>
              <w:t>8、产品介绍</w:t>
            </w:r>
          </w:p>
          <w:p>
            <w:pPr>
              <w:pStyle w:val="6"/>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项目产品介绍见表2-5。</w:t>
            </w:r>
          </w:p>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4"/>
                <w:szCs w:val="24"/>
                <w:highlight w:val="none"/>
                <w:vertAlign w:val="baseline"/>
                <w:lang w:val="en-US" w:eastAsia="zh-CN"/>
              </w:rPr>
            </w:pPr>
            <w:r>
              <w:rPr>
                <w:rFonts w:hint="default" w:ascii="Times New Roman" w:hAnsi="Times New Roman" w:cs="Times New Roman"/>
                <w:b w:val="0"/>
                <w:bCs w:val="0"/>
                <w:color w:val="auto"/>
                <w:sz w:val="24"/>
                <w:szCs w:val="24"/>
                <w:highlight w:val="none"/>
                <w:lang w:val="en-US" w:eastAsia="zh-CN"/>
              </w:rPr>
              <w:t>表2-</w:t>
            </w:r>
            <w:r>
              <w:rPr>
                <w:rFonts w:hint="eastAsia" w:ascii="Times New Roman" w:hAnsi="Times New Roman" w:cs="Times New Roman"/>
                <w:b w:val="0"/>
                <w:bCs w:val="0"/>
                <w:color w:val="auto"/>
                <w:sz w:val="24"/>
                <w:szCs w:val="24"/>
                <w:highlight w:val="none"/>
                <w:lang w:val="en-US" w:eastAsia="zh-CN"/>
              </w:rPr>
              <w:t>5</w:t>
            </w:r>
            <w:r>
              <w:rPr>
                <w:rFonts w:hint="default" w:ascii="Times New Roman" w:hAnsi="Times New Roman" w:cs="Times New Roman"/>
                <w:b w:val="0"/>
                <w:bCs w:val="0"/>
                <w:color w:val="auto"/>
                <w:sz w:val="24"/>
                <w:szCs w:val="24"/>
                <w:highlight w:val="none"/>
                <w:lang w:val="en-US" w:eastAsia="zh-CN"/>
              </w:rPr>
              <w:t xml:space="preserve">  产品</w:t>
            </w:r>
            <w:r>
              <w:rPr>
                <w:rFonts w:hint="eastAsia" w:ascii="Times New Roman" w:hAnsi="Times New Roman" w:cs="Times New Roman"/>
                <w:b w:val="0"/>
                <w:bCs w:val="0"/>
                <w:color w:val="auto"/>
                <w:sz w:val="24"/>
                <w:szCs w:val="24"/>
                <w:highlight w:val="none"/>
                <w:lang w:val="en-US" w:eastAsia="zh-CN"/>
              </w:rPr>
              <w:t>介绍</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4523"/>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产品</w:t>
                  </w:r>
                </w:p>
              </w:tc>
              <w:tc>
                <w:tcPr>
                  <w:tcW w:w="4523"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定义</w:t>
                  </w:r>
                </w:p>
              </w:tc>
              <w:tc>
                <w:tcPr>
                  <w:tcW w:w="2324"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dxa"/>
                  <w:vAlign w:val="center"/>
                </w:tcPr>
                <w:p>
                  <w:pPr>
                    <w:keepNext w:val="0"/>
                    <w:keepLines w:val="0"/>
                    <w:pageBreakBefore w:val="0"/>
                    <w:widowControl w:val="0"/>
                    <w:kinsoku/>
                    <w:wordWrap/>
                    <w:overflowPunct/>
                    <w:topLinePunct w:val="0"/>
                    <w:autoSpaceDE w:val="0"/>
                    <w:autoSpaceDN w:val="0"/>
                    <w:bidi w:val="0"/>
                    <w:jc w:val="center"/>
                    <w:rPr>
                      <w:rFonts w:hint="eastAsia"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pacing w:val="-4"/>
                      <w:sz w:val="21"/>
                      <w:szCs w:val="21"/>
                      <w:highlight w:val="none"/>
                    </w:rPr>
                    <w:t>ABS</w:t>
                  </w:r>
                  <w:r>
                    <w:rPr>
                      <w:rFonts w:hint="eastAsia" w:ascii="Times New Roman" w:hAnsi="Times New Roman" w:cs="Times New Roman" w:eastAsiaTheme="minorEastAsia"/>
                      <w:color w:val="auto"/>
                      <w:spacing w:val="-4"/>
                      <w:sz w:val="21"/>
                      <w:szCs w:val="21"/>
                      <w:highlight w:val="none"/>
                      <w:lang w:val="en-US" w:eastAsia="zh-CN"/>
                    </w:rPr>
                    <w:t>塑料</w:t>
                  </w:r>
                </w:p>
              </w:tc>
              <w:tc>
                <w:tcPr>
                  <w:tcW w:w="4523"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ABS是Acrylonitrile Butadiene Styrene的字首缩写。ABS塑料是丙烯腈(A)-丁二烯(B)-苯乙烯(S)的三元共聚物</w:t>
                  </w:r>
                </w:p>
              </w:tc>
              <w:tc>
                <w:tcPr>
                  <w:tcW w:w="2324" w:type="dxa"/>
                  <w:vMerge w:val="restart"/>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由于外购废塑料内各塑料含量不同，无法确定各自产量</w:t>
                  </w:r>
                  <w:r>
                    <w:rPr>
                      <w:rFonts w:hint="eastAsia"/>
                      <w:color w:val="auto"/>
                      <w:highlight w:val="none"/>
                      <w:lang w:eastAsia="zh-CN"/>
                    </w:rPr>
                    <w:t>，</w:t>
                  </w:r>
                  <w:r>
                    <w:rPr>
                      <w:rFonts w:hint="eastAsia"/>
                      <w:color w:val="auto"/>
                      <w:highlight w:val="none"/>
                      <w:lang w:val="en-US" w:eastAsia="zh-CN"/>
                    </w:rPr>
                    <w:t>故，本项目不进行区分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eastAsiaTheme="minorEastAsia"/>
                      <w:color w:val="auto"/>
                      <w:spacing w:val="-4"/>
                      <w:sz w:val="21"/>
                      <w:szCs w:val="21"/>
                      <w:highlight w:val="none"/>
                    </w:rPr>
                    <w:t>PP</w:t>
                  </w:r>
                  <w:r>
                    <w:rPr>
                      <w:rFonts w:hint="eastAsia" w:ascii="Times New Roman" w:hAnsi="Times New Roman" w:cs="Times New Roman" w:eastAsiaTheme="minorEastAsia"/>
                      <w:color w:val="auto"/>
                      <w:spacing w:val="-4"/>
                      <w:sz w:val="21"/>
                      <w:szCs w:val="21"/>
                      <w:highlight w:val="none"/>
                      <w:lang w:val="en-US" w:eastAsia="zh-CN"/>
                    </w:rPr>
                    <w:t>塑料</w:t>
                  </w:r>
                </w:p>
              </w:tc>
              <w:tc>
                <w:tcPr>
                  <w:tcW w:w="4523"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PP是聚丙烯（Polypropylene）的简称，是一种由丙烯单体聚合而成的半结晶热塑性塑料‌，具有轻质、耐化学腐蚀、耐高温等特性，广泛应用于包装、汽车、家居等领域</w:t>
                  </w:r>
                </w:p>
              </w:tc>
              <w:tc>
                <w:tcPr>
                  <w:tcW w:w="2324" w:type="dxa"/>
                  <w:vMerge w:val="continue"/>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5"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r>
                    <w:rPr>
                      <w:rFonts w:ascii="Times New Roman" w:hAnsi="Times New Roman" w:eastAsia="Times New Roman" w:cs="Times New Roman"/>
                      <w:color w:val="auto"/>
                      <w:spacing w:val="-4"/>
                      <w:sz w:val="18"/>
                      <w:szCs w:val="18"/>
                      <w:highlight w:val="none"/>
                    </w:rPr>
                    <w:t>PE</w:t>
                  </w:r>
                  <w:r>
                    <w:rPr>
                      <w:rFonts w:hint="eastAsia" w:ascii="Times New Roman" w:hAnsi="Times New Roman" w:cs="Times New Roman" w:eastAsiaTheme="minorEastAsia"/>
                      <w:color w:val="auto"/>
                      <w:spacing w:val="-4"/>
                      <w:sz w:val="21"/>
                      <w:szCs w:val="21"/>
                      <w:highlight w:val="none"/>
                      <w:lang w:val="en-US" w:eastAsia="zh-CN"/>
                    </w:rPr>
                    <w:t>塑料</w:t>
                  </w:r>
                </w:p>
              </w:tc>
              <w:tc>
                <w:tcPr>
                  <w:tcW w:w="4523"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聚乙烯(PE)是五大合成树脂之一，是我国合成树脂中产能最大、进口量最多的品种。聚乙烯主要分为线性低密度聚乙烯(LLDPE )、低密度聚乙烯(LDPE )、高密度聚乙烯(HDPE )三大类</w:t>
                  </w:r>
                </w:p>
              </w:tc>
              <w:tc>
                <w:tcPr>
                  <w:tcW w:w="2324" w:type="dxa"/>
                  <w:vMerge w:val="continue"/>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5"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PS塑料</w:t>
                  </w:r>
                </w:p>
              </w:tc>
              <w:tc>
                <w:tcPr>
                  <w:tcW w:w="4523" w:type="dxa"/>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PS是聚苯乙烯（Polystyrene）的简称‌，是一种无色透明的热塑性塑料，属于五大通用塑料之一，具有透明度高、加工性能好、成本低廉等特点。</w:t>
                  </w:r>
                </w:p>
              </w:tc>
              <w:tc>
                <w:tcPr>
                  <w:tcW w:w="2324" w:type="dxa"/>
                  <w:vMerge w:val="continue"/>
                  <w:vAlign w:val="center"/>
                </w:tcPr>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1"/>
                      <w:szCs w:val="21"/>
                      <w:highlight w:val="none"/>
                      <w:vertAlign w:val="baseline"/>
                      <w:lang w:val="en-US" w:eastAsia="zh-CN"/>
                    </w:rPr>
                  </w:pPr>
                </w:p>
              </w:tc>
            </w:tr>
          </w:tbl>
          <w:p>
            <w:pPr>
              <w:pStyle w:val="6"/>
              <w:keepNext w:val="0"/>
              <w:keepLines w:val="0"/>
              <w:pageBreakBefore w:val="0"/>
              <w:widowControl w:val="0"/>
              <w:kinsoku/>
              <w:wordWrap/>
              <w:overflowPunct/>
              <w:topLinePunct w:val="0"/>
              <w:autoSpaceDE w:val="0"/>
              <w:autoSpaceDN w:val="0"/>
              <w:bidi w:val="0"/>
              <w:ind w:left="0" w:leftChars="0" w:firstLine="481" w:firstLineChars="200"/>
              <w:rPr>
                <w:rFonts w:hint="default"/>
                <w:b/>
                <w:bCs/>
                <w:color w:val="auto"/>
                <w:highlight w:val="none"/>
                <w:lang w:val="en-US" w:eastAsia="zh-CN"/>
              </w:rPr>
            </w:pPr>
            <w:r>
              <w:rPr>
                <w:rFonts w:hint="eastAsia"/>
                <w:b/>
                <w:bCs/>
                <w:color w:val="auto"/>
                <w:highlight w:val="none"/>
                <w:lang w:val="en-US" w:eastAsia="zh-CN"/>
              </w:rPr>
              <w:t>9、能源消耗</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宋体" w:hAnsi="宋体" w:eastAsia="宋体" w:cs="宋体"/>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项目主要能源消耗见表2-6</w:t>
            </w:r>
            <w:r>
              <w:rPr>
                <w:rFonts w:hint="eastAsia" w:ascii="宋体" w:hAnsi="宋体" w:eastAsia="宋体" w:cs="宋体"/>
                <w:b w:val="0"/>
                <w:bCs w:val="0"/>
                <w:color w:val="auto"/>
                <w:highlight w:val="none"/>
                <w:lang w:val="en-US" w:eastAsia="zh-CN"/>
              </w:rPr>
              <w:t>。</w:t>
            </w:r>
          </w:p>
          <w:p>
            <w:pPr>
              <w:keepNext w:val="0"/>
              <w:keepLines w:val="0"/>
              <w:pageBreakBefore w:val="0"/>
              <w:widowControl w:val="0"/>
              <w:kinsoku/>
              <w:wordWrap/>
              <w:overflowPunct/>
              <w:topLinePunct w:val="0"/>
              <w:autoSpaceDE w:val="0"/>
              <w:autoSpaceDN w:val="0"/>
              <w:bidi w:val="0"/>
              <w:jc w:val="center"/>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表2-</w:t>
            </w:r>
            <w:r>
              <w:rPr>
                <w:rFonts w:hint="eastAsia" w:ascii="Times New Roman" w:hAnsi="Times New Roman"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lang w:val="en-US" w:eastAsia="zh-CN"/>
              </w:rPr>
              <w:t xml:space="preserve">  项目能源消耗一览表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952"/>
              <w:gridCol w:w="963"/>
              <w:gridCol w:w="1100"/>
              <w:gridCol w:w="4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16"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序号</w:t>
                  </w:r>
                </w:p>
              </w:tc>
              <w:tc>
                <w:tcPr>
                  <w:tcW w:w="952"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名称</w:t>
                  </w:r>
                </w:p>
              </w:tc>
              <w:tc>
                <w:tcPr>
                  <w:tcW w:w="963"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用量</w:t>
                  </w:r>
                </w:p>
              </w:tc>
              <w:tc>
                <w:tcPr>
                  <w:tcW w:w="1100"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单位</w:t>
                  </w:r>
                </w:p>
              </w:tc>
              <w:tc>
                <w:tcPr>
                  <w:tcW w:w="4062"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952"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水</w:t>
                  </w:r>
                </w:p>
              </w:tc>
              <w:tc>
                <w:tcPr>
                  <w:tcW w:w="963"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270</w:t>
                  </w:r>
                </w:p>
              </w:tc>
              <w:tc>
                <w:tcPr>
                  <w:tcW w:w="1100"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vertAlign w:val="baseline"/>
                      <w:lang w:val="en-US" w:eastAsia="zh-CN"/>
                    </w:rPr>
                    <w:t>/a</w:t>
                  </w:r>
                </w:p>
              </w:tc>
              <w:tc>
                <w:tcPr>
                  <w:tcW w:w="4062"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园区</w:t>
                  </w:r>
                  <w:r>
                    <w:rPr>
                      <w:rFonts w:hint="eastAsia" w:ascii="Times New Roman" w:hAnsi="Times New Roman" w:cs="Times New Roman"/>
                      <w:color w:val="auto"/>
                      <w:sz w:val="21"/>
                      <w:szCs w:val="21"/>
                      <w:highlight w:val="none"/>
                      <w:vertAlign w:val="baseline"/>
                      <w:lang w:val="en-US" w:eastAsia="zh-CN"/>
                    </w:rPr>
                    <w:t>自来水管网（生活用水）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p>
              </w:tc>
              <w:tc>
                <w:tcPr>
                  <w:tcW w:w="952"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p>
              </w:tc>
              <w:tc>
                <w:tcPr>
                  <w:tcW w:w="963"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440.7</w:t>
                  </w:r>
                </w:p>
              </w:tc>
              <w:tc>
                <w:tcPr>
                  <w:tcW w:w="1100"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vertAlign w:val="baseline"/>
                      <w:lang w:val="en-US" w:eastAsia="zh-CN"/>
                    </w:rPr>
                    <w:t>/a</w:t>
                  </w:r>
                </w:p>
              </w:tc>
              <w:tc>
                <w:tcPr>
                  <w:tcW w:w="4062"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园区生产用水管网（生产用水）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952"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电</w:t>
                  </w:r>
                </w:p>
              </w:tc>
              <w:tc>
                <w:tcPr>
                  <w:tcW w:w="963"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522</w:t>
                  </w:r>
                </w:p>
              </w:tc>
              <w:tc>
                <w:tcPr>
                  <w:tcW w:w="1100"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万</w:t>
                  </w:r>
                  <w:r>
                    <w:rPr>
                      <w:rFonts w:hint="eastAsia" w:ascii="Times New Roman" w:hAnsi="Times New Roman" w:cs="Times New Roman"/>
                      <w:color w:val="auto"/>
                      <w:sz w:val="21"/>
                      <w:szCs w:val="21"/>
                      <w:highlight w:val="none"/>
                      <w:vertAlign w:val="baseline"/>
                      <w:lang w:val="en-US" w:eastAsia="zh-CN"/>
                    </w:rPr>
                    <w:t>kW</w:t>
                  </w:r>
                  <w:r>
                    <w:rPr>
                      <w:rFonts w:hint="default" w:ascii="Times New Roman" w:hAnsi="Times New Roman" w:cs="Times New Roman"/>
                      <w:color w:val="auto"/>
                      <w:sz w:val="21"/>
                      <w:szCs w:val="21"/>
                      <w:highlight w:val="none"/>
                      <w:vertAlign w:val="baseline"/>
                      <w:lang w:val="en-US" w:eastAsia="zh-CN"/>
                    </w:rPr>
                    <w:t>·h/a</w:t>
                  </w:r>
                </w:p>
              </w:tc>
              <w:tc>
                <w:tcPr>
                  <w:tcW w:w="4062" w:type="dxa"/>
                  <w:vAlign w:val="center"/>
                </w:tcPr>
                <w:p>
                  <w:pPr>
                    <w:keepNext w:val="0"/>
                    <w:keepLines w:val="0"/>
                    <w:pageBreakBefore w:val="0"/>
                    <w:widowControl w:val="0"/>
                    <w:kinsoku/>
                    <w:wordWrap/>
                    <w:overflowPunct/>
                    <w:topLinePunct w:val="0"/>
                    <w:autoSpaceDE w:val="0"/>
                    <w:autoSpaceDN w:val="0"/>
                    <w:bidi w:val="0"/>
                    <w:adjustRightInd/>
                    <w:snapToGrid/>
                    <w:spacing w:before="126" w:beforeLines="40" w:after="126" w:afterLines="40"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园区供电系统提供</w:t>
                  </w:r>
                  <w:r>
                    <w:rPr>
                      <w:rFonts w:hint="eastAsia" w:ascii="Times New Roman" w:hAnsi="Times New Roman" w:cs="Times New Roman"/>
                      <w:color w:val="auto"/>
                      <w:sz w:val="21"/>
                      <w:szCs w:val="21"/>
                      <w:highlight w:val="none"/>
                      <w:vertAlign w:val="baseline"/>
                      <w:lang w:val="en-US" w:eastAsia="zh-CN"/>
                    </w:rPr>
                    <w:t>。</w:t>
                  </w:r>
                </w:p>
              </w:tc>
            </w:tr>
          </w:tbl>
          <w:p>
            <w:pPr>
              <w:keepNext w:val="0"/>
              <w:keepLines w:val="0"/>
              <w:pageBreakBefore w:val="0"/>
              <w:widowControl w:val="0"/>
              <w:kinsoku/>
              <w:wordWrap/>
              <w:overflowPunct/>
              <w:topLinePunct w:val="0"/>
              <w:autoSpaceDE w:val="0"/>
              <w:autoSpaceDN w:val="0"/>
              <w:bidi w:val="0"/>
              <w:spacing w:line="360" w:lineRule="auto"/>
              <w:ind w:firstLine="481" w:firstLineChars="200"/>
              <w:rPr>
                <w:rFonts w:hint="default" w:eastAsia="宋体"/>
                <w:b/>
                <w:color w:val="auto"/>
                <w:sz w:val="24"/>
                <w:highlight w:val="none"/>
                <w:lang w:val="en-US" w:eastAsia="zh-CN"/>
              </w:rPr>
            </w:pPr>
            <w:r>
              <w:rPr>
                <w:rFonts w:hint="eastAsia" w:ascii="Times New Roman" w:hAnsi="Times New Roman" w:cs="Times New Roman"/>
                <w:b/>
                <w:color w:val="auto"/>
                <w:sz w:val="24"/>
                <w:highlight w:val="none"/>
                <w:lang w:val="en-US" w:eastAsia="zh-CN"/>
              </w:rPr>
              <w:t>10</w:t>
            </w:r>
            <w:r>
              <w:rPr>
                <w:b/>
                <w:color w:val="auto"/>
                <w:sz w:val="24"/>
                <w:highlight w:val="none"/>
              </w:rPr>
              <w:t>、工作制度及</w:t>
            </w:r>
            <w:r>
              <w:rPr>
                <w:rFonts w:hint="eastAsia"/>
                <w:b/>
                <w:color w:val="auto"/>
                <w:sz w:val="24"/>
                <w:highlight w:val="none"/>
                <w:lang w:val="en-US" w:eastAsia="zh-CN"/>
              </w:rPr>
              <w:t>劳动定员</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b/>
                <w:bCs/>
                <w:color w:val="auto"/>
                <w:highlight w:val="none"/>
                <w:lang w:val="en-US" w:eastAsia="zh-CN"/>
              </w:rPr>
            </w:pPr>
            <w:r>
              <w:rPr>
                <w:rFonts w:hint="eastAsia" w:ascii="Times New Roman" w:hAnsi="Times New Roman" w:cs="Times New Roman"/>
                <w:color w:val="auto"/>
                <w:sz w:val="24"/>
                <w:highlight w:val="none"/>
                <w:lang w:val="en-US" w:eastAsia="zh-CN"/>
              </w:rPr>
              <w:t>本项目</w:t>
            </w:r>
            <w:r>
              <w:rPr>
                <w:rFonts w:hint="default" w:ascii="Times New Roman" w:hAnsi="Times New Roman" w:cs="Times New Roman"/>
                <w:color w:val="auto"/>
                <w:sz w:val="24"/>
                <w:highlight w:val="none"/>
              </w:rPr>
              <w:t>工作人员</w:t>
            </w:r>
            <w:r>
              <w:rPr>
                <w:rFonts w:hint="eastAsia" w:ascii="Times New Roman" w:hAnsi="Times New Roman" w:cs="Times New Roman"/>
                <w:color w:val="auto"/>
                <w:sz w:val="24"/>
                <w:highlight w:val="none"/>
                <w:lang w:val="en-US" w:eastAsia="zh-CN"/>
              </w:rPr>
              <w:t>15</w:t>
            </w:r>
            <w:r>
              <w:rPr>
                <w:rFonts w:hint="default" w:ascii="Times New Roman" w:hAnsi="Times New Roman" w:cs="Times New Roman"/>
                <w:color w:val="auto"/>
                <w:sz w:val="24"/>
                <w:highlight w:val="none"/>
              </w:rPr>
              <w:t>人，8小时工作制，全年工作天数为</w:t>
            </w:r>
            <w:r>
              <w:rPr>
                <w:rFonts w:hint="eastAsia" w:ascii="Times New Roman" w:hAnsi="Times New Roman" w:cs="Times New Roman"/>
                <w:color w:val="auto"/>
                <w:sz w:val="24"/>
                <w:highlight w:val="none"/>
                <w:lang w:val="en-US" w:eastAsia="zh-CN"/>
              </w:rPr>
              <w:t>300</w:t>
            </w:r>
            <w:r>
              <w:rPr>
                <w:rFonts w:hint="default" w:ascii="Times New Roman" w:hAnsi="Times New Roman" w:cs="Times New Roman"/>
                <w:color w:val="auto"/>
                <w:sz w:val="24"/>
                <w:highlight w:val="none"/>
              </w:rPr>
              <w:t>天</w:t>
            </w:r>
            <w:r>
              <w:rPr>
                <w:rFonts w:hint="eastAsia"/>
                <w:color w:val="auto"/>
                <w:sz w:val="24"/>
                <w:highlight w:val="none"/>
              </w:rPr>
              <w:t>。</w:t>
            </w:r>
          </w:p>
          <w:p>
            <w:pPr>
              <w:pStyle w:val="21"/>
              <w:keepNext w:val="0"/>
              <w:keepLines w:val="0"/>
              <w:pageBreakBefore w:val="0"/>
              <w:widowControl w:val="0"/>
              <w:kinsoku/>
              <w:wordWrap/>
              <w:overflowPunct/>
              <w:topLinePunct w:val="0"/>
              <w:autoSpaceDE w:val="0"/>
              <w:autoSpaceDN w:val="0"/>
              <w:bidi w:val="0"/>
              <w:spacing w:line="360" w:lineRule="auto"/>
              <w:ind w:firstLine="481" w:firstLineChars="200"/>
              <w:rPr>
                <w:rFonts w:hint="eastAsia" w:ascii="Times New Roman" w:hAnsi="Times New Roman" w:eastAsia="宋体" w:cs="Times New Roman"/>
                <w:color w:val="auto"/>
                <w:highlight w:val="none"/>
                <w:lang w:eastAsia="zh-CN"/>
              </w:rPr>
            </w:pPr>
            <w:r>
              <w:rPr>
                <w:rFonts w:hint="eastAsia" w:ascii="Times New Roman" w:hAnsi="Times New Roman" w:cs="Times New Roman"/>
                <w:b/>
                <w:bCs/>
                <w:color w:val="auto"/>
                <w:highlight w:val="none"/>
                <w:lang w:val="en-US" w:eastAsia="zh-CN"/>
              </w:rPr>
              <w:t>11、公</w:t>
            </w:r>
            <w:r>
              <w:rPr>
                <w:rFonts w:hint="eastAsia" w:ascii="Times New Roman" w:hAnsi="Times New Roman" w:cs="Times New Roman"/>
                <w:b/>
                <w:bCs/>
                <w:color w:val="auto"/>
                <w:highlight w:val="none"/>
                <w:lang w:eastAsia="zh-CN"/>
              </w:rPr>
              <w:t>用工程</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11</w:t>
            </w:r>
            <w:r>
              <w:rPr>
                <w:rFonts w:ascii="Times New Roman" w:hAnsi="Times New Roman" w:cs="Times New Roman"/>
                <w:color w:val="auto"/>
                <w:highlight w:val="none"/>
              </w:rPr>
              <w:t>.1供电</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本项目</w:t>
            </w:r>
            <w:r>
              <w:rPr>
                <w:rFonts w:hint="eastAsia" w:ascii="Times New Roman" w:hAnsi="Times New Roman" w:cs="Times New Roman"/>
                <w:color w:val="auto"/>
                <w:highlight w:val="none"/>
                <w:lang w:val="en-US" w:eastAsia="zh-CN"/>
              </w:rPr>
              <w:t>用电由园区供电系统提供</w:t>
            </w:r>
            <w:r>
              <w:rPr>
                <w:rFonts w:ascii="Times New Roman" w:hAnsi="Times New Roman" w:cs="Times New Roman"/>
                <w:color w:val="auto"/>
                <w:highlight w:val="none"/>
              </w:rPr>
              <w:t>。</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11</w:t>
            </w:r>
            <w:r>
              <w:rPr>
                <w:rFonts w:ascii="Times New Roman" w:hAnsi="Times New Roman" w:cs="Times New Roman"/>
                <w:color w:val="auto"/>
                <w:highlight w:val="none"/>
              </w:rPr>
              <w:t>.2采暖</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color w:val="auto"/>
                <w:highlight w:val="none"/>
              </w:rPr>
            </w:pPr>
            <w:r>
              <w:rPr>
                <w:rFonts w:hint="eastAsia" w:ascii="Times New Roman" w:hAnsi="Times New Roman" w:cs="Times New Roman"/>
                <w:color w:val="auto"/>
                <w:highlight w:val="none"/>
                <w:lang w:eastAsia="zh-CN"/>
              </w:rPr>
              <w:t>本项目</w:t>
            </w:r>
            <w:r>
              <w:rPr>
                <w:rFonts w:hint="eastAsia" w:ascii="Times New Roman" w:hAnsi="Times New Roman" w:cs="Times New Roman"/>
                <w:color w:val="auto"/>
                <w:highlight w:val="none"/>
                <w:lang w:val="en-US" w:eastAsia="zh-CN"/>
              </w:rPr>
              <w:t>办公生活区冬季供暖由园区供暖管网提供</w:t>
            </w:r>
            <w:r>
              <w:rPr>
                <w:rFonts w:hint="eastAsia" w:ascii="Times New Roman" w:hAnsi="Times New Roman" w:cs="Times New Roman"/>
                <w:color w:val="auto"/>
                <w:highlight w:val="none"/>
              </w:rPr>
              <w:t>。</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11.</w:t>
            </w:r>
            <w:r>
              <w:rPr>
                <w:rFonts w:ascii="Times New Roman" w:hAnsi="Times New Roman" w:cs="Times New Roman"/>
                <w:color w:val="auto"/>
                <w:highlight w:val="none"/>
              </w:rPr>
              <w:t>3给水</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本项目用水主要为工作人员生活用水及生产用水。</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1.生活用水</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jc w:val="both"/>
              <w:rPr>
                <w:rFonts w:hint="eastAsia" w:ascii="Times New Roman" w:hAnsi="Times New Roman" w:cs="Times New Roman"/>
                <w:color w:val="auto"/>
                <w:sz w:val="24"/>
                <w:szCs w:val="24"/>
                <w:highlight w:val="none"/>
                <w:lang w:val="en-US" w:eastAsia="zh-CN"/>
              </w:rPr>
            </w:pPr>
            <w:r>
              <w:rPr>
                <w:rFonts w:ascii="Times New Roman" w:hAnsi="Times New Roman" w:cs="Times New Roman"/>
                <w:color w:val="auto"/>
                <w:sz w:val="24"/>
                <w:szCs w:val="24"/>
                <w:highlight w:val="none"/>
              </w:rPr>
              <w:t>本项目</w:t>
            </w:r>
            <w:r>
              <w:rPr>
                <w:rFonts w:hint="eastAsia" w:ascii="Times New Roman" w:hAnsi="Times New Roman" w:cs="Times New Roman"/>
                <w:color w:val="auto"/>
                <w:sz w:val="24"/>
                <w:szCs w:val="24"/>
                <w:highlight w:val="none"/>
                <w:lang w:val="en-US" w:eastAsia="zh-CN"/>
              </w:rPr>
              <w:t>生活用水为园区自来水管网</w:t>
            </w:r>
            <w:r>
              <w:rPr>
                <w:rFonts w:hint="eastAsia" w:ascii="Times New Roman" w:hAnsi="Times New Roman" w:cs="Times New Roman"/>
                <w:color w:val="auto"/>
                <w:sz w:val="24"/>
                <w:szCs w:val="24"/>
                <w:highlight w:val="none"/>
                <w:lang w:eastAsia="zh-CN"/>
              </w:rPr>
              <w:t>，根据《内蒙古自治区行业用水定额标准》（DB15/T385-20</w:t>
            </w:r>
            <w:r>
              <w:rPr>
                <w:rFonts w:hint="eastAsia" w:ascii="Times New Roman" w:hAnsi="Times New Roman" w:cs="Times New Roman"/>
                <w:color w:val="auto"/>
                <w:sz w:val="24"/>
                <w:szCs w:val="24"/>
                <w:highlight w:val="none"/>
                <w:lang w:val="en-US" w:eastAsia="zh-CN"/>
              </w:rPr>
              <w:t>20</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生活用水定额按60L/d·人，则用水量为0.9m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/d（270m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/a）。</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jc w:val="both"/>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2.生产用水</w:t>
            </w:r>
          </w:p>
          <w:p>
            <w:pPr>
              <w:pStyle w:val="21"/>
              <w:keepNext w:val="0"/>
              <w:keepLines w:val="0"/>
              <w:pageBreakBefore w:val="0"/>
              <w:widowControl w:val="0"/>
              <w:kinsoku/>
              <w:wordWrap/>
              <w:overflowPunct/>
              <w:topLinePunct w:val="0"/>
              <w:autoSpaceDE w:val="0"/>
              <w:autoSpaceDN w:val="0"/>
              <w:bidi w:val="0"/>
              <w:spacing w:line="360" w:lineRule="auto"/>
              <w:ind w:firstLine="468" w:firstLineChars="200"/>
              <w:jc w:val="both"/>
              <w:rPr>
                <w:rFonts w:hint="eastAsia" w:ascii="Times New Roman" w:hAnsi="Times New Roman" w:cs="Times New Roman"/>
                <w:color w:val="auto"/>
                <w:sz w:val="24"/>
                <w:szCs w:val="24"/>
                <w:highlight w:val="none"/>
                <w:lang w:val="en-US" w:eastAsia="zh-CN"/>
              </w:rPr>
            </w:pPr>
            <w:r>
              <w:rPr>
                <w:color w:val="auto"/>
                <w:spacing w:val="-3"/>
                <w:sz w:val="24"/>
                <w:szCs w:val="24"/>
                <w:highlight w:val="none"/>
              </w:rPr>
              <w:t>本项目采用清水漂洗工艺</w:t>
            </w:r>
            <w:r>
              <w:rPr>
                <w:color w:val="auto"/>
                <w:spacing w:val="-1"/>
                <w:sz w:val="24"/>
                <w:szCs w:val="24"/>
                <w:highlight w:val="none"/>
              </w:rPr>
              <w:t>。漂洗槽储水量约</w:t>
            </w:r>
            <w:r>
              <w:rPr>
                <w:rFonts w:ascii="Times New Roman" w:hAnsi="Times New Roman" w:eastAsia="Times New Roman" w:cs="Times New Roman"/>
                <w:color w:val="auto"/>
                <w:spacing w:val="-1"/>
                <w:sz w:val="24"/>
                <w:szCs w:val="24"/>
                <w:highlight w:val="none"/>
              </w:rPr>
              <w:t>15m</w:t>
            </w:r>
            <w:r>
              <w:rPr>
                <w:rFonts w:hint="eastAsia" w:ascii="Times New Roman" w:hAnsi="Times New Roman" w:eastAsia="宋体" w:cs="Times New Roman"/>
                <w:color w:val="auto"/>
                <w:spacing w:val="-1"/>
                <w:sz w:val="24"/>
                <w:szCs w:val="24"/>
                <w:highlight w:val="none"/>
                <w:vertAlign w:val="superscript"/>
                <w:lang w:val="en-US" w:eastAsia="zh-CN"/>
              </w:rPr>
              <w:t>3</w:t>
            </w:r>
            <w:r>
              <w:rPr>
                <w:color w:val="auto"/>
                <w:spacing w:val="-1"/>
                <w:sz w:val="24"/>
                <w:szCs w:val="24"/>
                <w:highlight w:val="none"/>
              </w:rPr>
              <w:t>，漂洗槽的水不外排仅需</w:t>
            </w:r>
            <w:r>
              <w:rPr>
                <w:color w:val="auto"/>
                <w:spacing w:val="-3"/>
                <w:sz w:val="24"/>
                <w:szCs w:val="24"/>
                <w:highlight w:val="none"/>
              </w:rPr>
              <w:t>适时补水。漂洗槽的水量消耗主要有产品提出时带走水</w:t>
            </w:r>
            <w:r>
              <w:rPr>
                <w:color w:val="auto"/>
                <w:spacing w:val="-1"/>
                <w:sz w:val="24"/>
                <w:szCs w:val="24"/>
                <w:highlight w:val="none"/>
              </w:rPr>
              <w:t>以及漂洗槽运转时水分飞溅蒸发消耗</w:t>
            </w:r>
            <w:r>
              <w:rPr>
                <w:rFonts w:hint="eastAsia"/>
                <w:color w:val="auto"/>
                <w:spacing w:val="-1"/>
                <w:sz w:val="24"/>
                <w:szCs w:val="24"/>
                <w:highlight w:val="none"/>
                <w:lang w:val="en-US" w:eastAsia="zh-CN"/>
              </w:rPr>
              <w:t>及地面冲洗用水</w:t>
            </w:r>
            <w:r>
              <w:rPr>
                <w:color w:val="auto"/>
                <w:spacing w:val="-1"/>
                <w:sz w:val="24"/>
                <w:szCs w:val="24"/>
                <w:highlight w:val="none"/>
              </w:rPr>
              <w:t>。</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jc w:val="both"/>
              <w:rPr>
                <w:rFonts w:hint="eastAsia" w:ascii="Times New Roman" w:hAnsi="Times New Roman" w:cs="Times New Roman"/>
                <w:color w:val="auto"/>
                <w:highlight w:val="none"/>
                <w:lang w:val="en-US" w:eastAsia="zh-CN"/>
              </w:rPr>
            </w:pPr>
            <w:r>
              <w:rPr>
                <w:rFonts w:hint="eastAsia" w:ascii="Times New Roman" w:hAnsi="Times New Roman" w:cs="Times New Roman"/>
                <w:color w:val="auto"/>
                <w:sz w:val="24"/>
                <w:szCs w:val="24"/>
                <w:highlight w:val="none"/>
                <w:lang w:val="en-US" w:eastAsia="zh-CN"/>
              </w:rPr>
              <w:t>①</w:t>
            </w:r>
            <w:r>
              <w:rPr>
                <w:rFonts w:hint="eastAsia" w:ascii="Times New Roman" w:hAnsi="Times New Roman" w:cs="Times New Roman"/>
                <w:color w:val="auto"/>
                <w:highlight w:val="none"/>
                <w:lang w:val="en-US" w:eastAsia="zh-CN"/>
              </w:rPr>
              <w:t>漂洗槽运转时消耗水分</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jc w:val="both"/>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漂洗槽运转过程，因机械旋转，水分飞溅蒸发的情况会损耗一部分。根据建设单位介绍，此部分损耗水约占漂洗槽总储水量的1%，项目漂洗槽总储水量为15m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，则此部分损耗水量约0.15m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/d。</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②漂洗槽补水</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项目漂洗槽储水量为15m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。物料在清水漂洗后通过机械提出，提出时含水率约5%，约3.28m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/d。经过甩干机脱水后能脱去约60%的水分，约1.986m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/d，烘干脱除20%的水分，约0.656m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/d，则产品带走水分约0.656m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/d，进入沉淀池后循环使用。</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综上，本项目废塑料漂洗槽总补水量1.462m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/d（438.6m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/a），总废水产生量1.986m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/d（595.8m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/a），经沉淀池收集后循环使用。</w:t>
            </w:r>
          </w:p>
          <w:p>
            <w:pPr>
              <w:keepNext w:val="0"/>
              <w:keepLines w:val="0"/>
              <w:pageBreakBefore w:val="0"/>
              <w:widowControl w:val="0"/>
              <w:kinsoku/>
              <w:wordWrap/>
              <w:overflowPunct/>
              <w:topLinePunct w:val="0"/>
              <w:autoSpaceDE w:val="0"/>
              <w:autoSpaceDN w:val="0"/>
              <w:bidi w:val="0"/>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lang w:val="en-US" w:eastAsia="zh-CN"/>
              </w:rPr>
              <w:t>③地面冲洗用水</w:t>
            </w:r>
          </w:p>
          <w:p>
            <w:pPr>
              <w:pStyle w:val="5"/>
              <w:keepNext w:val="0"/>
              <w:keepLines w:val="0"/>
              <w:pageBreakBefore w:val="0"/>
              <w:widowControl w:val="0"/>
              <w:kinsoku/>
              <w:wordWrap/>
              <w:overflowPunct/>
              <w:topLinePunct w:val="0"/>
              <w:autoSpaceDE w:val="0"/>
              <w:autoSpaceDN w:val="0"/>
              <w:bidi w:val="0"/>
              <w:spacing w:line="360" w:lineRule="auto"/>
              <w:rPr>
                <w:rFonts w:hint="default"/>
                <w:color w:val="auto"/>
                <w:sz w:val="24"/>
                <w:szCs w:val="24"/>
                <w:highlight w:val="none"/>
                <w:lang w:val="en-US" w:eastAsia="zh-CN"/>
              </w:rPr>
            </w:pPr>
            <w:r>
              <w:rPr>
                <w:color w:val="auto"/>
                <w:spacing w:val="-2"/>
                <w:sz w:val="24"/>
                <w:szCs w:val="24"/>
                <w:highlight w:val="none"/>
              </w:rPr>
              <w:t>项目生产车间的地面为保持清洁，需要定期冲洗。地面冲洗频率按</w:t>
            </w:r>
            <w:r>
              <w:rPr>
                <w:rFonts w:ascii="Times New Roman" w:hAnsi="Times New Roman" w:eastAsia="Times New Roman" w:cs="Times New Roman"/>
                <w:color w:val="auto"/>
                <w:spacing w:val="-2"/>
                <w:sz w:val="24"/>
                <w:szCs w:val="24"/>
                <w:highlight w:val="none"/>
              </w:rPr>
              <w:t>1</w:t>
            </w:r>
            <w:r>
              <w:rPr>
                <w:color w:val="auto"/>
                <w:spacing w:val="-2"/>
                <w:sz w:val="24"/>
                <w:szCs w:val="24"/>
                <w:highlight w:val="none"/>
              </w:rPr>
              <w:t>月</w:t>
            </w:r>
            <w:r>
              <w:rPr>
                <w:rFonts w:ascii="Times New Roman" w:hAnsi="Times New Roman" w:eastAsia="Times New Roman" w:cs="Times New Roman"/>
                <w:color w:val="auto"/>
                <w:spacing w:val="-2"/>
                <w:sz w:val="24"/>
                <w:szCs w:val="24"/>
                <w:highlight w:val="none"/>
              </w:rPr>
              <w:t>/</w:t>
            </w:r>
            <w:r>
              <w:rPr>
                <w:color w:val="auto"/>
                <w:spacing w:val="-2"/>
                <w:sz w:val="24"/>
                <w:szCs w:val="24"/>
                <w:highlight w:val="none"/>
              </w:rPr>
              <w:t>次，用水量约</w:t>
            </w:r>
            <w:r>
              <w:rPr>
                <w:rFonts w:ascii="Times New Roman" w:hAnsi="Times New Roman" w:eastAsia="Times New Roman" w:cs="Times New Roman"/>
                <w:color w:val="auto"/>
                <w:spacing w:val="-2"/>
                <w:sz w:val="24"/>
                <w:szCs w:val="24"/>
                <w:highlight w:val="none"/>
              </w:rPr>
              <w:t>1.5L/m</w:t>
            </w:r>
            <w:r>
              <w:rPr>
                <w:rFonts w:hint="eastAsia" w:ascii="Times New Roman" w:hAnsi="Times New Roman" w:eastAsia="宋体" w:cs="Times New Roman"/>
                <w:color w:val="auto"/>
                <w:spacing w:val="-2"/>
                <w:sz w:val="24"/>
                <w:szCs w:val="24"/>
                <w:highlight w:val="none"/>
                <w:vertAlign w:val="superscript"/>
                <w:lang w:val="en-US" w:eastAsia="zh-CN"/>
              </w:rPr>
              <w:t>2</w:t>
            </w:r>
            <w:r>
              <w:rPr>
                <w:color w:val="auto"/>
                <w:spacing w:val="-2"/>
                <w:sz w:val="24"/>
                <w:szCs w:val="24"/>
                <w:highlight w:val="none"/>
              </w:rPr>
              <w:t>计。项目车间地面需冲洗面积约</w:t>
            </w:r>
            <w:r>
              <w:rPr>
                <w:rFonts w:ascii="Times New Roman" w:hAnsi="Times New Roman" w:eastAsia="Times New Roman" w:cs="Times New Roman"/>
                <w:color w:val="auto"/>
                <w:spacing w:val="-2"/>
                <w:sz w:val="24"/>
                <w:szCs w:val="24"/>
                <w:highlight w:val="none"/>
              </w:rPr>
              <w:t>4200m</w:t>
            </w:r>
            <w:r>
              <w:rPr>
                <w:rFonts w:hint="eastAsia" w:ascii="Times New Roman" w:hAnsi="Times New Roman" w:eastAsia="宋体" w:cs="Times New Roman"/>
                <w:color w:val="auto"/>
                <w:spacing w:val="-2"/>
                <w:sz w:val="24"/>
                <w:szCs w:val="24"/>
                <w:highlight w:val="none"/>
                <w:vertAlign w:val="superscript"/>
                <w:lang w:val="en-US" w:eastAsia="zh-CN"/>
              </w:rPr>
              <w:t>3</w:t>
            </w:r>
            <w:r>
              <w:rPr>
                <w:color w:val="auto"/>
                <w:spacing w:val="-2"/>
                <w:sz w:val="24"/>
                <w:szCs w:val="24"/>
                <w:highlight w:val="none"/>
              </w:rPr>
              <w:t>，经计算冲洗用水量为</w:t>
            </w:r>
            <w:r>
              <w:rPr>
                <w:rFonts w:ascii="Times New Roman" w:hAnsi="Times New Roman" w:eastAsia="Times New Roman" w:cs="Times New Roman"/>
                <w:color w:val="auto"/>
                <w:spacing w:val="-3"/>
                <w:sz w:val="24"/>
                <w:szCs w:val="24"/>
                <w:highlight w:val="none"/>
              </w:rPr>
              <w:t>6.3m</w:t>
            </w:r>
            <w:r>
              <w:rPr>
                <w:rFonts w:hint="eastAsia" w:ascii="Times New Roman" w:hAnsi="Times New Roman" w:eastAsia="宋体" w:cs="Times New Roman"/>
                <w:color w:val="auto"/>
                <w:spacing w:val="-3"/>
                <w:sz w:val="24"/>
                <w:szCs w:val="24"/>
                <w:highlight w:val="none"/>
                <w:vertAlign w:val="superscript"/>
                <w:lang w:val="en-US" w:eastAsia="zh-CN"/>
              </w:rPr>
              <w:t>3</w:t>
            </w:r>
            <w:r>
              <w:rPr>
                <w:rFonts w:ascii="Times New Roman" w:hAnsi="Times New Roman" w:eastAsia="Times New Roman" w:cs="Times New Roman"/>
                <w:color w:val="auto"/>
                <w:spacing w:val="-3"/>
                <w:sz w:val="24"/>
                <w:szCs w:val="24"/>
                <w:highlight w:val="none"/>
              </w:rPr>
              <w:t>/</w:t>
            </w:r>
            <w:r>
              <w:rPr>
                <w:color w:val="auto"/>
                <w:spacing w:val="-1"/>
                <w:sz w:val="24"/>
                <w:szCs w:val="24"/>
                <w:highlight w:val="none"/>
              </w:rPr>
              <w:t>次，平均每天的用水量为</w:t>
            </w:r>
            <w:r>
              <w:rPr>
                <w:rFonts w:ascii="Times New Roman" w:hAnsi="Times New Roman" w:eastAsia="Times New Roman" w:cs="Times New Roman"/>
                <w:color w:val="auto"/>
                <w:spacing w:val="-1"/>
                <w:sz w:val="24"/>
                <w:szCs w:val="24"/>
                <w:highlight w:val="none"/>
              </w:rPr>
              <w:t>0.21m</w:t>
            </w:r>
            <w:r>
              <w:rPr>
                <w:rFonts w:hint="eastAsia" w:ascii="Times New Roman" w:hAnsi="Times New Roman" w:eastAsia="宋体" w:cs="Times New Roman"/>
                <w:color w:val="auto"/>
                <w:spacing w:val="-1"/>
                <w:sz w:val="24"/>
                <w:szCs w:val="24"/>
                <w:highlight w:val="none"/>
                <w:vertAlign w:val="superscript"/>
                <w:lang w:val="en-US" w:eastAsia="zh-CN"/>
              </w:rPr>
              <w:t>3</w:t>
            </w:r>
            <w:r>
              <w:rPr>
                <w:rFonts w:ascii="Times New Roman" w:hAnsi="Times New Roman" w:eastAsia="Times New Roman" w:cs="Times New Roman"/>
                <w:color w:val="auto"/>
                <w:spacing w:val="-1"/>
                <w:sz w:val="24"/>
                <w:szCs w:val="24"/>
                <w:highlight w:val="none"/>
              </w:rPr>
              <w:t>/d</w:t>
            </w:r>
            <w:r>
              <w:rPr>
                <w:rFonts w:hint="eastAsia" w:ascii="Times New Roman" w:hAnsi="Times New Roman" w:eastAsia="宋体" w:cs="Times New Roman"/>
                <w:color w:val="auto"/>
                <w:spacing w:val="-1"/>
                <w:sz w:val="24"/>
                <w:szCs w:val="24"/>
                <w:highlight w:val="none"/>
                <w:lang w:eastAsia="zh-CN"/>
              </w:rPr>
              <w:t>（</w:t>
            </w:r>
            <w:r>
              <w:rPr>
                <w:rFonts w:hint="eastAsia" w:ascii="Times New Roman" w:hAnsi="Times New Roman" w:eastAsia="宋体" w:cs="Times New Roman"/>
                <w:color w:val="auto"/>
                <w:spacing w:val="-1"/>
                <w:sz w:val="24"/>
                <w:szCs w:val="24"/>
                <w:highlight w:val="none"/>
                <w:lang w:val="en-US" w:eastAsia="zh-CN"/>
              </w:rPr>
              <w:t>2.1</w:t>
            </w:r>
            <w:r>
              <w:rPr>
                <w:rFonts w:ascii="Times New Roman" w:hAnsi="Times New Roman" w:eastAsia="Times New Roman" w:cs="Times New Roman"/>
                <w:color w:val="auto"/>
                <w:spacing w:val="-1"/>
                <w:sz w:val="24"/>
                <w:szCs w:val="24"/>
                <w:highlight w:val="none"/>
              </w:rPr>
              <w:t>m</w:t>
            </w:r>
            <w:r>
              <w:rPr>
                <w:rFonts w:hint="eastAsia" w:ascii="Times New Roman" w:hAnsi="Times New Roman" w:eastAsia="宋体" w:cs="Times New Roman"/>
                <w:color w:val="auto"/>
                <w:spacing w:val="-1"/>
                <w:sz w:val="24"/>
                <w:szCs w:val="24"/>
                <w:highlight w:val="none"/>
                <w:vertAlign w:val="superscript"/>
                <w:lang w:val="en-US" w:eastAsia="zh-CN"/>
              </w:rPr>
              <w:t>3</w:t>
            </w:r>
            <w:r>
              <w:rPr>
                <w:rFonts w:ascii="Times New Roman" w:hAnsi="Times New Roman" w:eastAsia="Times New Roman" w:cs="Times New Roman"/>
                <w:color w:val="auto"/>
                <w:spacing w:val="-1"/>
                <w:sz w:val="24"/>
                <w:szCs w:val="24"/>
                <w:highlight w:val="none"/>
              </w:rPr>
              <w:t>/</w:t>
            </w:r>
            <w:r>
              <w:rPr>
                <w:rFonts w:hint="eastAsia" w:ascii="Times New Roman" w:hAnsi="Times New Roman" w:eastAsia="宋体" w:cs="Times New Roman"/>
                <w:color w:val="auto"/>
                <w:spacing w:val="-1"/>
                <w:sz w:val="24"/>
                <w:szCs w:val="24"/>
                <w:highlight w:val="none"/>
                <w:lang w:val="en-US" w:eastAsia="zh-CN"/>
              </w:rPr>
              <w:t>a</w:t>
            </w:r>
            <w:r>
              <w:rPr>
                <w:rFonts w:hint="eastAsia" w:ascii="Times New Roman" w:hAnsi="Times New Roman" w:eastAsia="宋体" w:cs="Times New Roman"/>
                <w:color w:val="auto"/>
                <w:spacing w:val="-1"/>
                <w:sz w:val="24"/>
                <w:szCs w:val="24"/>
                <w:highlight w:val="none"/>
                <w:lang w:eastAsia="zh-CN"/>
              </w:rPr>
              <w:t>）</w:t>
            </w:r>
            <w:r>
              <w:rPr>
                <w:color w:val="auto"/>
                <w:spacing w:val="-1"/>
                <w:sz w:val="24"/>
                <w:szCs w:val="24"/>
                <w:highlight w:val="none"/>
              </w:rPr>
              <w:t>。冲洗水蒸发损耗</w:t>
            </w:r>
            <w:r>
              <w:rPr>
                <w:color w:val="auto"/>
                <w:spacing w:val="-2"/>
                <w:sz w:val="24"/>
                <w:szCs w:val="24"/>
                <w:highlight w:val="none"/>
              </w:rPr>
              <w:t>一部分，产生的废水约为冲洗水的</w:t>
            </w:r>
            <w:r>
              <w:rPr>
                <w:rFonts w:ascii="Times New Roman" w:hAnsi="Times New Roman" w:eastAsia="Times New Roman" w:cs="Times New Roman"/>
                <w:color w:val="auto"/>
                <w:spacing w:val="-2"/>
                <w:sz w:val="24"/>
                <w:szCs w:val="24"/>
                <w:highlight w:val="none"/>
              </w:rPr>
              <w:t>90%</w:t>
            </w:r>
            <w:r>
              <w:rPr>
                <w:color w:val="auto"/>
                <w:spacing w:val="-2"/>
                <w:sz w:val="24"/>
                <w:szCs w:val="24"/>
                <w:highlight w:val="none"/>
              </w:rPr>
              <w:t>，则冲洗废水产生量约</w:t>
            </w:r>
            <w:r>
              <w:rPr>
                <w:rFonts w:ascii="Times New Roman" w:hAnsi="Times New Roman" w:eastAsia="Times New Roman" w:cs="Times New Roman"/>
                <w:color w:val="auto"/>
                <w:spacing w:val="-2"/>
                <w:sz w:val="24"/>
                <w:szCs w:val="24"/>
                <w:highlight w:val="none"/>
              </w:rPr>
              <w:t>0.</w:t>
            </w:r>
            <w:r>
              <w:rPr>
                <w:rFonts w:ascii="Times New Roman" w:hAnsi="Times New Roman" w:eastAsia="Times New Roman" w:cs="Times New Roman"/>
                <w:color w:val="auto"/>
                <w:spacing w:val="-30"/>
                <w:sz w:val="24"/>
                <w:szCs w:val="24"/>
                <w:highlight w:val="none"/>
              </w:rPr>
              <w:t xml:space="preserve"> </w:t>
            </w:r>
            <w:r>
              <w:rPr>
                <w:rFonts w:ascii="Times New Roman" w:hAnsi="Times New Roman" w:eastAsia="Times New Roman" w:cs="Times New Roman"/>
                <w:color w:val="auto"/>
                <w:spacing w:val="-2"/>
                <w:sz w:val="24"/>
                <w:szCs w:val="24"/>
                <w:highlight w:val="none"/>
              </w:rPr>
              <w:t>19m</w:t>
            </w:r>
            <w:r>
              <w:rPr>
                <w:rFonts w:hint="eastAsia" w:ascii="Times New Roman" w:hAnsi="Times New Roman" w:eastAsia="宋体" w:cs="Times New Roman"/>
                <w:color w:val="auto"/>
                <w:spacing w:val="-2"/>
                <w:sz w:val="24"/>
                <w:szCs w:val="24"/>
                <w:highlight w:val="none"/>
                <w:vertAlign w:val="superscript"/>
                <w:lang w:val="en-US" w:eastAsia="zh-CN"/>
              </w:rPr>
              <w:t>3</w:t>
            </w:r>
            <w:r>
              <w:rPr>
                <w:rFonts w:ascii="Times New Roman" w:hAnsi="Times New Roman" w:eastAsia="Times New Roman" w:cs="Times New Roman"/>
                <w:color w:val="auto"/>
                <w:spacing w:val="-2"/>
                <w:sz w:val="24"/>
                <w:szCs w:val="24"/>
                <w:highlight w:val="none"/>
              </w:rPr>
              <w:t>/d</w:t>
            </w:r>
            <w:r>
              <w:rPr>
                <w:color w:val="auto"/>
                <w:spacing w:val="-2"/>
                <w:sz w:val="24"/>
                <w:szCs w:val="24"/>
                <w:highlight w:val="none"/>
              </w:rPr>
              <w:t>。车间地面冲洗水</w:t>
            </w:r>
            <w:r>
              <w:rPr>
                <w:rFonts w:hint="eastAsia"/>
                <w:color w:val="auto"/>
                <w:spacing w:val="-2"/>
                <w:sz w:val="24"/>
                <w:szCs w:val="24"/>
                <w:highlight w:val="none"/>
                <w:lang w:val="en-US" w:eastAsia="zh-CN"/>
              </w:rPr>
              <w:t>经沉淀池</w:t>
            </w:r>
            <w:r>
              <w:rPr>
                <w:color w:val="auto"/>
                <w:spacing w:val="-2"/>
                <w:sz w:val="24"/>
                <w:szCs w:val="24"/>
                <w:highlight w:val="none"/>
              </w:rPr>
              <w:t>收集处理后回</w:t>
            </w:r>
            <w:r>
              <w:rPr>
                <w:color w:val="auto"/>
                <w:spacing w:val="-3"/>
                <w:sz w:val="24"/>
                <w:szCs w:val="24"/>
                <w:highlight w:val="none"/>
              </w:rPr>
              <w:t>用不外</w:t>
            </w:r>
            <w:r>
              <w:rPr>
                <w:color w:val="auto"/>
                <w:spacing w:val="-4"/>
                <w:sz w:val="24"/>
                <w:szCs w:val="24"/>
                <w:highlight w:val="none"/>
              </w:rPr>
              <w:t>排。</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11</w:t>
            </w:r>
            <w:r>
              <w:rPr>
                <w:rFonts w:ascii="Times New Roman" w:hAnsi="Times New Roman" w:cs="Times New Roman"/>
                <w:color w:val="auto"/>
                <w:highlight w:val="none"/>
              </w:rPr>
              <w:t>.</w:t>
            </w:r>
            <w:r>
              <w:rPr>
                <w:rFonts w:hint="eastAsia" w:ascii="Times New Roman" w:hAnsi="Times New Roman" w:cs="Times New Roman"/>
                <w:color w:val="auto"/>
                <w:highlight w:val="none"/>
                <w:lang w:val="en-US" w:eastAsia="zh-CN"/>
              </w:rPr>
              <w:t>4</w:t>
            </w:r>
            <w:r>
              <w:rPr>
                <w:rFonts w:ascii="Times New Roman" w:hAnsi="Times New Roman" w:cs="Times New Roman"/>
                <w:color w:val="auto"/>
                <w:highlight w:val="none"/>
              </w:rPr>
              <w:t>排水</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b w:val="0"/>
                <w:bCs w:val="0"/>
                <w:color w:val="auto"/>
                <w:highlight w:val="none"/>
                <w:lang w:val="en-US" w:eastAsia="zh-CN"/>
              </w:rPr>
            </w:pPr>
            <w:r>
              <w:rPr>
                <w:rFonts w:ascii="Times New Roman" w:hAnsi="Times New Roman" w:cs="Times New Roman"/>
                <w:color w:val="auto"/>
                <w:highlight w:val="none"/>
              </w:rPr>
              <w:t>本项目</w:t>
            </w:r>
            <w:r>
              <w:rPr>
                <w:rFonts w:hint="eastAsia" w:ascii="Times New Roman" w:hAnsi="Times New Roman" w:cs="Times New Roman"/>
                <w:color w:val="auto"/>
                <w:highlight w:val="none"/>
                <w:lang w:val="en-US" w:eastAsia="zh-CN"/>
              </w:rPr>
              <w:t>废水</w:t>
            </w:r>
            <w:r>
              <w:rPr>
                <w:rFonts w:hint="eastAsia" w:ascii="Times New Roman" w:hAnsi="Times New Roman" w:cs="Times New Roman"/>
                <w:color w:val="auto"/>
                <w:highlight w:val="none"/>
                <w:lang w:eastAsia="zh-CN"/>
              </w:rPr>
              <w:t>主要</w:t>
            </w:r>
            <w:r>
              <w:rPr>
                <w:rFonts w:hint="eastAsia" w:ascii="Times New Roman" w:hAnsi="Times New Roman" w:cs="Times New Roman"/>
                <w:color w:val="auto"/>
                <w:highlight w:val="none"/>
              </w:rPr>
              <w:t>为</w:t>
            </w:r>
            <w:r>
              <w:rPr>
                <w:rFonts w:hint="eastAsia" w:ascii="Times New Roman" w:hAnsi="Times New Roman" w:cs="Times New Roman"/>
                <w:color w:val="auto"/>
                <w:highlight w:val="none"/>
                <w:lang w:val="en-US" w:eastAsia="zh-CN"/>
              </w:rPr>
              <w:t>工作人员生活污水，生产废水经沉淀后再利用，不外排</w:t>
            </w:r>
            <w:r>
              <w:rPr>
                <w:rFonts w:hint="eastAsia" w:ascii="Times New Roman" w:hAnsi="Times New Roman" w:cs="Times New Roman"/>
                <w:color w:val="auto"/>
                <w:highlight w:val="none"/>
                <w:lang w:eastAsia="zh-CN"/>
              </w:rPr>
              <w:t>。</w:t>
            </w:r>
          </w:p>
          <w:p>
            <w:pPr>
              <w:pStyle w:val="21"/>
              <w:keepNext w:val="0"/>
              <w:keepLines w:val="0"/>
              <w:pageBreakBefore w:val="0"/>
              <w:widowControl w:val="0"/>
              <w:kinsoku/>
              <w:wordWrap/>
              <w:overflowPunct/>
              <w:topLinePunct w:val="0"/>
              <w:autoSpaceDE w:val="0"/>
              <w:autoSpaceDN w:val="0"/>
              <w:bidi w:val="0"/>
              <w:spacing w:line="360" w:lineRule="auto"/>
              <w:ind w:firstLine="480" w:firstLineChars="200"/>
              <w:jc w:val="both"/>
              <w:rPr>
                <w:rFonts w:hint="eastAsia" w:ascii="Times New Roman" w:hAnsi="Times New Roman"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项目员工生活污水产生量为0.72m</w:t>
            </w:r>
            <w:r>
              <w:rPr>
                <w:rFonts w:hint="eastAsia" w:ascii="Times New Roman" w:hAnsi="Times New Roman" w:cs="Times New Roman"/>
                <w:b w:val="0"/>
                <w:bCs w:val="0"/>
                <w:color w:val="auto"/>
                <w:highlight w:val="none"/>
                <w:vertAlign w:val="superscript"/>
                <w:lang w:val="en-US" w:eastAsia="zh-CN"/>
              </w:rPr>
              <w:t>3</w:t>
            </w:r>
            <w:r>
              <w:rPr>
                <w:rFonts w:hint="eastAsia" w:ascii="Times New Roman" w:hAnsi="Times New Roman" w:cs="Times New Roman"/>
                <w:b w:val="0"/>
                <w:bCs w:val="0"/>
                <w:color w:val="auto"/>
                <w:highlight w:val="none"/>
                <w:lang w:val="en-US" w:eastAsia="zh-CN"/>
              </w:rPr>
              <w:t>/d（216m</w:t>
            </w:r>
            <w:r>
              <w:rPr>
                <w:rFonts w:hint="eastAsia" w:ascii="Times New Roman" w:hAnsi="Times New Roman" w:cs="Times New Roman"/>
                <w:b w:val="0"/>
                <w:bCs w:val="0"/>
                <w:color w:val="auto"/>
                <w:highlight w:val="none"/>
                <w:vertAlign w:val="superscript"/>
                <w:lang w:val="en-US" w:eastAsia="zh-CN"/>
              </w:rPr>
              <w:t>3</w:t>
            </w:r>
            <w:r>
              <w:rPr>
                <w:rFonts w:hint="eastAsia" w:ascii="Times New Roman" w:hAnsi="Times New Roman" w:cs="Times New Roman"/>
                <w:b w:val="0"/>
                <w:bCs w:val="0"/>
                <w:color w:val="auto"/>
                <w:highlight w:val="none"/>
                <w:lang w:val="en-US" w:eastAsia="zh-CN"/>
              </w:rPr>
              <w:t>/a），项目设置水冲卫生间，接管园区生活污水管网，最终进入伊金霍洛旗污水处理厂，不外排；</w:t>
            </w:r>
            <w:r>
              <w:rPr>
                <w:rFonts w:hint="eastAsia" w:ascii="Times New Roman" w:hAnsi="Times New Roman" w:cs="Times New Roman"/>
                <w:color w:val="auto"/>
                <w:highlight w:val="none"/>
                <w:lang w:val="en-US" w:eastAsia="zh-CN"/>
              </w:rPr>
              <w:t>漂洗水槽内水经沉淀池沉淀后再利用，</w:t>
            </w:r>
            <w:r>
              <w:rPr>
                <w:rFonts w:hint="eastAsia" w:ascii="Times New Roman" w:hAnsi="Times New Roman" w:cs="Times New Roman"/>
                <w:b w:val="0"/>
                <w:bCs w:val="0"/>
                <w:color w:val="auto"/>
                <w:highlight w:val="none"/>
                <w:lang w:val="en-US" w:eastAsia="zh-CN"/>
              </w:rPr>
              <w:t>甩干废水进入沉淀池再利用，不外排。</w:t>
            </w:r>
          </w:p>
          <w:p>
            <w:pPr>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11.5项目物料及水平衡</w:t>
            </w:r>
          </w:p>
          <w:p>
            <w:pPr>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项目物料平衡见下图。</w:t>
            </w:r>
          </w:p>
          <w:p>
            <w:pPr>
              <w:pStyle w:val="5"/>
              <w:keepNext w:val="0"/>
              <w:keepLines w:val="0"/>
              <w:pageBreakBefore w:val="0"/>
              <w:widowControl w:val="0"/>
              <w:kinsoku/>
              <w:wordWrap/>
              <w:overflowPunct/>
              <w:topLinePunct w:val="0"/>
              <w:autoSpaceDE w:val="0"/>
              <w:autoSpaceDN w:val="0"/>
              <w:bidi w:val="0"/>
              <w:spacing w:line="240" w:lineRule="auto"/>
              <w:ind w:left="0" w:leftChars="0" w:firstLine="0" w:firstLineChars="0"/>
              <w:rPr>
                <w:rFonts w:hint="eastAsia"/>
                <w:color w:val="auto"/>
                <w:highlight w:val="none"/>
                <w:lang w:val="en-US" w:eastAsia="zh-CN"/>
              </w:rPr>
            </w:pPr>
            <w:r>
              <w:rPr>
                <w:rFonts w:hint="eastAsia"/>
                <w:color w:val="auto"/>
                <w:highlight w:val="none"/>
                <w:lang w:val="en-US" w:eastAsia="zh-CN"/>
              </w:rPr>
              <w:drawing>
                <wp:inline distT="0" distB="0" distL="114300" distR="114300">
                  <wp:extent cx="5406390" cy="2434590"/>
                  <wp:effectExtent l="12700" t="12700" r="29210" b="29210"/>
                  <wp:docPr id="45" name="ECB019B1-382A-4266-B25C-5B523AA43C14-1" descr="C:/Users/63101/AppData/Local/Temp/wps.jrrlNt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ECB019B1-382A-4266-B25C-5B523AA43C14-1" descr="C:/Users/63101/AppData/Local/Temp/wps.jrrlNtwps"/>
                          <pic:cNvPicPr>
                            <a:picLocks noChangeAspect="1"/>
                          </pic:cNvPicPr>
                        </pic:nvPicPr>
                        <pic:blipFill>
                          <a:blip r:embed="rId14"/>
                          <a:stretch>
                            <a:fillRect/>
                          </a:stretch>
                        </pic:blipFill>
                        <pic:spPr>
                          <a:xfrm>
                            <a:off x="0" y="0"/>
                            <a:ext cx="5406390" cy="2434590"/>
                          </a:xfrm>
                          <a:prstGeom prst="rect">
                            <a:avLst/>
                          </a:prstGeom>
                          <a:ln w="12700" cmpd="sng">
                            <a:solidFill>
                              <a:schemeClr val="tx1"/>
                            </a:solidFill>
                            <a:prstDash val="solid"/>
                          </a:ln>
                        </pic:spPr>
                      </pic:pic>
                    </a:graphicData>
                  </a:graphic>
                </wp:inline>
              </w:drawing>
            </w:r>
          </w:p>
          <w:p>
            <w:pPr>
              <w:pStyle w:val="6"/>
              <w:keepNext w:val="0"/>
              <w:keepLines w:val="0"/>
              <w:pageBreakBefore w:val="0"/>
              <w:widowControl w:val="0"/>
              <w:kinsoku/>
              <w:wordWrap/>
              <w:overflowPunct/>
              <w:topLinePunct w:val="0"/>
              <w:autoSpaceDE w:val="0"/>
              <w:autoSpaceDN w:val="0"/>
              <w:bidi w:val="0"/>
              <w:spacing w:line="240" w:lineRule="auto"/>
              <w:ind w:left="0" w:leftChars="0" w:firstLine="0" w:firstLineChars="0"/>
              <w:jc w:val="center"/>
              <w:rPr>
                <w:rFonts w:hint="eastAsia"/>
                <w:color w:val="auto"/>
                <w:highlight w:val="none"/>
                <w:lang w:val="en-US" w:eastAsia="zh-CN"/>
              </w:rPr>
            </w:pPr>
            <w:r>
              <w:rPr>
                <w:rFonts w:hint="eastAsia" w:ascii="Times New Roman" w:hAnsi="Times New Roman" w:cs="Times New Roman"/>
                <w:b w:val="0"/>
                <w:bCs w:val="0"/>
                <w:color w:val="auto"/>
                <w:sz w:val="24"/>
                <w:szCs w:val="24"/>
                <w:highlight w:val="none"/>
                <w:lang w:val="en-US" w:eastAsia="zh-CN"/>
              </w:rPr>
              <w:t>项目物料平衡图（单位：t/a）</w:t>
            </w:r>
          </w:p>
          <w:p>
            <w:pPr>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项目水平衡见下图。</w:t>
            </w:r>
          </w:p>
          <w:p>
            <w:pPr>
              <w:keepNext w:val="0"/>
              <w:keepLines w:val="0"/>
              <w:pageBreakBefore w:val="0"/>
              <w:widowControl w:val="0"/>
              <w:kinsoku/>
              <w:wordWrap/>
              <w:overflowPunct/>
              <w:topLinePunct w:val="0"/>
              <w:autoSpaceDE w:val="0"/>
              <w:autoSpaceDN w:val="0"/>
              <w:bidi w:val="0"/>
              <w:spacing w:line="240" w:lineRule="auto"/>
              <w:jc w:val="center"/>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drawing>
                <wp:inline distT="0" distB="0" distL="114300" distR="114300">
                  <wp:extent cx="5339715" cy="3407410"/>
                  <wp:effectExtent l="12700" t="12700" r="19685" b="27940"/>
                  <wp:docPr id="2" name="ECB019B1-382A-4266-B25C-5B523AA43C14-2" descr="C:/Users/63101/AppData/Local/Temp/wps.cpDGDS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2" descr="C:/Users/63101/AppData/Local/Temp/wps.cpDGDSwps"/>
                          <pic:cNvPicPr>
                            <a:picLocks noChangeAspect="1"/>
                          </pic:cNvPicPr>
                        </pic:nvPicPr>
                        <pic:blipFill>
                          <a:blip r:embed="rId15"/>
                          <a:stretch>
                            <a:fillRect/>
                          </a:stretch>
                        </pic:blipFill>
                        <pic:spPr>
                          <a:xfrm>
                            <a:off x="0" y="0"/>
                            <a:ext cx="5339715" cy="3407410"/>
                          </a:xfrm>
                          <a:prstGeom prst="rect">
                            <a:avLst/>
                          </a:prstGeom>
                          <a:ln w="12700" cmpd="sng">
                            <a:solidFill>
                              <a:schemeClr val="tx1"/>
                            </a:solidFill>
                            <a:prstDash val="solid"/>
                          </a:ln>
                        </pic:spPr>
                      </pic:pic>
                    </a:graphicData>
                  </a:graphic>
                </wp:inline>
              </w:drawing>
            </w:r>
          </w:p>
          <w:p>
            <w:pPr>
              <w:keepNext w:val="0"/>
              <w:keepLines w:val="0"/>
              <w:pageBreakBefore w:val="0"/>
              <w:widowControl w:val="0"/>
              <w:kinsoku/>
              <w:wordWrap/>
              <w:overflowPunct/>
              <w:topLinePunct w:val="0"/>
              <w:autoSpaceDE w:val="0"/>
              <w:autoSpaceDN w:val="0"/>
              <w:bidi w:val="0"/>
              <w:spacing w:line="240" w:lineRule="auto"/>
              <w:jc w:val="center"/>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项目水平衡图（单位：m</w:t>
            </w:r>
            <w:r>
              <w:rPr>
                <w:rFonts w:hint="eastAsia" w:ascii="Times New Roman" w:hAnsi="Times New Roman" w:cs="Times New Roman"/>
                <w:b w:val="0"/>
                <w:bCs w:val="0"/>
                <w:color w:val="auto"/>
                <w:sz w:val="24"/>
                <w:szCs w:val="24"/>
                <w:highlight w:val="none"/>
                <w:vertAlign w:val="superscript"/>
                <w:lang w:val="en-US" w:eastAsia="zh-CN"/>
              </w:rPr>
              <w:t>3</w:t>
            </w:r>
            <w:r>
              <w:rPr>
                <w:rFonts w:hint="eastAsia" w:ascii="Times New Roman" w:hAnsi="Times New Roman" w:cs="Times New Roman"/>
                <w:b w:val="0"/>
                <w:bCs w:val="0"/>
                <w:color w:val="auto"/>
                <w:sz w:val="24"/>
                <w:szCs w:val="24"/>
                <w:highlight w:val="none"/>
                <w:lang w:val="en-US" w:eastAsia="zh-CN"/>
              </w:rPr>
              <w:t>/d）</w:t>
            </w:r>
          </w:p>
          <w:p>
            <w:pPr>
              <w:keepNext w:val="0"/>
              <w:keepLines w:val="0"/>
              <w:pageBreakBefore w:val="0"/>
              <w:widowControl w:val="0"/>
              <w:numPr>
                <w:ilvl w:val="0"/>
                <w:numId w:val="0"/>
              </w:numPr>
              <w:kinsoku/>
              <w:wordWrap/>
              <w:overflowPunct/>
              <w:topLinePunct w:val="0"/>
              <w:autoSpaceDE w:val="0"/>
              <w:autoSpaceDN w:val="0"/>
              <w:bidi w:val="0"/>
              <w:spacing w:line="360" w:lineRule="auto"/>
              <w:ind w:firstLine="481" w:firstLineChars="200"/>
              <w:rPr>
                <w:rFonts w:hint="eastAsia"/>
                <w:b/>
                <w:bCs/>
                <w:color w:val="auto"/>
                <w:sz w:val="24"/>
                <w:highlight w:val="none"/>
                <w:lang w:val="en-US" w:eastAsia="zh-CN"/>
              </w:rPr>
            </w:pPr>
            <w:r>
              <w:rPr>
                <w:rFonts w:hint="default" w:ascii="Times New Roman" w:hAnsi="Times New Roman" w:cs="Times New Roman"/>
                <w:b/>
                <w:bCs/>
                <w:color w:val="auto"/>
                <w:sz w:val="24"/>
                <w:highlight w:val="none"/>
                <w:lang w:val="en-US" w:eastAsia="zh-CN"/>
              </w:rPr>
              <w:t>1</w:t>
            </w:r>
            <w:r>
              <w:rPr>
                <w:rFonts w:hint="eastAsia" w:ascii="Times New Roman" w:hAnsi="Times New Roman" w:cs="Times New Roman"/>
                <w:b/>
                <w:bCs/>
                <w:color w:val="auto"/>
                <w:sz w:val="24"/>
                <w:highlight w:val="none"/>
                <w:lang w:val="en-US" w:eastAsia="zh-CN"/>
              </w:rPr>
              <w:t>2</w:t>
            </w:r>
            <w:r>
              <w:rPr>
                <w:rFonts w:hint="eastAsia"/>
                <w:b/>
                <w:bCs/>
                <w:color w:val="auto"/>
                <w:sz w:val="24"/>
                <w:highlight w:val="none"/>
                <w:lang w:val="en-US" w:eastAsia="zh-CN"/>
              </w:rPr>
              <w:t>、总平面布置</w:t>
            </w:r>
          </w:p>
          <w:p>
            <w:pPr>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color w:val="auto"/>
                <w:sz w:val="24"/>
                <w:highlight w:val="none"/>
                <w:lang w:val="en-US"/>
              </w:rPr>
            </w:pPr>
            <w:r>
              <w:rPr>
                <w:rFonts w:hint="eastAsia" w:ascii="Times New Roman" w:hAnsi="Times New Roman" w:cs="Times New Roman"/>
                <w:color w:val="auto"/>
                <w:sz w:val="24"/>
                <w:highlight w:val="none"/>
                <w:lang w:eastAsia="zh-CN"/>
              </w:rPr>
              <w:t>本</w:t>
            </w:r>
            <w:r>
              <w:rPr>
                <w:rFonts w:ascii="Times New Roman" w:hAnsi="Times New Roman" w:cs="Times New Roman"/>
                <w:color w:val="auto"/>
                <w:sz w:val="24"/>
                <w:highlight w:val="none"/>
              </w:rPr>
              <w:t>项目</w:t>
            </w:r>
            <w:r>
              <w:rPr>
                <w:rFonts w:hint="eastAsia" w:ascii="Times New Roman" w:hAnsi="Times New Roman" w:cs="Times New Roman"/>
                <w:color w:val="auto"/>
                <w:sz w:val="24"/>
                <w:highlight w:val="none"/>
              </w:rPr>
              <w:t>位于</w:t>
            </w:r>
            <w:r>
              <w:rPr>
                <w:rFonts w:hint="eastAsia" w:ascii="Times New Roman" w:hAnsi="Times New Roman" w:eastAsia="宋体" w:cs="Times New Roman"/>
                <w:color w:val="auto"/>
                <w:sz w:val="24"/>
                <w:szCs w:val="24"/>
                <w:highlight w:val="none"/>
                <w:lang w:val="en-US" w:eastAsia="zh-CN"/>
              </w:rPr>
              <w:t>鄂尔多斯</w:t>
            </w:r>
            <w:r>
              <w:rPr>
                <w:rFonts w:hint="default" w:ascii="Times New Roman" w:hAnsi="Times New Roman" w:eastAsia="宋体" w:cs="Times New Roman"/>
                <w:color w:val="auto"/>
                <w:sz w:val="24"/>
                <w:szCs w:val="24"/>
                <w:highlight w:val="none"/>
                <w:lang w:val="en-US" w:eastAsia="zh-CN"/>
              </w:rPr>
              <w:t>空港物流园区</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租用园区现有车间1座，本项目车间外北侧和南侧为园区其他空置厂房，本项目车间由西北向东南方向呈矩形建设，车间内由东南向西北侧依次布置为办公生活区、原料暂存区、生产区及成品存放区，车间外四周为园区已建成道路，</w:t>
            </w:r>
            <w:r>
              <w:rPr>
                <w:rFonts w:ascii="Times New Roman" w:hAnsi="Times New Roman" w:cs="Times New Roman"/>
                <w:color w:val="auto"/>
                <w:sz w:val="24"/>
                <w:highlight w:val="none"/>
                <w:lang w:val="en-US"/>
              </w:rPr>
              <w:t>项目布置合理，交通方便</w:t>
            </w:r>
            <w:r>
              <w:rPr>
                <w:rFonts w:hint="eastAsia"/>
                <w:color w:val="auto"/>
                <w:sz w:val="24"/>
                <w:highlight w:val="none"/>
              </w:rPr>
              <w:t>，选址合理</w:t>
            </w:r>
            <w:r>
              <w:rPr>
                <w:rFonts w:hint="eastAsia"/>
                <w:color w:val="auto"/>
                <w:sz w:val="24"/>
                <w:highlight w:val="none"/>
                <w:lang w:eastAsia="zh-CN"/>
              </w:rPr>
              <w:t>，</w:t>
            </w:r>
            <w:r>
              <w:rPr>
                <w:rFonts w:ascii="Times New Roman" w:hAnsi="Times New Roman" w:cs="Times New Roman"/>
                <w:color w:val="auto"/>
                <w:sz w:val="24"/>
                <w:highlight w:val="none"/>
                <w:lang w:val="en-US"/>
              </w:rPr>
              <w:t>平面布置图见附图</w:t>
            </w:r>
            <w:r>
              <w:rPr>
                <w:rFonts w:hint="eastAsia" w:ascii="Times New Roman" w:hAnsi="Times New Roman" w:cs="Times New Roman"/>
                <w:color w:val="auto"/>
                <w:sz w:val="24"/>
                <w:highlight w:val="none"/>
                <w:lang w:val="en-US" w:eastAsia="zh-CN"/>
              </w:rPr>
              <w:t>2</w:t>
            </w:r>
            <w:r>
              <w:rPr>
                <w:rFonts w:ascii="Times New Roman" w:hAnsi="Times New Roman" w:cs="Times New Roman"/>
                <w:color w:val="auto"/>
                <w:sz w:val="24"/>
                <w:highlight w:val="none"/>
                <w:lang w:val="en-US"/>
              </w:rPr>
              <w:t>。</w:t>
            </w:r>
          </w:p>
          <w:p>
            <w:pPr>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color w:val="auto"/>
                <w:sz w:val="24"/>
                <w:highlight w:val="none"/>
                <w:lang w:val="en-US"/>
              </w:rPr>
            </w:pPr>
          </w:p>
          <w:p>
            <w:pPr>
              <w:keepNext w:val="0"/>
              <w:keepLines w:val="0"/>
              <w:pageBreakBefore w:val="0"/>
              <w:widowControl w:val="0"/>
              <w:kinsoku/>
              <w:wordWrap/>
              <w:overflowPunct/>
              <w:topLinePunct w:val="0"/>
              <w:autoSpaceDE w:val="0"/>
              <w:autoSpaceDN w:val="0"/>
              <w:bidi w:val="0"/>
              <w:spacing w:line="360" w:lineRule="auto"/>
              <w:ind w:firstLine="480" w:firstLineChars="200"/>
              <w:rPr>
                <w:rFonts w:ascii="Times New Roman" w:hAnsi="Times New Roman" w:cs="Times New Roman"/>
                <w:color w:val="auto"/>
                <w:sz w:val="24"/>
                <w:highlight w:val="none"/>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vAlign w:val="center"/>
          </w:tcPr>
          <w:p>
            <w:pPr>
              <w:pStyle w:val="19"/>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jc w:val="both"/>
              <w:rPr>
                <w:rFonts w:ascii="Times New Roman" w:hAnsi="Times New Roman" w:cs="Times New Roman"/>
                <w:color w:val="auto"/>
                <w:sz w:val="21"/>
                <w:szCs w:val="21"/>
                <w:highlight w:val="none"/>
              </w:rPr>
            </w:pPr>
            <w:r>
              <w:rPr>
                <w:rFonts w:ascii="Times New Roman" w:hAnsi="Times New Roman" w:cs="Times New Roman"/>
                <w:color w:val="auto"/>
                <w:szCs w:val="24"/>
                <w:highlight w:val="none"/>
              </w:rPr>
              <w:t>工艺流程和产排污环</w:t>
            </w:r>
            <w:r>
              <w:rPr>
                <w:rFonts w:hint="eastAsia" w:ascii="Times New Roman" w:hAnsi="Times New Roman" w:cs="Times New Roman"/>
                <w:color w:val="auto"/>
                <w:szCs w:val="24"/>
                <w:highlight w:val="none"/>
                <w:lang w:val="en-US"/>
              </w:rPr>
              <w:t xml:space="preserve"> </w:t>
            </w:r>
            <w:r>
              <w:rPr>
                <w:rFonts w:ascii="Times New Roman" w:hAnsi="Times New Roman" w:cs="Times New Roman"/>
                <w:color w:val="auto"/>
                <w:szCs w:val="24"/>
                <w:highlight w:val="none"/>
              </w:rPr>
              <w:t>节</w:t>
            </w:r>
          </w:p>
        </w:tc>
        <w:tc>
          <w:tcPr>
            <w:tcW w:w="8783" w:type="dxa"/>
          </w:tcPr>
          <w:p>
            <w:pPr>
              <w:keepNext w:val="0"/>
              <w:keepLines w:val="0"/>
              <w:pageBreakBefore w:val="0"/>
              <w:widowControl w:val="0"/>
              <w:kinsoku/>
              <w:wordWrap/>
              <w:overflowPunct/>
              <w:topLinePunct w:val="0"/>
              <w:autoSpaceDE w:val="0"/>
              <w:autoSpaceDN w:val="0"/>
              <w:bidi w:val="0"/>
              <w:adjustRightInd w:val="0"/>
              <w:snapToGrid w:val="0"/>
              <w:spacing w:line="360" w:lineRule="auto"/>
              <w:rPr>
                <w:color w:val="auto"/>
                <w:sz w:val="24"/>
                <w:szCs w:val="24"/>
                <w:highlight w:val="none"/>
              </w:rPr>
            </w:pPr>
            <w:r>
              <w:rPr>
                <w:color w:val="auto"/>
                <w:sz w:val="24"/>
                <w:szCs w:val="24"/>
                <w:highlight w:val="none"/>
              </w:rPr>
              <w:t>工艺流程简述：</w:t>
            </w:r>
          </w:p>
          <w:p>
            <w:pPr>
              <w:keepNext w:val="0"/>
              <w:keepLines w:val="0"/>
              <w:pageBreakBefore w:val="0"/>
              <w:widowControl w:val="0"/>
              <w:kinsoku/>
              <w:wordWrap/>
              <w:overflowPunct/>
              <w:topLinePunct w:val="0"/>
              <w:autoSpaceDE w:val="0"/>
              <w:autoSpaceDN w:val="0"/>
              <w:bidi w:val="0"/>
              <w:spacing w:line="360" w:lineRule="auto"/>
              <w:rPr>
                <w:b/>
                <w:bCs/>
                <w:color w:val="auto"/>
                <w:sz w:val="24"/>
                <w:szCs w:val="24"/>
                <w:highlight w:val="none"/>
              </w:rPr>
            </w:pPr>
            <w:r>
              <w:rPr>
                <w:b/>
                <w:bCs/>
                <w:color w:val="auto"/>
                <w:sz w:val="24"/>
                <w:szCs w:val="24"/>
                <w:highlight w:val="none"/>
              </w:rPr>
              <w:t>1、施工期工艺流程简述</w:t>
            </w:r>
          </w:p>
          <w:p>
            <w:pPr>
              <w:keepNext w:val="0"/>
              <w:keepLines w:val="0"/>
              <w:pageBreakBefore w:val="0"/>
              <w:widowControl w:val="0"/>
              <w:kinsoku/>
              <w:wordWrap/>
              <w:overflowPunct/>
              <w:topLinePunct w:val="0"/>
              <w:autoSpaceDE w:val="0"/>
              <w:autoSpaceDN w:val="0"/>
              <w:bidi w:val="0"/>
              <w:spacing w:line="360" w:lineRule="auto"/>
              <w:ind w:firstLine="480"/>
              <w:rPr>
                <w:color w:val="auto"/>
                <w:sz w:val="24"/>
                <w:szCs w:val="24"/>
                <w:highlight w:val="none"/>
              </w:rPr>
            </w:pPr>
            <w:r>
              <w:rPr>
                <w:color w:val="auto"/>
                <w:sz w:val="24"/>
                <w:szCs w:val="24"/>
                <w:highlight w:val="none"/>
              </w:rPr>
              <w:t>项目施工期</w:t>
            </w:r>
            <w:r>
              <w:rPr>
                <w:color w:val="auto"/>
                <w:sz w:val="24"/>
                <w:szCs w:val="24"/>
                <w:highlight w:val="none"/>
                <w:lang w:val="en-US"/>
              </w:rPr>
              <w:t>的</w:t>
            </w:r>
            <w:r>
              <w:rPr>
                <w:color w:val="auto"/>
                <w:sz w:val="24"/>
                <w:szCs w:val="24"/>
                <w:highlight w:val="none"/>
              </w:rPr>
              <w:t>主要工程量为</w:t>
            </w:r>
            <w:r>
              <w:rPr>
                <w:rFonts w:hint="eastAsia"/>
                <w:color w:val="auto"/>
                <w:sz w:val="24"/>
                <w:szCs w:val="24"/>
                <w:highlight w:val="none"/>
                <w:lang w:val="en-US" w:eastAsia="zh-CN"/>
              </w:rPr>
              <w:t>设备</w:t>
            </w:r>
            <w:r>
              <w:rPr>
                <w:color w:val="auto"/>
                <w:sz w:val="24"/>
                <w:szCs w:val="24"/>
                <w:highlight w:val="none"/>
              </w:rPr>
              <w:t>设施的安装。</w:t>
            </w:r>
            <w:r>
              <w:rPr>
                <w:rFonts w:hint="eastAsia"/>
                <w:color w:val="auto"/>
                <w:sz w:val="24"/>
                <w:szCs w:val="24"/>
                <w:highlight w:val="none"/>
                <w:lang w:val="en-US" w:eastAsia="zh-CN"/>
              </w:rPr>
              <w:t>设备安装</w:t>
            </w:r>
            <w:r>
              <w:rPr>
                <w:color w:val="auto"/>
                <w:sz w:val="24"/>
                <w:szCs w:val="24"/>
                <w:highlight w:val="none"/>
              </w:rPr>
              <w:t>活动进行时，</w:t>
            </w:r>
            <w:r>
              <w:rPr>
                <w:rFonts w:hint="eastAsia"/>
                <w:color w:val="auto"/>
                <w:sz w:val="24"/>
                <w:szCs w:val="24"/>
                <w:highlight w:val="none"/>
                <w:lang w:val="en-US" w:eastAsia="zh-CN"/>
              </w:rPr>
              <w:t>设备</w:t>
            </w:r>
            <w:r>
              <w:rPr>
                <w:color w:val="auto"/>
                <w:sz w:val="24"/>
                <w:szCs w:val="24"/>
                <w:highlight w:val="none"/>
              </w:rPr>
              <w:t>运输、装卸</w:t>
            </w:r>
            <w:r>
              <w:rPr>
                <w:rFonts w:hint="eastAsia"/>
                <w:color w:val="auto"/>
                <w:sz w:val="24"/>
                <w:szCs w:val="24"/>
                <w:highlight w:val="none"/>
                <w:lang w:val="en-US" w:eastAsia="zh-CN"/>
              </w:rPr>
              <w:t>等</w:t>
            </w:r>
            <w:r>
              <w:rPr>
                <w:color w:val="auto"/>
                <w:sz w:val="24"/>
                <w:szCs w:val="24"/>
                <w:highlight w:val="none"/>
              </w:rPr>
              <w:t>将会产生一定量的扬尘污染，同时伴有较大的噪声，并会有</w:t>
            </w:r>
            <w:r>
              <w:rPr>
                <w:rFonts w:hint="eastAsia"/>
                <w:color w:val="auto"/>
                <w:sz w:val="24"/>
                <w:szCs w:val="24"/>
                <w:highlight w:val="none"/>
                <w:lang w:val="en-US" w:eastAsia="zh-CN"/>
              </w:rPr>
              <w:t>废弃包装</w:t>
            </w:r>
            <w:r>
              <w:rPr>
                <w:color w:val="auto"/>
                <w:sz w:val="24"/>
                <w:szCs w:val="24"/>
                <w:highlight w:val="none"/>
              </w:rPr>
              <w:t>的堆放情况。但由于施工期较短，影响并不突出，且多为短期可逆影响，随着施工阶段的结束而消失，本项目施工阶段工程排污环节见下</w:t>
            </w:r>
            <w:r>
              <w:rPr>
                <w:rFonts w:hint="eastAsia"/>
                <w:color w:val="auto"/>
                <w:sz w:val="24"/>
                <w:szCs w:val="24"/>
                <w:highlight w:val="none"/>
                <w:lang w:val="en-US" w:eastAsia="zh-CN"/>
              </w:rPr>
              <w:t>图</w:t>
            </w:r>
            <w:r>
              <w:rPr>
                <w:color w:val="auto"/>
                <w:sz w:val="24"/>
                <w:szCs w:val="24"/>
                <w:highlight w:val="none"/>
              </w:rPr>
              <w:t>。</w:t>
            </w:r>
          </w:p>
          <w:p>
            <w:pPr>
              <w:pStyle w:val="38"/>
              <w:keepNext w:val="0"/>
              <w:keepLines w:val="0"/>
              <w:pageBreakBefore w:val="0"/>
              <w:widowControl w:val="0"/>
              <w:kinsoku/>
              <w:wordWrap/>
              <w:overflowPunct/>
              <w:topLinePunct w:val="0"/>
              <w:autoSpaceDE w:val="0"/>
              <w:autoSpaceDN w:val="0"/>
              <w:bidi w:val="0"/>
              <w:spacing w:beforeLines="0" w:after="0" w:afterAutospacing="0"/>
              <w:ind w:left="0" w:leftChars="0" w:firstLine="0" w:firstLineChars="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4308475" cy="1894840"/>
                  <wp:effectExtent l="0" t="0" r="0" b="0"/>
                  <wp:docPr id="10" name="ECB019B1-382A-4266-B25C-5B523AA43C14-3"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B019B1-382A-4266-B25C-5B523AA43C14-3" descr="wps"/>
                          <pic:cNvPicPr>
                            <a:picLocks noChangeAspect="1"/>
                          </pic:cNvPicPr>
                        </pic:nvPicPr>
                        <pic:blipFill>
                          <a:blip r:embed="rId16"/>
                          <a:stretch>
                            <a:fillRect/>
                          </a:stretch>
                        </pic:blipFill>
                        <pic:spPr>
                          <a:xfrm>
                            <a:off x="0" y="0"/>
                            <a:ext cx="4308475" cy="1894840"/>
                          </a:xfrm>
                          <a:prstGeom prst="rect">
                            <a:avLst/>
                          </a:prstGeom>
                        </pic:spPr>
                      </pic:pic>
                    </a:graphicData>
                  </a:graphic>
                </wp:inline>
              </w:drawing>
            </w:r>
          </w:p>
          <w:p>
            <w:pPr>
              <w:pStyle w:val="38"/>
              <w:keepNext w:val="0"/>
              <w:keepLines w:val="0"/>
              <w:pageBreakBefore w:val="0"/>
              <w:widowControl w:val="0"/>
              <w:kinsoku/>
              <w:wordWrap/>
              <w:overflowPunct/>
              <w:topLinePunct w:val="0"/>
              <w:autoSpaceDE w:val="0"/>
              <w:autoSpaceDN w:val="0"/>
              <w:bidi w:val="0"/>
              <w:spacing w:beforeLines="0" w:after="0" w:afterAutospacing="0"/>
              <w:ind w:firstLine="480"/>
              <w:jc w:val="center"/>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eastAsia="zh-CN"/>
              </w:rPr>
              <w:t>图</w:t>
            </w:r>
            <w:r>
              <w:rPr>
                <w:rFonts w:hint="default" w:ascii="Times New Roman" w:hAnsi="Times New Roman" w:cs="Times New Roman"/>
                <w:b/>
                <w:bCs/>
                <w:color w:val="auto"/>
                <w:highlight w:val="none"/>
                <w:lang w:val="en-US" w:eastAsia="zh-CN"/>
              </w:rPr>
              <w:t>2-</w:t>
            </w:r>
            <w:r>
              <w:rPr>
                <w:rFonts w:hint="eastAsia" w:ascii="Times New Roman" w:hAnsi="Times New Roman" w:cs="Times New Roman"/>
                <w:b/>
                <w:bCs/>
                <w:color w:val="auto"/>
                <w:highlight w:val="none"/>
                <w:lang w:val="en-US" w:eastAsia="zh-CN"/>
              </w:rPr>
              <w:t>1</w:t>
            </w:r>
            <w:r>
              <w:rPr>
                <w:rFonts w:hint="default" w:ascii="Times New Roman" w:hAnsi="Times New Roman" w:cs="Times New Roman"/>
                <w:b/>
                <w:bCs/>
                <w:color w:val="auto"/>
                <w:highlight w:val="none"/>
                <w:lang w:val="en-US" w:eastAsia="zh-CN"/>
              </w:rPr>
              <w:t xml:space="preserve">  施工期工艺流程及产物环节图</w:t>
            </w:r>
          </w:p>
          <w:p>
            <w:pPr>
              <w:pStyle w:val="38"/>
              <w:keepNext w:val="0"/>
              <w:keepLines w:val="0"/>
              <w:pageBreakBefore w:val="0"/>
              <w:widowControl w:val="0"/>
              <w:kinsoku/>
              <w:wordWrap/>
              <w:overflowPunct/>
              <w:topLinePunct w:val="0"/>
              <w:autoSpaceDE w:val="0"/>
              <w:autoSpaceDN w:val="0"/>
              <w:bidi w:val="0"/>
              <w:spacing w:beforeLines="0" w:after="0" w:afterAutospacing="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主要采取如下环保措施：</w:t>
            </w:r>
          </w:p>
          <w:p>
            <w:pPr>
              <w:pStyle w:val="38"/>
              <w:keepNext w:val="0"/>
              <w:keepLines w:val="0"/>
              <w:pageBreakBefore w:val="0"/>
              <w:widowControl w:val="0"/>
              <w:kinsoku/>
              <w:wordWrap/>
              <w:overflowPunct/>
              <w:topLinePunct w:val="0"/>
              <w:autoSpaceDE w:val="0"/>
              <w:autoSpaceDN w:val="0"/>
              <w:bidi w:val="0"/>
              <w:spacing w:beforeLines="0" w:after="0" w:afterAutospacing="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①对施工期</w:t>
            </w:r>
            <w:r>
              <w:rPr>
                <w:rFonts w:hint="eastAsia" w:ascii="Times New Roman" w:hAnsi="Times New Roman" w:cs="Times New Roman"/>
                <w:color w:val="auto"/>
                <w:highlight w:val="none"/>
                <w:lang w:val="en-US" w:eastAsia="zh-CN"/>
              </w:rPr>
              <w:t>设备</w:t>
            </w:r>
            <w:r>
              <w:rPr>
                <w:rFonts w:hint="default" w:ascii="Times New Roman" w:hAnsi="Times New Roman" w:cs="Times New Roman"/>
                <w:color w:val="auto"/>
                <w:highlight w:val="none"/>
              </w:rPr>
              <w:t>装卸、使用和运输过程产生的粉尘、扬尘污染，配置专用洒水车，进行喷洒降尘；</w:t>
            </w:r>
          </w:p>
          <w:p>
            <w:pPr>
              <w:pStyle w:val="38"/>
              <w:keepNext w:val="0"/>
              <w:keepLines w:val="0"/>
              <w:pageBreakBefore w:val="0"/>
              <w:widowControl w:val="0"/>
              <w:kinsoku/>
              <w:wordWrap/>
              <w:overflowPunct/>
              <w:topLinePunct w:val="0"/>
              <w:autoSpaceDE w:val="0"/>
              <w:autoSpaceDN w:val="0"/>
              <w:bidi w:val="0"/>
              <w:spacing w:beforeLines="0" w:after="0" w:afterAutospacing="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w:t>
            </w:r>
            <w:r>
              <w:rPr>
                <w:rFonts w:hint="eastAsia" w:ascii="Times New Roman" w:hAnsi="Times New Roman" w:cs="Times New Roman"/>
                <w:color w:val="auto"/>
                <w:highlight w:val="none"/>
                <w:lang w:val="en-US" w:eastAsia="zh-CN"/>
              </w:rPr>
              <w:t>设备安装，使用吊装机械时</w:t>
            </w:r>
            <w:r>
              <w:rPr>
                <w:rFonts w:hint="default" w:ascii="Times New Roman" w:hAnsi="Times New Roman" w:cs="Times New Roman"/>
                <w:color w:val="auto"/>
                <w:highlight w:val="none"/>
              </w:rPr>
              <w:t>尽可能选用低噪声的机械；</w:t>
            </w:r>
          </w:p>
          <w:p>
            <w:pPr>
              <w:pStyle w:val="38"/>
              <w:keepNext w:val="0"/>
              <w:keepLines w:val="0"/>
              <w:pageBreakBefore w:val="0"/>
              <w:widowControl w:val="0"/>
              <w:kinsoku/>
              <w:wordWrap/>
              <w:overflowPunct/>
              <w:topLinePunct w:val="0"/>
              <w:autoSpaceDE w:val="0"/>
              <w:autoSpaceDN w:val="0"/>
              <w:bidi w:val="0"/>
              <w:spacing w:beforeLines="0" w:after="0" w:afterAutospacing="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③施工中的废弃物、</w:t>
            </w:r>
            <w:r>
              <w:rPr>
                <w:rFonts w:hint="eastAsia" w:ascii="Times New Roman" w:hAnsi="Times New Roman" w:cs="Times New Roman"/>
                <w:color w:val="auto"/>
                <w:highlight w:val="none"/>
                <w:lang w:val="en-US" w:eastAsia="zh-CN"/>
              </w:rPr>
              <w:t>少量建筑</w:t>
            </w:r>
            <w:r>
              <w:rPr>
                <w:rFonts w:hint="default" w:ascii="Times New Roman" w:hAnsi="Times New Roman" w:cs="Times New Roman"/>
                <w:color w:val="auto"/>
                <w:highlight w:val="none"/>
              </w:rPr>
              <w:t>垃圾</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设备固定、打孔过程产生的建筑垃圾</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等按照要求送</w:t>
            </w:r>
            <w:r>
              <w:rPr>
                <w:rFonts w:hint="default" w:ascii="Times New Roman" w:hAnsi="Times New Roman" w:eastAsia="宋体" w:cs="Times New Roman"/>
                <w:color w:val="auto"/>
                <w:kern w:val="2"/>
                <w:sz w:val="24"/>
                <w:szCs w:val="24"/>
                <w:highlight w:val="none"/>
                <w:lang w:val="en-US" w:eastAsia="zh-CN" w:bidi="ar"/>
              </w:rPr>
              <w:t>至政府指定建筑垃圾填埋场处理</w:t>
            </w:r>
            <w:r>
              <w:rPr>
                <w:rFonts w:hint="default" w:ascii="Times New Roman" w:hAnsi="Times New Roman" w:cs="Times New Roman"/>
                <w:color w:val="auto"/>
                <w:highlight w:val="none"/>
              </w:rPr>
              <w:t>；</w:t>
            </w:r>
          </w:p>
          <w:p>
            <w:pPr>
              <w:pStyle w:val="38"/>
              <w:keepNext w:val="0"/>
              <w:keepLines w:val="0"/>
              <w:pageBreakBefore w:val="0"/>
              <w:widowControl w:val="0"/>
              <w:kinsoku/>
              <w:wordWrap/>
              <w:overflowPunct/>
              <w:topLinePunct w:val="0"/>
              <w:autoSpaceDE w:val="0"/>
              <w:autoSpaceDN w:val="0"/>
              <w:bidi w:val="0"/>
              <w:spacing w:beforeLines="0" w:after="0" w:afterAutospacing="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④施工过程中产生的生活污水</w:t>
            </w:r>
            <w:r>
              <w:rPr>
                <w:rFonts w:hint="eastAsia" w:ascii="Times New Roman" w:hAnsi="Times New Roman" w:cs="Times New Roman"/>
                <w:color w:val="auto"/>
                <w:highlight w:val="none"/>
                <w:lang w:val="en-US" w:eastAsia="zh-CN"/>
              </w:rPr>
              <w:t>依托厂房现有水冲卫生间</w:t>
            </w:r>
            <w:r>
              <w:rPr>
                <w:rFonts w:hint="default" w:ascii="Times New Roman" w:hAnsi="Times New Roman" w:cs="Times New Roman"/>
                <w:color w:val="auto"/>
                <w:highlight w:val="none"/>
              </w:rPr>
              <w:t>；</w:t>
            </w:r>
          </w:p>
          <w:p>
            <w:pPr>
              <w:pStyle w:val="38"/>
              <w:keepNext w:val="0"/>
              <w:keepLines w:val="0"/>
              <w:pageBreakBefore w:val="0"/>
              <w:widowControl w:val="0"/>
              <w:kinsoku/>
              <w:wordWrap/>
              <w:overflowPunct/>
              <w:topLinePunct w:val="0"/>
              <w:autoSpaceDE w:val="0"/>
              <w:autoSpaceDN w:val="0"/>
              <w:bidi w:val="0"/>
              <w:spacing w:beforeLines="0" w:after="0" w:afterAutospacing="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⑤</w:t>
            </w:r>
            <w:r>
              <w:rPr>
                <w:rFonts w:hint="eastAsia" w:ascii="Times New Roman" w:hAnsi="Times New Roman" w:cs="Times New Roman"/>
                <w:color w:val="auto"/>
                <w:highlight w:val="none"/>
                <w:lang w:eastAsia="zh-CN"/>
              </w:rPr>
              <w:t>施工场地</w:t>
            </w:r>
            <w:r>
              <w:rPr>
                <w:rFonts w:hint="default" w:ascii="Times New Roman" w:hAnsi="Times New Roman" w:cs="Times New Roman"/>
                <w:color w:val="auto"/>
                <w:highlight w:val="none"/>
              </w:rPr>
              <w:t>外围建设临时围墙或</w:t>
            </w:r>
            <w:r>
              <w:rPr>
                <w:rFonts w:hint="eastAsia" w:ascii="Times New Roman" w:hAnsi="Times New Roman" w:cs="Times New Roman"/>
                <w:color w:val="auto"/>
                <w:highlight w:val="none"/>
                <w:lang w:eastAsia="zh-CN"/>
              </w:rPr>
              <w:t>挡板</w:t>
            </w:r>
            <w:r>
              <w:rPr>
                <w:rFonts w:hint="default" w:ascii="Times New Roman" w:hAnsi="Times New Roman" w:cs="Times New Roman"/>
                <w:color w:val="auto"/>
                <w:highlight w:val="none"/>
              </w:rPr>
              <w:t>，对扬尘和噪声有一定阻隔作用</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且本项目设备安装位于全封闭厂房内</w:t>
            </w:r>
            <w:r>
              <w:rPr>
                <w:rFonts w:hint="default" w:ascii="Times New Roman" w:hAnsi="Times New Roman" w:cs="Times New Roman"/>
                <w:color w:val="auto"/>
                <w:highlight w:val="none"/>
              </w:rPr>
              <w:t>；</w:t>
            </w:r>
          </w:p>
          <w:p>
            <w:pPr>
              <w:pStyle w:val="38"/>
              <w:keepNext w:val="0"/>
              <w:keepLines w:val="0"/>
              <w:pageBreakBefore w:val="0"/>
              <w:widowControl w:val="0"/>
              <w:kinsoku/>
              <w:wordWrap/>
              <w:overflowPunct/>
              <w:topLinePunct w:val="0"/>
              <w:autoSpaceDE w:val="0"/>
              <w:autoSpaceDN w:val="0"/>
              <w:bidi w:val="0"/>
              <w:spacing w:beforeLines="0" w:after="0" w:afterAutospacing="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⑥加强施工工地环保管理，禁止现场材料随意堆放。</w:t>
            </w:r>
          </w:p>
          <w:p>
            <w:pPr>
              <w:pStyle w:val="38"/>
              <w:keepNext w:val="0"/>
              <w:keepLines w:val="0"/>
              <w:pageBreakBefore w:val="0"/>
              <w:widowControl w:val="0"/>
              <w:numPr>
                <w:ilvl w:val="0"/>
                <w:numId w:val="3"/>
              </w:numPr>
              <w:kinsoku/>
              <w:wordWrap/>
              <w:overflowPunct/>
              <w:topLinePunct w:val="0"/>
              <w:autoSpaceDE w:val="0"/>
              <w:autoSpaceDN w:val="0"/>
              <w:bidi w:val="0"/>
              <w:spacing w:beforeLines="0" w:after="0" w:afterAutospacing="0" w:line="240" w:lineRule="auto"/>
              <w:ind w:left="0" w:leftChars="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rPr>
              <w:t>营运期工艺流程图及产污环节</w:t>
            </w:r>
          </w:p>
          <w:p>
            <w:pPr>
              <w:pStyle w:val="38"/>
              <w:keepNext w:val="0"/>
              <w:keepLines w:val="0"/>
              <w:pageBreakBefore w:val="0"/>
              <w:widowControl w:val="0"/>
              <w:kinsoku/>
              <w:wordWrap/>
              <w:overflowPunct/>
              <w:topLinePunct w:val="0"/>
              <w:autoSpaceDE w:val="0"/>
              <w:autoSpaceDN w:val="0"/>
              <w:bidi w:val="0"/>
              <w:spacing w:beforeLines="0" w:after="0" w:afterAutospacing="0" w:line="240" w:lineRule="auto"/>
              <w:ind w:left="0" w:leftChars="0" w:firstLine="0" w:firstLineChars="0"/>
              <w:jc w:val="center"/>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drawing>
                <wp:inline distT="0" distB="0" distL="114300" distR="114300">
                  <wp:extent cx="5390515" cy="3322320"/>
                  <wp:effectExtent l="12700" t="12700" r="26035" b="17780"/>
                  <wp:docPr id="38" name="ECB019B1-382A-4266-B25C-5B523AA43C14-4" descr="C:/Users/63101/AppData/Local/Temp/wps.UcZvjp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ECB019B1-382A-4266-B25C-5B523AA43C14-4" descr="C:/Users/63101/AppData/Local/Temp/wps.UcZvjpwps"/>
                          <pic:cNvPicPr>
                            <a:picLocks noChangeAspect="1"/>
                          </pic:cNvPicPr>
                        </pic:nvPicPr>
                        <pic:blipFill>
                          <a:blip r:embed="rId17"/>
                          <a:stretch>
                            <a:fillRect/>
                          </a:stretch>
                        </pic:blipFill>
                        <pic:spPr>
                          <a:xfrm>
                            <a:off x="0" y="0"/>
                            <a:ext cx="5390515" cy="3322320"/>
                          </a:xfrm>
                          <a:prstGeom prst="rect">
                            <a:avLst/>
                          </a:prstGeom>
                          <a:ln w="12700" cmpd="sng">
                            <a:solidFill>
                              <a:schemeClr val="tx1"/>
                            </a:solidFill>
                            <a:prstDash val="solid"/>
                          </a:ln>
                        </pic:spPr>
                      </pic:pic>
                    </a:graphicData>
                  </a:graphic>
                </wp:inline>
              </w:drawing>
            </w:r>
          </w:p>
          <w:p>
            <w:pPr>
              <w:pStyle w:val="38"/>
              <w:keepNext w:val="0"/>
              <w:keepLines w:val="0"/>
              <w:pageBreakBefore w:val="0"/>
              <w:widowControl w:val="0"/>
              <w:kinsoku/>
              <w:wordWrap/>
              <w:overflowPunct/>
              <w:topLinePunct w:val="0"/>
              <w:autoSpaceDE w:val="0"/>
              <w:autoSpaceDN w:val="0"/>
              <w:bidi w:val="0"/>
              <w:spacing w:beforeLines="0" w:after="0" w:afterAutospacing="0"/>
              <w:ind w:left="0" w:leftChars="0" w:firstLine="0" w:firstLineChars="0"/>
              <w:jc w:val="center"/>
              <w:rPr>
                <w:rFonts w:hint="default"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图2-2  运营期工艺流程及产污环节图</w:t>
            </w:r>
          </w:p>
          <w:p>
            <w:pPr>
              <w:pStyle w:val="38"/>
              <w:keepNext w:val="0"/>
              <w:keepLines w:val="0"/>
              <w:pageBreakBefore w:val="0"/>
              <w:widowControl w:val="0"/>
              <w:kinsoku/>
              <w:wordWrap/>
              <w:overflowPunct/>
              <w:topLinePunct w:val="0"/>
              <w:autoSpaceDE w:val="0"/>
              <w:autoSpaceDN w:val="0"/>
              <w:bidi w:val="0"/>
              <w:spacing w:beforeLines="0" w:after="0" w:afterAutospacing="0"/>
              <w:ind w:firstLine="48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工艺流程简述：</w:t>
            </w:r>
          </w:p>
          <w:p>
            <w:pPr>
              <w:pStyle w:val="55"/>
              <w:keepNext w:val="0"/>
              <w:keepLines w:val="0"/>
              <w:pageBreakBefore w:val="0"/>
              <w:widowControl w:val="0"/>
              <w:kinsoku/>
              <w:wordWrap/>
              <w:overflowPunct/>
              <w:topLinePunct w:val="0"/>
              <w:autoSpaceDE w:val="0"/>
              <w:autoSpaceDN w:val="0"/>
              <w:bidi w:val="0"/>
              <w:spacing w:line="360" w:lineRule="auto"/>
              <w:ind w:firstLine="468" w:firstLineChars="200"/>
              <w:rPr>
                <w:rFonts w:hint="default" w:ascii="Times New Roman" w:hAnsi="Times New Roman" w:cs="Times New Roman"/>
                <w:color w:val="auto"/>
                <w:highlight w:val="none"/>
                <w:lang w:val="en-US" w:eastAsia="zh-CN"/>
              </w:rPr>
            </w:pPr>
            <w:r>
              <w:rPr>
                <w:color w:val="auto"/>
                <w:spacing w:val="-3"/>
                <w:highlight w:val="none"/>
              </w:rPr>
              <w:t>本项目外购的压缩的块料主要外购自</w:t>
            </w:r>
            <w:r>
              <w:rPr>
                <w:rFonts w:hint="eastAsia"/>
                <w:color w:val="auto"/>
                <w:spacing w:val="-3"/>
                <w:highlight w:val="none"/>
                <w:lang w:val="en-US" w:eastAsia="zh-CN"/>
              </w:rPr>
              <w:t>内蒙古本</w:t>
            </w:r>
            <w:r>
              <w:rPr>
                <w:color w:val="auto"/>
                <w:spacing w:val="-3"/>
                <w:highlight w:val="none"/>
              </w:rPr>
              <w:t>地，该废塑料为上游企业经过</w:t>
            </w:r>
            <w:r>
              <w:rPr>
                <w:rFonts w:hint="eastAsia"/>
                <w:color w:val="auto"/>
                <w:spacing w:val="-3"/>
                <w:highlight w:val="none"/>
                <w:lang w:val="en-US" w:eastAsia="zh-CN"/>
              </w:rPr>
              <w:t>初步</w:t>
            </w:r>
            <w:r>
              <w:rPr>
                <w:color w:val="auto"/>
                <w:spacing w:val="-3"/>
                <w:highlight w:val="none"/>
              </w:rPr>
              <w:t>筛选的半成品，经压缩成块后运输至本项</w:t>
            </w:r>
            <w:r>
              <w:rPr>
                <w:color w:val="auto"/>
                <w:spacing w:val="-4"/>
                <w:highlight w:val="none"/>
              </w:rPr>
              <w:t>目厂</w:t>
            </w:r>
            <w:r>
              <w:rPr>
                <w:color w:val="auto"/>
                <w:spacing w:val="-2"/>
                <w:highlight w:val="none"/>
              </w:rPr>
              <w:t>区，拆包后可直接进入破碎、清洗加工线</w:t>
            </w:r>
            <w:r>
              <w:rPr>
                <w:rFonts w:hint="eastAsia" w:ascii="Times New Roman" w:hAnsi="Times New Roman" w:cs="Times New Roman"/>
                <w:color w:val="auto"/>
                <w:highlight w:val="none"/>
                <w:lang w:val="en-US" w:eastAsia="zh-CN"/>
              </w:rPr>
              <w:t>。主要流程如下：</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①</w:t>
            </w:r>
            <w:r>
              <w:rPr>
                <w:rFonts w:hint="default" w:ascii="Times New Roman" w:hAnsi="Times New Roman" w:cs="Times New Roman"/>
                <w:color w:val="auto"/>
                <w:highlight w:val="none"/>
                <w:lang w:val="en-US" w:eastAsia="zh-CN"/>
              </w:rPr>
              <w:t>废塑料块料卸料拆包、投料</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项目外购的块料经汽车运至厂区后，卸料堆放。生产时由工人采用专用剪刀剪短块料的外框塑料绳。然后将原料采用铲车送入输送带，投入下一生产工序。</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②</w:t>
            </w:r>
            <w:r>
              <w:rPr>
                <w:rFonts w:hint="default" w:ascii="Times New Roman" w:hAnsi="Times New Roman" w:cs="Times New Roman"/>
                <w:color w:val="auto"/>
                <w:highlight w:val="none"/>
                <w:lang w:val="en-US" w:eastAsia="zh-CN"/>
              </w:rPr>
              <w:t>破碎、空气分选</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废塑料首先被送入破碎机（锤破机），破碎成块状物料。锤破机破碎属于干法破碎，配套有袋式除尘器收尘处理。</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后物料</w:t>
            </w:r>
            <w:r>
              <w:rPr>
                <w:rFonts w:hint="eastAsia" w:ascii="Times New Roman" w:hAnsi="Times New Roman" w:cs="Times New Roman"/>
                <w:color w:val="auto"/>
                <w:highlight w:val="none"/>
                <w:lang w:val="en-US" w:eastAsia="zh-CN"/>
              </w:rPr>
              <w:t>通过带有强磁滚轮输送带进行输送，输送过程中除去部分铁质物，</w:t>
            </w:r>
            <w:r>
              <w:rPr>
                <w:rFonts w:hint="default" w:ascii="Times New Roman" w:hAnsi="Times New Roman" w:cs="Times New Roman"/>
                <w:color w:val="auto"/>
                <w:highlight w:val="none"/>
                <w:lang w:val="en-US" w:eastAsia="zh-CN"/>
              </w:rPr>
              <w:t>再进入空气分选机。空分机是一种在进行固体废弃物分选回收时要用到的机械设备。废塑料中的轻飘物，如尘土</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毛絮</w:t>
            </w:r>
            <w:r>
              <w:rPr>
                <w:rFonts w:hint="eastAsia" w:ascii="Times New Roman" w:hAnsi="Times New Roman" w:cs="Times New Roman"/>
                <w:color w:val="auto"/>
                <w:highlight w:val="none"/>
                <w:lang w:val="en-US" w:eastAsia="zh-CN"/>
              </w:rPr>
              <w:t>、商标碎屑</w:t>
            </w:r>
            <w:r>
              <w:rPr>
                <w:rFonts w:hint="default" w:ascii="Times New Roman" w:hAnsi="Times New Roman" w:cs="Times New Roman"/>
                <w:color w:val="auto"/>
                <w:highlight w:val="none"/>
                <w:lang w:val="en-US" w:eastAsia="zh-CN"/>
              </w:rPr>
              <w:t>等杂物几乎没有价值，且会影响到固废分选设备对固废资源的分选。因此，选用空分机作为分选流水线上的辅助设备，其作用主要是通过风力作用将固废中的轻飘物吹离，以达到分离轻重物料的目的，可以减少后续流水线设备的工作强度，增加分选的速度，从而提高分选效率，方便接下来的分选设备对固废中的资源进行回收，同时也减少了灰尘等物对分选流水线上其他机器设备造成的损坏。</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输送</w:t>
            </w:r>
            <w:r>
              <w:rPr>
                <w:rFonts w:hint="default" w:ascii="Times New Roman" w:hAnsi="Times New Roman" w:cs="Times New Roman"/>
                <w:color w:val="auto"/>
                <w:highlight w:val="none"/>
                <w:lang w:val="en-US" w:eastAsia="zh-CN"/>
              </w:rPr>
              <w:t>和空气分选环节会产生少量的固体废物。空分机废物出料时会产生少量的粉尘。</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③筛分、风送</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分选后的物料通过螺旋结构提升机提升至滚筒筛，将塑料片材筛分分级，通过旋转滚筒内的筛网分离不同粒径物料，可精准筛选出符合生产要求的塑料原料，把大小符合需求的片料（20mm以下）直接过滤出来，通过风送机输送至后端摩擦清洗机，风送机高速气流实现塑料片材的长距离输送，同时通过重量差别去除剩余金属，不符合大小的片料（20mm以上）分选出来后通过风送机输送并去除金属进入下一步粉碎。</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④粉碎</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筛选后的不符合大小的片料进入粉碎机，进一步粉碎处理，本工序粉碎机为密闭粉碎机，通过高速旋转的刀片将大块废料破碎至10～20mm规格的片料。</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⑤摩擦清洗、甩干</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大小符合需求的片料，和粉碎后的片料进入摩擦清洗机，摩擦清洗机专为废旧塑料表面泥沙等杂质清洗设计，通过高速旋转产生的摩擦与水流冲刷双重作用，用常温清水冲洗表面泥沙等</w:t>
            </w:r>
            <w:r>
              <w:rPr>
                <w:rFonts w:hint="eastAsia" w:ascii="Times New Roman" w:hAnsi="Times New Roman" w:cs="Times New Roman"/>
                <w:i w:val="0"/>
                <w:iCs w:val="0"/>
                <w:color w:val="auto"/>
                <w:highlight w:val="none"/>
                <w:lang w:val="en-US" w:eastAsia="zh-CN"/>
              </w:rPr>
              <w:t>；</w:t>
            </w:r>
            <w:r>
              <w:rPr>
                <w:rFonts w:hint="eastAsia" w:ascii="Times New Roman" w:hAnsi="Times New Roman" w:cs="Times New Roman"/>
                <w:color w:val="auto"/>
                <w:highlight w:val="none"/>
                <w:lang w:val="en-US" w:eastAsia="zh-CN"/>
              </w:rPr>
              <w:t>清洗后的物料送入甩干机，通过高速旋转产生的离心力去除物料表面水分，后进入漂洗环节。</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⑥漂洗、甩干</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甩干后的物料送入塑料漂洗槽，通过清水流循环与浸泡作用，去除残留洗涤剂、泥沙及细小杂质，通过物料的密度不同来区分物料，分为上漂料和下沉料确保塑料洁净度满足后续加工需求，漂洗后物料再次甩干水分。</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⑦风选、烘干</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漂洗、甩干后的物料进入风选机，风选机利用风力对不同密度、形状的塑料废料进行分选，分离出杂质（如纸片、灰尘、木屑等）或不同种类的塑料，提升物料纯度，去除杂质后的物料进入电加热烘干机，通过热风循环去除塑料片材物料中的水分，热风温度控制在50℃至80℃之间，采用电热泵送风。</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⑧硅胶分选</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烘干后的物料进入本项目，硅胶分选机通过物理特性实现高效分拣，塑料与硅胶在碰撞时因材质特性差异会产生不同速度的弹跳，从而被分选出来，自动区分塑料与硅胶材质的废料。</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⑨静电分选、包装</w:t>
            </w:r>
          </w:p>
          <w:p>
            <w:pPr>
              <w:pStyle w:val="55"/>
              <w:keepNext w:val="0"/>
              <w:keepLines w:val="0"/>
              <w:pageBreakBefore w:val="0"/>
              <w:widowControl w:val="0"/>
              <w:kinsoku/>
              <w:wordWrap/>
              <w:overflowPunct/>
              <w:topLinePunct w:val="0"/>
              <w:autoSpaceDE w:val="0"/>
              <w:autoSpaceDN w:val="0"/>
              <w:bidi w:val="0"/>
              <w:spacing w:line="360" w:lineRule="auto"/>
              <w:ind w:firstLine="468" w:firstLineChars="200"/>
              <w:rPr>
                <w:rFonts w:hint="default" w:ascii="Times New Roman" w:hAnsi="Times New Roman" w:cs="Times New Roman"/>
                <w:color w:val="auto"/>
                <w:highlight w:val="none"/>
                <w:lang w:val="en-US" w:eastAsia="zh-CN"/>
              </w:rPr>
            </w:pPr>
            <w:r>
              <w:rPr>
                <w:color w:val="auto"/>
                <w:spacing w:val="-3"/>
                <w:highlight w:val="none"/>
              </w:rPr>
              <w:t>塑料静</w:t>
            </w:r>
            <w:r>
              <w:rPr>
                <w:rFonts w:hint="default" w:ascii="Times New Roman" w:hAnsi="Times New Roman" w:cs="Times New Roman"/>
                <w:color w:val="auto"/>
                <w:spacing w:val="-3"/>
                <w:highlight w:val="none"/>
              </w:rPr>
              <w:t>电分选技术是一种通过静电原理实现的高效</w:t>
            </w:r>
            <w:r>
              <w:rPr>
                <w:rFonts w:hint="default" w:ascii="Times New Roman" w:hAnsi="Times New Roman" w:cs="Times New Roman"/>
                <w:color w:val="auto"/>
                <w:spacing w:val="-4"/>
                <w:highlight w:val="none"/>
              </w:rPr>
              <w:t>分选和回收技术，目标塑料</w:t>
            </w:r>
            <w:r>
              <w:rPr>
                <w:rFonts w:hint="default" w:ascii="Times New Roman" w:hAnsi="Times New Roman" w:cs="Times New Roman"/>
                <w:color w:val="auto"/>
                <w:highlight w:val="none"/>
              </w:rPr>
              <w:t>分选率≥95%。当备选料进入静电分选设备时，利用各种不同材质的废塑料带有不</w:t>
            </w:r>
            <w:r>
              <w:rPr>
                <w:rFonts w:hint="default" w:ascii="Times New Roman" w:hAnsi="Times New Roman" w:cs="Times New Roman"/>
                <w:color w:val="auto"/>
                <w:spacing w:val="-1"/>
                <w:highlight w:val="none"/>
              </w:rPr>
              <w:t>同电荷的原理，进行塑料分类。静电分选出来的废塑料，以材质分类主要有AB</w:t>
            </w:r>
            <w:r>
              <w:rPr>
                <w:rFonts w:hint="default" w:ascii="Times New Roman" w:hAnsi="Times New Roman" w:cs="Times New Roman"/>
                <w:color w:val="auto"/>
                <w:spacing w:val="-2"/>
                <w:highlight w:val="none"/>
              </w:rPr>
              <w:t>S、</w:t>
            </w:r>
            <w:r>
              <w:rPr>
                <w:rFonts w:hint="default" w:ascii="Times New Roman" w:hAnsi="Times New Roman" w:cs="Times New Roman"/>
                <w:color w:val="auto"/>
                <w:spacing w:val="-3"/>
                <w:highlight w:val="none"/>
              </w:rPr>
              <w:t>PS、PP</w:t>
            </w:r>
            <w:r>
              <w:rPr>
                <w:rFonts w:hint="eastAsia" w:ascii="Times New Roman" w:hAnsi="Times New Roman" w:cs="Times New Roman"/>
                <w:color w:val="auto"/>
                <w:spacing w:val="-3"/>
                <w:highlight w:val="none"/>
                <w:lang w:eastAsia="zh-CN"/>
              </w:rPr>
              <w:t>、</w:t>
            </w:r>
            <w:r>
              <w:rPr>
                <w:rFonts w:hint="eastAsia" w:ascii="Times New Roman" w:hAnsi="Times New Roman" w:cs="Times New Roman"/>
                <w:color w:val="auto"/>
                <w:spacing w:val="-3"/>
                <w:highlight w:val="none"/>
                <w:lang w:val="en-US" w:eastAsia="zh-CN"/>
              </w:rPr>
              <w:t>PE</w:t>
            </w:r>
            <w:r>
              <w:rPr>
                <w:rFonts w:hint="default" w:ascii="Times New Roman" w:hAnsi="Times New Roman" w:cs="Times New Roman"/>
                <w:color w:val="auto"/>
                <w:spacing w:val="-3"/>
                <w:highlight w:val="none"/>
              </w:rPr>
              <w:t>，其中以</w:t>
            </w:r>
            <w:r>
              <w:rPr>
                <w:rFonts w:hint="default" w:ascii="Times New Roman" w:hAnsi="Times New Roman" w:cs="Times New Roman"/>
                <w:color w:val="auto"/>
                <w:spacing w:val="-48"/>
                <w:highlight w:val="none"/>
              </w:rPr>
              <w:t xml:space="preserve"> </w:t>
            </w:r>
            <w:r>
              <w:rPr>
                <w:rFonts w:hint="default" w:ascii="Times New Roman" w:hAnsi="Times New Roman" w:cs="Times New Roman"/>
                <w:color w:val="auto"/>
                <w:spacing w:val="-3"/>
                <w:highlight w:val="none"/>
              </w:rPr>
              <w:t>ABS占比最大约</w:t>
            </w:r>
            <w:r>
              <w:rPr>
                <w:rFonts w:hint="default" w:ascii="Times New Roman" w:hAnsi="Times New Roman" w:cs="Times New Roman"/>
                <w:color w:val="auto"/>
                <w:spacing w:val="-44"/>
                <w:highlight w:val="none"/>
              </w:rPr>
              <w:t xml:space="preserve"> </w:t>
            </w:r>
            <w:r>
              <w:rPr>
                <w:rFonts w:hint="default" w:ascii="Times New Roman" w:hAnsi="Times New Roman" w:cs="Times New Roman"/>
                <w:color w:val="auto"/>
                <w:spacing w:val="-3"/>
                <w:highlight w:val="none"/>
              </w:rPr>
              <w:t>70%。</w:t>
            </w:r>
            <w:r>
              <w:rPr>
                <w:color w:val="auto"/>
                <w:spacing w:val="-3"/>
                <w:highlight w:val="none"/>
              </w:rPr>
              <w:t>不同材质的废塑料从不同的出料口出来，采</w:t>
            </w:r>
            <w:r>
              <w:rPr>
                <w:color w:val="auto"/>
                <w:spacing w:val="-1"/>
                <w:highlight w:val="none"/>
              </w:rPr>
              <w:t>用吨袋包装，然后送至产品堆放区待售。</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⑩色选</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根据市场需求，对静电分选出的产品进行深度分选，塑料色选机通过光学识别技术，对不同颜色的塑料片材进行精准分拣，从而达到不同颜色的片材的分类，颜色分类完成后进行包装</w:t>
            </w:r>
            <w:r>
              <w:rPr>
                <w:color w:val="auto"/>
                <w:spacing w:val="-1"/>
                <w:highlight w:val="none"/>
              </w:rPr>
              <w:t>待</w:t>
            </w:r>
            <w:r>
              <w:rPr>
                <w:rFonts w:hint="eastAsia" w:ascii="Times New Roman" w:hAnsi="Times New Roman" w:cs="Times New Roman"/>
                <w:color w:val="auto"/>
                <w:highlight w:val="none"/>
                <w:lang w:val="en-US" w:eastAsia="zh-CN"/>
              </w:rPr>
              <w:t>售。</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产排污环节及治理措施</w:t>
            </w:r>
            <w:r>
              <w:rPr>
                <w:rFonts w:hint="eastAsia" w:ascii="Times New Roman" w:hAnsi="Times New Roman" w:cs="Times New Roman"/>
                <w:color w:val="auto"/>
                <w:highlight w:val="none"/>
              </w:rPr>
              <w:t>：</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①废气：</w:t>
            </w:r>
            <w:r>
              <w:rPr>
                <w:color w:val="auto"/>
                <w:spacing w:val="-3"/>
                <w:highlight w:val="none"/>
              </w:rPr>
              <w:t>主要为废塑料堆放过程产生的恶臭废气（以臭气浓度表</w:t>
            </w:r>
            <w:r>
              <w:rPr>
                <w:color w:val="auto"/>
                <w:spacing w:val="-4"/>
                <w:highlight w:val="none"/>
              </w:rPr>
              <w:t>征）、废塑料</w:t>
            </w:r>
            <w:r>
              <w:rPr>
                <w:color w:val="auto"/>
                <w:highlight w:val="none"/>
              </w:rPr>
              <w:t>破</w:t>
            </w:r>
            <w:r>
              <w:rPr>
                <w:rFonts w:hint="eastAsia"/>
                <w:color w:val="auto"/>
                <w:highlight w:val="none"/>
                <w:lang w:val="en-US" w:eastAsia="zh-CN"/>
              </w:rPr>
              <w:t>碎</w:t>
            </w:r>
            <w:r>
              <w:rPr>
                <w:color w:val="auto"/>
                <w:highlight w:val="none"/>
              </w:rPr>
              <w:t>环节产生的破碎粉尘、</w:t>
            </w:r>
            <w:r>
              <w:rPr>
                <w:color w:val="auto"/>
                <w:spacing w:val="-1"/>
                <w:highlight w:val="none"/>
              </w:rPr>
              <w:t>空气分选</w:t>
            </w:r>
            <w:r>
              <w:rPr>
                <w:rFonts w:hint="eastAsia"/>
                <w:color w:val="auto"/>
                <w:highlight w:val="none"/>
                <w:lang w:eastAsia="zh-CN"/>
              </w:rPr>
              <w:t>、</w:t>
            </w:r>
            <w:r>
              <w:rPr>
                <w:rFonts w:hint="eastAsia"/>
                <w:color w:val="auto"/>
                <w:highlight w:val="none"/>
                <w:lang w:val="en-US" w:eastAsia="zh-CN"/>
              </w:rPr>
              <w:t>筛分</w:t>
            </w:r>
            <w:r>
              <w:rPr>
                <w:color w:val="auto"/>
                <w:highlight w:val="none"/>
              </w:rPr>
              <w:t>环节产生的粉</w:t>
            </w:r>
            <w:r>
              <w:rPr>
                <w:color w:val="auto"/>
                <w:spacing w:val="-1"/>
                <w:highlight w:val="none"/>
              </w:rPr>
              <w:t>尘</w:t>
            </w:r>
            <w:r>
              <w:rPr>
                <w:rFonts w:hint="eastAsia"/>
                <w:color w:val="auto"/>
                <w:spacing w:val="-1"/>
                <w:highlight w:val="none"/>
                <w:lang w:val="en-US" w:eastAsia="zh-CN"/>
              </w:rPr>
              <w:t>及</w:t>
            </w:r>
            <w:r>
              <w:rPr>
                <w:color w:val="auto"/>
                <w:highlight w:val="none"/>
              </w:rPr>
              <w:t>废塑料粉碎</w:t>
            </w:r>
            <w:r>
              <w:rPr>
                <w:color w:val="auto"/>
                <w:spacing w:val="-1"/>
                <w:highlight w:val="none"/>
              </w:rPr>
              <w:t>粉尘</w:t>
            </w:r>
            <w:r>
              <w:rPr>
                <w:rFonts w:hint="eastAsia"/>
                <w:color w:val="auto"/>
                <w:spacing w:val="-1"/>
                <w:highlight w:val="none"/>
                <w:lang w:eastAsia="zh-CN"/>
              </w:rPr>
              <w:t>，</w:t>
            </w:r>
            <w:r>
              <w:rPr>
                <w:rFonts w:hint="eastAsia"/>
                <w:color w:val="auto"/>
                <w:spacing w:val="-1"/>
                <w:highlight w:val="none"/>
                <w:lang w:val="en-US" w:eastAsia="zh-CN"/>
              </w:rPr>
              <w:t>产生的粉尘经各自集气罩收集后通过1套布袋除尘器处理后通过1根</w:t>
            </w:r>
            <w:r>
              <w:rPr>
                <w:rFonts w:hint="default" w:ascii="Times New Roman" w:hAnsi="Times New Roman" w:cs="Times New Roman"/>
                <w:color w:val="auto"/>
                <w:spacing w:val="-1"/>
                <w:highlight w:val="none"/>
                <w:lang w:val="en-US" w:eastAsia="zh-CN"/>
              </w:rPr>
              <w:t>15m</w:t>
            </w:r>
            <w:r>
              <w:rPr>
                <w:rFonts w:hint="eastAsia"/>
                <w:color w:val="auto"/>
                <w:spacing w:val="-1"/>
                <w:highlight w:val="none"/>
                <w:lang w:val="en-US" w:eastAsia="zh-CN"/>
              </w:rPr>
              <w:t>高排气筒排放</w:t>
            </w:r>
            <w:r>
              <w:rPr>
                <w:rFonts w:hint="eastAsia"/>
                <w:color w:val="auto"/>
                <w:spacing w:val="-1"/>
                <w:highlight w:val="none"/>
                <w:lang w:eastAsia="zh-CN"/>
              </w:rPr>
              <w:t>；</w:t>
            </w:r>
            <w:r>
              <w:rPr>
                <w:rFonts w:hint="eastAsia"/>
                <w:color w:val="auto"/>
                <w:spacing w:val="-1"/>
                <w:highlight w:val="none"/>
                <w:lang w:val="en-US" w:eastAsia="zh-CN"/>
              </w:rPr>
              <w:t>塑料块产尘源主要为表面附着尘土及杂质产尘，经清洗后表面附着尘土及杂质被洗去，故后段工序不产尘</w:t>
            </w:r>
            <w:r>
              <w:rPr>
                <w:color w:val="auto"/>
                <w:spacing w:val="-1"/>
                <w:highlight w:val="none"/>
              </w:rPr>
              <w:t>。</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②废水：本项目</w:t>
            </w:r>
            <w:r>
              <w:rPr>
                <w:color w:val="auto"/>
                <w:spacing w:val="-3"/>
                <w:highlight w:val="none"/>
              </w:rPr>
              <w:t>清洗生产线的甩干机产生的废水，</w:t>
            </w:r>
            <w:r>
              <w:rPr>
                <w:rFonts w:hint="eastAsia"/>
                <w:color w:val="auto"/>
                <w:spacing w:val="-4"/>
                <w:highlight w:val="none"/>
                <w:lang w:val="en-US" w:eastAsia="zh-CN"/>
              </w:rPr>
              <w:t>漂洗水槽</w:t>
            </w:r>
            <w:r>
              <w:rPr>
                <w:color w:val="auto"/>
                <w:spacing w:val="-1"/>
                <w:highlight w:val="none"/>
              </w:rPr>
              <w:t>产生的废水，车间地面冲洗废水以及员工的生活污水</w:t>
            </w:r>
            <w:r>
              <w:rPr>
                <w:rFonts w:hint="eastAsia"/>
                <w:color w:val="auto"/>
                <w:spacing w:val="-1"/>
                <w:highlight w:val="none"/>
                <w:lang w:eastAsia="zh-CN"/>
              </w:rPr>
              <w:t>，</w:t>
            </w:r>
            <w:r>
              <w:rPr>
                <w:rFonts w:hint="eastAsia"/>
                <w:color w:val="auto"/>
                <w:spacing w:val="-1"/>
                <w:highlight w:val="none"/>
                <w:lang w:val="en-US" w:eastAsia="zh-CN"/>
              </w:rPr>
              <w:t>生产废水经沉淀池收集沉淀后回用，不外排</w:t>
            </w:r>
            <w:r>
              <w:rPr>
                <w:rFonts w:hint="eastAsia" w:ascii="Times New Roman" w:hAnsi="Times New Roman" w:cs="Times New Roman"/>
                <w:color w:val="auto"/>
                <w:highlight w:val="none"/>
              </w:rPr>
              <w:t>。</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③</w:t>
            </w:r>
            <w:r>
              <w:rPr>
                <w:color w:val="auto"/>
                <w:spacing w:val="-1"/>
                <w:highlight w:val="none"/>
              </w:rPr>
              <w:t>噪声：主要为各类生产设备产生的噪声</w:t>
            </w:r>
            <w:r>
              <w:rPr>
                <w:rFonts w:hint="eastAsia"/>
                <w:color w:val="auto"/>
                <w:spacing w:val="-1"/>
                <w:highlight w:val="none"/>
                <w:lang w:eastAsia="zh-CN"/>
              </w:rPr>
              <w:t>，</w:t>
            </w:r>
            <w:r>
              <w:rPr>
                <w:rFonts w:hint="eastAsia"/>
                <w:color w:val="auto"/>
                <w:spacing w:val="-1"/>
                <w:highlight w:val="none"/>
                <w:lang w:val="en-US" w:eastAsia="zh-CN"/>
              </w:rPr>
              <w:t>选用低噪声设备，基础减震，且设备置于全封闭厂房内</w:t>
            </w:r>
            <w:r>
              <w:rPr>
                <w:color w:val="auto"/>
                <w:spacing w:val="-1"/>
                <w:highlight w:val="none"/>
              </w:rPr>
              <w:t>。</w:t>
            </w:r>
          </w:p>
          <w:p>
            <w:pPr>
              <w:pStyle w:val="55"/>
              <w:keepNext w:val="0"/>
              <w:keepLines w:val="0"/>
              <w:pageBreakBefore w:val="0"/>
              <w:widowControl w:val="0"/>
              <w:kinsoku/>
              <w:wordWrap/>
              <w:overflowPunct/>
              <w:topLinePunct w:val="0"/>
              <w:autoSpaceDE w:val="0"/>
              <w:autoSpaceDN w:val="0"/>
              <w:bidi w:val="0"/>
              <w:spacing w:line="360" w:lineRule="auto"/>
              <w:ind w:firstLine="480" w:firstLineChars="20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④固废：</w:t>
            </w:r>
            <w:r>
              <w:rPr>
                <w:color w:val="auto"/>
                <w:spacing w:val="-4"/>
                <w:highlight w:val="none"/>
              </w:rPr>
              <w:t>主要为生产过程分选出的原料夹杂物</w:t>
            </w:r>
            <w:r>
              <w:rPr>
                <w:rFonts w:hint="eastAsia"/>
                <w:color w:val="auto"/>
                <w:spacing w:val="-4"/>
                <w:highlight w:val="none"/>
                <w:lang w:eastAsia="zh-CN"/>
              </w:rPr>
              <w:t>（</w:t>
            </w:r>
            <w:r>
              <w:rPr>
                <w:rFonts w:hint="eastAsia"/>
                <w:color w:val="auto"/>
                <w:spacing w:val="-4"/>
                <w:highlight w:val="none"/>
                <w:lang w:val="en-US" w:eastAsia="zh-CN"/>
              </w:rPr>
              <w:t>纸片、沙子、木屑等</w:t>
            </w:r>
            <w:r>
              <w:rPr>
                <w:rFonts w:hint="eastAsia"/>
                <w:color w:val="auto"/>
                <w:spacing w:val="-4"/>
                <w:highlight w:val="none"/>
                <w:lang w:eastAsia="zh-CN"/>
              </w:rPr>
              <w:t>）</w:t>
            </w:r>
            <w:r>
              <w:rPr>
                <w:color w:val="auto"/>
                <w:spacing w:val="-4"/>
                <w:highlight w:val="none"/>
              </w:rPr>
              <w:t>、漂洗槽的底</w:t>
            </w:r>
            <w:r>
              <w:rPr>
                <w:color w:val="auto"/>
                <w:spacing w:val="-1"/>
                <w:highlight w:val="none"/>
              </w:rPr>
              <w:t>层</w:t>
            </w:r>
            <w:r>
              <w:rPr>
                <w:rFonts w:hint="eastAsia"/>
                <w:color w:val="auto"/>
                <w:spacing w:val="-1"/>
                <w:highlight w:val="none"/>
                <w:lang w:val="en-US" w:eastAsia="zh-CN"/>
              </w:rPr>
              <w:t>废</w:t>
            </w:r>
            <w:r>
              <w:rPr>
                <w:color w:val="auto"/>
                <w:spacing w:val="-1"/>
                <w:highlight w:val="none"/>
              </w:rPr>
              <w:t>料</w:t>
            </w:r>
            <w:r>
              <w:rPr>
                <w:rFonts w:hint="eastAsia"/>
                <w:color w:val="auto"/>
                <w:spacing w:val="-1"/>
                <w:highlight w:val="none"/>
                <w:lang w:eastAsia="zh-CN"/>
              </w:rPr>
              <w:t>（</w:t>
            </w:r>
            <w:r>
              <w:rPr>
                <w:rFonts w:hint="eastAsia"/>
                <w:color w:val="auto"/>
                <w:spacing w:val="-1"/>
                <w:highlight w:val="none"/>
                <w:lang w:val="en-US" w:eastAsia="zh-CN"/>
              </w:rPr>
              <w:t>沙子、木屑</w:t>
            </w:r>
            <w:r>
              <w:rPr>
                <w:rFonts w:hint="eastAsia"/>
                <w:color w:val="auto"/>
                <w:spacing w:val="-1"/>
                <w:highlight w:val="none"/>
                <w:lang w:eastAsia="zh-CN"/>
              </w:rPr>
              <w:t>）</w:t>
            </w:r>
            <w:r>
              <w:rPr>
                <w:color w:val="auto"/>
                <w:spacing w:val="-1"/>
                <w:highlight w:val="none"/>
              </w:rPr>
              <w:t>、除尘器的收尘灰</w:t>
            </w:r>
            <w:r>
              <w:rPr>
                <w:rFonts w:hint="eastAsia"/>
                <w:color w:val="auto"/>
                <w:spacing w:val="-1"/>
                <w:highlight w:val="none"/>
                <w:lang w:val="en-US" w:eastAsia="zh-CN"/>
              </w:rPr>
              <w:t>等收集后定期交由环卫部门统一拉运处置</w:t>
            </w:r>
            <w:r>
              <w:rPr>
                <w:rFonts w:hint="eastAsia"/>
                <w:color w:val="auto"/>
                <w:spacing w:val="-1"/>
                <w:highlight w:val="none"/>
                <w:lang w:eastAsia="zh-CN"/>
              </w:rPr>
              <w:t>；</w:t>
            </w:r>
            <w:r>
              <w:rPr>
                <w:rFonts w:hint="eastAsia"/>
                <w:color w:val="auto"/>
                <w:spacing w:val="-1"/>
                <w:highlight w:val="none"/>
                <w:lang w:val="en-US" w:eastAsia="zh-CN"/>
              </w:rPr>
              <w:t>废硅胶收集后定期外售废硅胶回收单位回收利用</w:t>
            </w:r>
            <w:r>
              <w:rPr>
                <w:rFonts w:hint="eastAsia"/>
                <w:color w:val="auto"/>
                <w:spacing w:val="-1"/>
                <w:highlight w:val="none"/>
                <w:lang w:eastAsia="zh-CN"/>
              </w:rPr>
              <w:t>；</w:t>
            </w:r>
            <w:r>
              <w:rPr>
                <w:rFonts w:hint="eastAsia"/>
                <w:color w:val="auto"/>
                <w:spacing w:val="-1"/>
                <w:highlight w:val="none"/>
                <w:lang w:val="en-US" w:eastAsia="zh-CN"/>
              </w:rPr>
              <w:t>设备维修产生的废机油及废油桶，暂存于危废库内定期交由有资质单位拉运处置</w:t>
            </w:r>
            <w:r>
              <w:rPr>
                <w:rFonts w:hint="eastAsia"/>
                <w:color w:val="auto"/>
                <w:spacing w:val="-1"/>
                <w:highlight w:val="none"/>
                <w:lang w:eastAsia="zh-CN"/>
              </w:rPr>
              <w:t>；</w:t>
            </w:r>
            <w:r>
              <w:rPr>
                <w:color w:val="auto"/>
                <w:spacing w:val="-1"/>
                <w:highlight w:val="none"/>
              </w:rPr>
              <w:t>员工的生</w:t>
            </w:r>
            <w:r>
              <w:rPr>
                <w:color w:val="auto"/>
                <w:spacing w:val="-2"/>
                <w:highlight w:val="none"/>
              </w:rPr>
              <w:t>活垃圾</w:t>
            </w:r>
            <w:r>
              <w:rPr>
                <w:rFonts w:hint="eastAsia"/>
                <w:color w:val="auto"/>
                <w:spacing w:val="-2"/>
                <w:highlight w:val="none"/>
                <w:lang w:val="en-US" w:eastAsia="zh-CN"/>
              </w:rPr>
              <w:t>收集至厂区垃圾箱内定期</w:t>
            </w:r>
            <w:r>
              <w:rPr>
                <w:rFonts w:hint="eastAsia"/>
                <w:color w:val="auto"/>
                <w:spacing w:val="-1"/>
                <w:highlight w:val="none"/>
                <w:lang w:val="en-US" w:eastAsia="zh-CN"/>
              </w:rPr>
              <w:t>交由环卫部门统一拉运处置</w:t>
            </w:r>
            <w:r>
              <w:rPr>
                <w:rFonts w:hint="eastAsia" w:ascii="Times New Roman" w:hAnsi="Times New Roman" w:cs="Times New Roman"/>
                <w:color w:val="auto"/>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80" w:hRule="atLeast"/>
          <w:jc w:val="center"/>
        </w:trPr>
        <w:tc>
          <w:tcPr>
            <w:tcW w:w="823" w:type="dxa"/>
            <w:vAlign w:val="center"/>
          </w:tcPr>
          <w:p>
            <w:pPr>
              <w:pStyle w:val="19"/>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jc w:val="center"/>
              <w:rPr>
                <w:rFonts w:ascii="Times New Roman" w:hAnsi="Times New Roman" w:cs="Times New Roman"/>
                <w:color w:val="auto"/>
                <w:szCs w:val="24"/>
                <w:highlight w:val="none"/>
              </w:rPr>
            </w:pPr>
            <w:r>
              <w:rPr>
                <w:rFonts w:ascii="Times New Roman" w:hAnsi="Times New Roman" w:cs="Times New Roman"/>
                <w:bCs/>
                <w:color w:val="auto"/>
                <w:kern w:val="2"/>
                <w:szCs w:val="24"/>
                <w:highlight w:val="none"/>
              </w:rPr>
              <w:t>与项目有关的原有环境污染问题</w:t>
            </w:r>
          </w:p>
        </w:tc>
        <w:tc>
          <w:tcPr>
            <w:tcW w:w="8783" w:type="dxa"/>
            <w:vAlign w:val="center"/>
          </w:tcPr>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7" w:hRule="atLeast"/>
              </w:trPr>
              <w:tc>
                <w:tcPr>
                  <w:tcW w:w="4140" w:type="dxa"/>
                </w:tcPr>
                <w:p>
                  <w:pPr>
                    <w:keepNext w:val="0"/>
                    <w:keepLines w:val="0"/>
                    <w:pageBreakBefore w:val="0"/>
                    <w:widowControl w:val="0"/>
                    <w:kinsoku/>
                    <w:wordWrap/>
                    <w:overflowPunct/>
                    <w:topLinePunct w:val="0"/>
                    <w:autoSpaceDE w:val="0"/>
                    <w:autoSpaceDN w:val="0"/>
                    <w:bidi w:val="0"/>
                    <w:adjustRightInd w:val="0"/>
                    <w:snapToGrid w:val="0"/>
                    <w:spacing w:line="240" w:lineRule="auto"/>
                    <w:jc w:val="center"/>
                    <w:rPr>
                      <w:rFonts w:hint="eastAsia" w:eastAsia="宋体"/>
                      <w:color w:val="auto"/>
                      <w:highlight w:val="none"/>
                      <w:vertAlign w:val="baseline"/>
                      <w:lang w:eastAsia="zh-CN"/>
                    </w:rPr>
                  </w:pPr>
                  <w:r>
                    <w:rPr>
                      <w:rFonts w:hint="eastAsia" w:eastAsia="宋体"/>
                      <w:color w:val="auto"/>
                      <w:highlight w:val="none"/>
                      <w:vertAlign w:val="baseline"/>
                      <w:lang w:eastAsia="zh-CN"/>
                    </w:rPr>
                    <w:drawing>
                      <wp:inline distT="0" distB="0" distL="114300" distR="114300">
                        <wp:extent cx="2452370" cy="1839595"/>
                        <wp:effectExtent l="0" t="0" r="5080" b="8255"/>
                        <wp:docPr id="12" name="图片 12" descr="IMG_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7158"/>
                                <pic:cNvPicPr>
                                  <a:picLocks noChangeAspect="1"/>
                                </pic:cNvPicPr>
                              </pic:nvPicPr>
                              <pic:blipFill>
                                <a:blip r:embed="rId18"/>
                                <a:stretch>
                                  <a:fillRect/>
                                </a:stretch>
                              </pic:blipFill>
                              <pic:spPr>
                                <a:xfrm>
                                  <a:off x="0" y="0"/>
                                  <a:ext cx="2452370" cy="1839595"/>
                                </a:xfrm>
                                <a:prstGeom prst="rect">
                                  <a:avLst/>
                                </a:prstGeom>
                              </pic:spPr>
                            </pic:pic>
                          </a:graphicData>
                        </a:graphic>
                      </wp:inline>
                    </w:drawing>
                  </w:r>
                </w:p>
              </w:tc>
              <w:tc>
                <w:tcPr>
                  <w:tcW w:w="4140" w:type="dxa"/>
                </w:tcPr>
                <w:p>
                  <w:pPr>
                    <w:keepNext w:val="0"/>
                    <w:keepLines w:val="0"/>
                    <w:pageBreakBefore w:val="0"/>
                    <w:widowControl w:val="0"/>
                    <w:kinsoku/>
                    <w:wordWrap/>
                    <w:overflowPunct/>
                    <w:topLinePunct w:val="0"/>
                    <w:autoSpaceDE w:val="0"/>
                    <w:autoSpaceDN w:val="0"/>
                    <w:bidi w:val="0"/>
                    <w:adjustRightInd w:val="0"/>
                    <w:snapToGrid w:val="0"/>
                    <w:spacing w:line="360" w:lineRule="auto"/>
                    <w:jc w:val="center"/>
                    <w:rPr>
                      <w:rFonts w:hint="eastAsia" w:eastAsia="宋体"/>
                      <w:color w:val="auto"/>
                      <w:highlight w:val="none"/>
                      <w:vertAlign w:val="baseline"/>
                      <w:lang w:eastAsia="zh-CN"/>
                    </w:rPr>
                  </w:pPr>
                  <w:r>
                    <w:rPr>
                      <w:rFonts w:hint="eastAsia" w:eastAsia="宋体"/>
                      <w:color w:val="auto"/>
                      <w:highlight w:val="none"/>
                      <w:vertAlign w:val="baseline"/>
                      <w:lang w:eastAsia="zh-CN"/>
                    </w:rPr>
                    <w:drawing>
                      <wp:inline distT="0" distB="0" distL="114300" distR="114300">
                        <wp:extent cx="2440305" cy="1831340"/>
                        <wp:effectExtent l="0" t="0" r="17145" b="16510"/>
                        <wp:docPr id="13" name="图片 13" descr="IMG_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7161"/>
                                <pic:cNvPicPr>
                                  <a:picLocks noChangeAspect="1"/>
                                </pic:cNvPicPr>
                              </pic:nvPicPr>
                              <pic:blipFill>
                                <a:blip r:embed="rId19"/>
                                <a:stretch>
                                  <a:fillRect/>
                                </a:stretch>
                              </pic:blipFill>
                              <pic:spPr>
                                <a:xfrm>
                                  <a:off x="0" y="0"/>
                                  <a:ext cx="2440305" cy="1831340"/>
                                </a:xfrm>
                                <a:prstGeom prst="rect">
                                  <a:avLst/>
                                </a:prstGeom>
                              </pic:spPr>
                            </pic:pic>
                          </a:graphicData>
                        </a:graphic>
                      </wp:inline>
                    </w:drawing>
                  </w:r>
                </w:p>
              </w:tc>
            </w:tr>
          </w:tbl>
          <w:p>
            <w:pPr>
              <w:keepNext w:val="0"/>
              <w:keepLines w:val="0"/>
              <w:pageBreakBefore w:val="0"/>
              <w:widowControl w:val="0"/>
              <w:kinsoku/>
              <w:wordWrap/>
              <w:overflowPunct/>
              <w:topLinePunct w:val="0"/>
              <w:autoSpaceDE w:val="0"/>
              <w:autoSpaceDN w:val="0"/>
              <w:bidi w:val="0"/>
              <w:adjustRightInd w:val="0"/>
              <w:snapToGrid w:val="0"/>
              <w:spacing w:line="360" w:lineRule="auto"/>
              <w:jc w:val="center"/>
              <w:rPr>
                <w:rFonts w:hint="default"/>
                <w:color w:val="auto"/>
                <w:sz w:val="24"/>
                <w:szCs w:val="24"/>
                <w:highlight w:val="none"/>
                <w:lang w:val="en-US" w:eastAsia="zh-CN"/>
              </w:rPr>
            </w:pPr>
            <w:r>
              <w:rPr>
                <w:rFonts w:hint="eastAsia"/>
                <w:color w:val="auto"/>
                <w:sz w:val="24"/>
                <w:szCs w:val="24"/>
                <w:highlight w:val="none"/>
                <w:lang w:eastAsia="zh-CN"/>
              </w:rPr>
              <w:t>项目区现状照片（</w:t>
            </w:r>
            <w:r>
              <w:rPr>
                <w:rFonts w:hint="eastAsia"/>
                <w:color w:val="auto"/>
                <w:sz w:val="24"/>
                <w:szCs w:val="24"/>
                <w:highlight w:val="none"/>
                <w:lang w:val="en-US" w:eastAsia="zh-CN"/>
              </w:rPr>
              <w:t>外部</w:t>
            </w:r>
            <w:r>
              <w:rPr>
                <w:rFonts w:hint="eastAsia"/>
                <w:color w:val="auto"/>
                <w:sz w:val="24"/>
                <w:szCs w:val="24"/>
                <w:highlight w:val="none"/>
                <w:lang w:eastAsia="zh-CN"/>
              </w:rPr>
              <w:t>）</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0"/>
              <w:gridCol w:w="4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2" w:hRule="atLeast"/>
              </w:trPr>
              <w:tc>
                <w:tcPr>
                  <w:tcW w:w="4220" w:type="dxa"/>
                </w:tcPr>
                <w:p>
                  <w:pPr>
                    <w:keepNext w:val="0"/>
                    <w:keepLines w:val="0"/>
                    <w:pageBreakBefore w:val="0"/>
                    <w:widowControl w:val="0"/>
                    <w:kinsoku/>
                    <w:wordWrap/>
                    <w:overflowPunct/>
                    <w:topLinePunct w:val="0"/>
                    <w:autoSpaceDE w:val="0"/>
                    <w:autoSpaceDN w:val="0"/>
                    <w:bidi w:val="0"/>
                    <w:adjustRightInd w:val="0"/>
                    <w:snapToGrid w:val="0"/>
                    <w:spacing w:line="240" w:lineRule="auto"/>
                    <w:jc w:val="center"/>
                    <w:rPr>
                      <w:rFonts w:hint="eastAsia" w:eastAsia="宋体"/>
                      <w:color w:val="auto"/>
                      <w:highlight w:val="none"/>
                      <w:vertAlign w:val="baseline"/>
                      <w:lang w:eastAsia="zh-CN"/>
                    </w:rPr>
                  </w:pPr>
                  <w:r>
                    <w:rPr>
                      <w:rFonts w:hint="eastAsia" w:eastAsia="宋体"/>
                      <w:color w:val="auto"/>
                      <w:highlight w:val="none"/>
                      <w:vertAlign w:val="baseline"/>
                      <w:lang w:eastAsia="zh-CN"/>
                    </w:rPr>
                    <w:drawing>
                      <wp:inline distT="0" distB="0" distL="114300" distR="114300">
                        <wp:extent cx="2336800" cy="1671955"/>
                        <wp:effectExtent l="0" t="0" r="6350" b="4445"/>
                        <wp:docPr id="37" name="图片 37" descr="598b9b4a95717bad346252d453d233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598b9b4a95717bad346252d453d2336d"/>
                                <pic:cNvPicPr>
                                  <a:picLocks noChangeAspect="1"/>
                                </pic:cNvPicPr>
                              </pic:nvPicPr>
                              <pic:blipFill>
                                <a:blip r:embed="rId20"/>
                                <a:srcRect t="6398" r="1886"/>
                                <a:stretch>
                                  <a:fillRect/>
                                </a:stretch>
                              </pic:blipFill>
                              <pic:spPr>
                                <a:xfrm>
                                  <a:off x="0" y="0"/>
                                  <a:ext cx="2336800" cy="1671955"/>
                                </a:xfrm>
                                <a:prstGeom prst="rect">
                                  <a:avLst/>
                                </a:prstGeom>
                              </pic:spPr>
                            </pic:pic>
                          </a:graphicData>
                        </a:graphic>
                      </wp:inline>
                    </w:drawing>
                  </w:r>
                </w:p>
              </w:tc>
              <w:tc>
                <w:tcPr>
                  <w:tcW w:w="4220" w:type="dxa"/>
                </w:tcPr>
                <w:p>
                  <w:pPr>
                    <w:keepNext w:val="0"/>
                    <w:keepLines w:val="0"/>
                    <w:pageBreakBefore w:val="0"/>
                    <w:widowControl w:val="0"/>
                    <w:kinsoku/>
                    <w:wordWrap/>
                    <w:overflowPunct/>
                    <w:topLinePunct w:val="0"/>
                    <w:autoSpaceDE w:val="0"/>
                    <w:autoSpaceDN w:val="0"/>
                    <w:bidi w:val="0"/>
                    <w:adjustRightInd w:val="0"/>
                    <w:snapToGrid w:val="0"/>
                    <w:spacing w:line="360" w:lineRule="auto"/>
                    <w:jc w:val="center"/>
                    <w:rPr>
                      <w:rFonts w:hint="eastAsia" w:eastAsia="宋体"/>
                      <w:color w:val="auto"/>
                      <w:highlight w:val="none"/>
                      <w:vertAlign w:val="baseline"/>
                      <w:lang w:eastAsia="zh-CN"/>
                    </w:rPr>
                  </w:pPr>
                  <w:r>
                    <w:rPr>
                      <w:rFonts w:hint="eastAsia" w:eastAsia="宋体"/>
                      <w:color w:val="auto"/>
                      <w:highlight w:val="none"/>
                      <w:vertAlign w:val="baseline"/>
                      <w:lang w:eastAsia="zh-CN"/>
                    </w:rPr>
                    <w:drawing>
                      <wp:inline distT="0" distB="0" distL="114300" distR="114300">
                        <wp:extent cx="2406650" cy="1654175"/>
                        <wp:effectExtent l="0" t="0" r="12700" b="3175"/>
                        <wp:docPr id="44" name="图片 44" descr="9597cd710a61cf86093bd60de38594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9597cd710a61cf86093bd60de38594b5"/>
                                <pic:cNvPicPr>
                                  <a:picLocks noChangeAspect="1"/>
                                </pic:cNvPicPr>
                              </pic:nvPicPr>
                              <pic:blipFill>
                                <a:blip r:embed="rId21"/>
                                <a:srcRect l="28375" t="34433" r="42"/>
                                <a:stretch>
                                  <a:fillRect/>
                                </a:stretch>
                              </pic:blipFill>
                              <pic:spPr>
                                <a:xfrm>
                                  <a:off x="0" y="0"/>
                                  <a:ext cx="2406650" cy="1654175"/>
                                </a:xfrm>
                                <a:prstGeom prst="rect">
                                  <a:avLst/>
                                </a:prstGeom>
                              </pic:spPr>
                            </pic:pic>
                          </a:graphicData>
                        </a:graphic>
                      </wp:inline>
                    </w:drawing>
                  </w:r>
                </w:p>
              </w:tc>
            </w:tr>
          </w:tbl>
          <w:p>
            <w:pPr>
              <w:keepNext w:val="0"/>
              <w:keepLines w:val="0"/>
              <w:pageBreakBefore w:val="0"/>
              <w:widowControl w:val="0"/>
              <w:kinsoku/>
              <w:wordWrap/>
              <w:overflowPunct/>
              <w:topLinePunct w:val="0"/>
              <w:autoSpaceDE w:val="0"/>
              <w:autoSpaceDN w:val="0"/>
              <w:bidi w:val="0"/>
              <w:adjustRightInd w:val="0"/>
              <w:snapToGrid w:val="0"/>
              <w:spacing w:line="360" w:lineRule="auto"/>
              <w:jc w:val="center"/>
              <w:rPr>
                <w:rFonts w:hint="eastAsia"/>
                <w:color w:val="auto"/>
                <w:sz w:val="24"/>
                <w:szCs w:val="24"/>
                <w:highlight w:val="none"/>
                <w:lang w:eastAsia="zh-CN"/>
              </w:rPr>
            </w:pPr>
            <w:r>
              <w:rPr>
                <w:rFonts w:hint="eastAsia"/>
                <w:color w:val="auto"/>
                <w:sz w:val="24"/>
                <w:szCs w:val="24"/>
                <w:highlight w:val="none"/>
                <w:lang w:eastAsia="zh-CN"/>
              </w:rPr>
              <w:t>项目区现状照片（</w:t>
            </w:r>
            <w:r>
              <w:rPr>
                <w:rFonts w:hint="eastAsia"/>
                <w:color w:val="auto"/>
                <w:sz w:val="24"/>
                <w:szCs w:val="24"/>
                <w:highlight w:val="none"/>
                <w:lang w:val="en-US" w:eastAsia="zh-CN"/>
              </w:rPr>
              <w:t>内部</w:t>
            </w:r>
            <w:r>
              <w:rPr>
                <w:rFonts w:hint="eastAsia"/>
                <w:color w:val="auto"/>
                <w:sz w:val="24"/>
                <w:szCs w:val="24"/>
                <w:highlight w:val="none"/>
                <w:lang w:eastAsia="zh-CN"/>
              </w:rPr>
              <w:t>）</w:t>
            </w:r>
          </w:p>
          <w:p>
            <w:pPr>
              <w:pStyle w:val="6"/>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firstLineChars="200"/>
              <w:textAlignment w:val="auto"/>
              <w:rPr>
                <w:rFonts w:hint="default"/>
                <w:color w:val="auto"/>
                <w:sz w:val="24"/>
                <w:szCs w:val="24"/>
                <w:highlight w:val="none"/>
                <w:lang w:val="en-US" w:eastAsia="zh-CN"/>
              </w:rPr>
            </w:pPr>
            <w:r>
              <w:rPr>
                <w:rFonts w:hint="eastAsia"/>
                <w:color w:val="auto"/>
                <w:highlight w:val="none"/>
                <w:lang w:val="en-US" w:eastAsia="zh-CN"/>
              </w:rPr>
              <w:t>本项目租用园区已建成厂房，本厂房租用原有物流公司，经现场调查，厂房已清空，未发现</w:t>
            </w:r>
            <w:r>
              <w:rPr>
                <w:rFonts w:ascii="Times New Roman" w:hAnsi="Times New Roman" w:cs="Times New Roman"/>
                <w:bCs/>
                <w:color w:val="auto"/>
                <w:kern w:val="2"/>
                <w:szCs w:val="24"/>
                <w:highlight w:val="none"/>
              </w:rPr>
              <w:t>有关的原有环境污染问题</w:t>
            </w:r>
            <w:r>
              <w:rPr>
                <w:rFonts w:hint="eastAsia"/>
                <w:color w:val="auto"/>
                <w:highlight w:val="none"/>
                <w:lang w:val="en-US" w:eastAsia="zh-CN"/>
              </w:rPr>
              <w:t>。</w:t>
            </w:r>
          </w:p>
        </w:tc>
      </w:tr>
    </w:tbl>
    <w:p>
      <w:pPr>
        <w:pStyle w:val="19"/>
        <w:jc w:val="center"/>
        <w:rPr>
          <w:rFonts w:ascii="Times New Roman" w:hAnsi="Times New Roman" w:eastAsia="黑体" w:cs="Times New Roman"/>
          <w:snapToGrid w:val="0"/>
          <w:color w:val="auto"/>
          <w:sz w:val="36"/>
          <w:szCs w:val="36"/>
          <w:highlight w:val="none"/>
        </w:rPr>
        <w:sectPr>
          <w:pgSz w:w="11905" w:h="16838"/>
          <w:pgMar w:top="1440" w:right="879" w:bottom="918" w:left="901" w:header="0" w:footer="737" w:gutter="0"/>
          <w:pgBorders>
            <w:top w:val="none" w:sz="0" w:space="0"/>
            <w:left w:val="none" w:sz="0" w:space="0"/>
            <w:bottom w:val="none" w:sz="0" w:space="0"/>
            <w:right w:val="none" w:sz="0" w:space="0"/>
          </w:pgBorders>
          <w:pgNumType w:fmt="decimal"/>
          <w:cols w:space="0" w:num="1"/>
          <w:rtlGutter w:val="0"/>
          <w:docGrid w:linePitch="312" w:charSpace="0"/>
        </w:sectPr>
      </w:pPr>
    </w:p>
    <w:p>
      <w:pPr>
        <w:jc w:val="center"/>
        <w:outlineLvl w:val="0"/>
        <w:rPr>
          <w:rFonts w:ascii="Times New Roman" w:hAnsi="Times New Roman" w:cs="Times New Roman"/>
          <w:b/>
          <w:bCs/>
          <w:color w:val="auto"/>
          <w:sz w:val="30"/>
          <w:szCs w:val="30"/>
          <w:highlight w:val="none"/>
        </w:rPr>
      </w:pPr>
      <w:r>
        <w:rPr>
          <w:rFonts w:ascii="Times New Roman" w:hAnsi="Times New Roman" w:cs="Times New Roman"/>
          <w:b/>
          <w:bCs/>
          <w:color w:val="auto"/>
          <w:sz w:val="30"/>
          <w:szCs w:val="30"/>
          <w:highlight w:val="none"/>
        </w:rPr>
        <w:t>三、区域环境质量现状、环境保护目标及评价标准</w:t>
      </w:r>
    </w:p>
    <w:tbl>
      <w:tblPr>
        <w:tblStyle w:val="22"/>
        <w:tblW w:w="9993" w:type="dxa"/>
        <w:tblInd w:w="14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558"/>
        <w:gridCol w:w="94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558" w:type="dxa"/>
            <w:tcBorders>
              <w:right w:val="single" w:color="000000" w:sz="4" w:space="0"/>
            </w:tcBorders>
            <w:vAlign w:val="center"/>
          </w:tcPr>
          <w:p>
            <w:pPr>
              <w:pStyle w:val="29"/>
              <w:spacing w:line="520" w:lineRule="exact"/>
              <w:jc w:val="center"/>
              <w:rPr>
                <w:rFonts w:hint="default" w:ascii="Times New Roman" w:hAnsi="Times New Roman" w:cs="Times New Roman"/>
                <w:color w:val="auto"/>
                <w:spacing w:val="-2"/>
                <w:sz w:val="24"/>
                <w:szCs w:val="24"/>
                <w:highlight w:val="none"/>
                <w:lang w:val="en-US"/>
              </w:rPr>
            </w:pPr>
            <w:r>
              <w:rPr>
                <w:rFonts w:hint="default" w:ascii="Times New Roman" w:hAnsi="Times New Roman" w:cs="Times New Roman"/>
                <w:color w:val="auto"/>
                <w:spacing w:val="-2"/>
                <w:sz w:val="24"/>
                <w:szCs w:val="24"/>
                <w:highlight w:val="none"/>
                <w:lang w:val="en-US"/>
              </w:rPr>
              <w:t>区域环境质量现状</w:t>
            </w:r>
          </w:p>
        </w:tc>
        <w:tc>
          <w:tcPr>
            <w:tcW w:w="9435" w:type="dxa"/>
            <w:tcBorders>
              <w:left w:val="single" w:color="000000" w:sz="4" w:space="0"/>
            </w:tcBorders>
          </w:tcPr>
          <w:p>
            <w:pPr>
              <w:topLinePunct/>
              <w:spacing w:line="360" w:lineRule="auto"/>
              <w:rPr>
                <w:rFonts w:hint="default" w:ascii="Times New Roman" w:hAnsi="Times New Roman" w:cs="Times New Roman"/>
                <w:b/>
                <w:bCs/>
                <w:color w:val="auto"/>
                <w:sz w:val="24"/>
                <w:szCs w:val="24"/>
                <w:highlight w:val="none"/>
                <w:lang w:val="en-US"/>
              </w:rPr>
            </w:pPr>
            <w:r>
              <w:rPr>
                <w:rFonts w:hint="eastAsia" w:ascii="Times New Roman" w:hAnsi="Times New Roman" w:cs="Times New Roman"/>
                <w:b/>
                <w:bCs/>
                <w:color w:val="auto"/>
                <w:sz w:val="24"/>
                <w:szCs w:val="24"/>
                <w:highlight w:val="none"/>
                <w:lang w:val="en-US" w:eastAsia="zh-CN"/>
              </w:rPr>
              <w:t>一</w:t>
            </w:r>
            <w:r>
              <w:rPr>
                <w:rFonts w:hint="default" w:ascii="Times New Roman" w:hAnsi="Times New Roman" w:cs="Times New Roman"/>
                <w:b/>
                <w:bCs/>
                <w:color w:val="auto"/>
                <w:sz w:val="24"/>
                <w:szCs w:val="24"/>
                <w:highlight w:val="none"/>
                <w:lang w:val="en-US"/>
              </w:rPr>
              <w:t>、环境空气质量现状</w:t>
            </w:r>
          </w:p>
          <w:p>
            <w:pPr>
              <w:adjustRightInd w:val="0"/>
              <w:snapToGrid w:val="0"/>
              <w:spacing w:line="360" w:lineRule="auto"/>
              <w:ind w:firstLine="480" w:firstLineChars="20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1、</w:t>
            </w:r>
            <w:r>
              <w:rPr>
                <w:color w:val="auto"/>
                <w:sz w:val="24"/>
                <w:highlight w:val="none"/>
              </w:rPr>
              <w:t>大气环境质量</w:t>
            </w:r>
            <w:r>
              <w:rPr>
                <w:rFonts w:hint="eastAsia"/>
                <w:color w:val="auto"/>
                <w:sz w:val="24"/>
                <w:highlight w:val="none"/>
              </w:rPr>
              <w:t>达标区判定</w:t>
            </w:r>
          </w:p>
          <w:p>
            <w:pPr>
              <w:pStyle w:val="73"/>
              <w:spacing w:line="500" w:lineRule="exact"/>
              <w:ind w:firstLine="480"/>
              <w:rPr>
                <w:rFonts w:hint="default" w:ascii="Times New Roman" w:hAnsi="Times New Roman" w:eastAsia="宋体"/>
                <w:color w:val="auto"/>
                <w:kern w:val="2"/>
                <w:highlight w:val="none"/>
                <w:lang w:val="en-US" w:eastAsia="zh-CN"/>
              </w:rPr>
            </w:pPr>
            <w:r>
              <w:rPr>
                <w:rFonts w:ascii="Times New Roman" w:hAnsi="Times New Roman"/>
                <w:color w:val="auto"/>
                <w:kern w:val="2"/>
                <w:highlight w:val="none"/>
              </w:rPr>
              <w:t>本项目位于内蒙古自治区鄂尔多斯市</w:t>
            </w:r>
            <w:r>
              <w:rPr>
                <w:rFonts w:hint="eastAsia" w:ascii="Times New Roman" w:hAnsi="Times New Roman"/>
                <w:color w:val="auto"/>
                <w:kern w:val="2"/>
                <w:highlight w:val="none"/>
              </w:rPr>
              <w:t>伊金霍洛旗，</w:t>
            </w:r>
            <w:r>
              <w:rPr>
                <w:rFonts w:ascii="Times New Roman" w:hAnsi="Times New Roman"/>
                <w:color w:val="auto"/>
                <w:kern w:val="2"/>
                <w:highlight w:val="none"/>
              </w:rPr>
              <w:t>202</w:t>
            </w:r>
            <w:r>
              <w:rPr>
                <w:rFonts w:hint="eastAsia" w:ascii="Times New Roman" w:hAnsi="Times New Roman"/>
                <w:color w:val="auto"/>
                <w:kern w:val="2"/>
                <w:highlight w:val="none"/>
                <w:lang w:val="en-US" w:eastAsia="zh-CN"/>
              </w:rPr>
              <w:t>5</w:t>
            </w:r>
            <w:r>
              <w:rPr>
                <w:rFonts w:ascii="Times New Roman" w:hAnsi="Times New Roman"/>
                <w:color w:val="auto"/>
                <w:kern w:val="2"/>
                <w:highlight w:val="none"/>
              </w:rPr>
              <w:t>年6月内蒙古自治区生态环境厅发布了《202</w:t>
            </w:r>
            <w:r>
              <w:rPr>
                <w:rFonts w:hint="eastAsia" w:ascii="Times New Roman" w:hAnsi="Times New Roman"/>
                <w:color w:val="auto"/>
                <w:kern w:val="2"/>
                <w:highlight w:val="none"/>
                <w:lang w:val="en-US" w:eastAsia="zh-CN"/>
              </w:rPr>
              <w:t>4</w:t>
            </w:r>
            <w:r>
              <w:rPr>
                <w:rFonts w:ascii="Times New Roman" w:hAnsi="Times New Roman"/>
                <w:color w:val="auto"/>
                <w:kern w:val="2"/>
                <w:highlight w:val="none"/>
              </w:rPr>
              <w:t xml:space="preserve"> 年内蒙古自治区生态环境状况公报》，报告指出“</w:t>
            </w:r>
            <w:r>
              <w:rPr>
                <w:rFonts w:hint="eastAsia" w:ascii="Times New Roman" w:hAnsi="Times New Roman"/>
                <w:color w:val="auto"/>
                <w:kern w:val="2"/>
                <w:highlight w:val="none"/>
              </w:rPr>
              <w:t>2024年，全区环境空气六项污染物年均浓度均达标。</w:t>
            </w:r>
            <w:r>
              <w:rPr>
                <w:rFonts w:ascii="Times New Roman" w:hAnsi="Times New Roman"/>
                <w:color w:val="auto"/>
                <w:kern w:val="2"/>
                <w:highlight w:val="none"/>
              </w:rPr>
              <w:t>”</w:t>
            </w:r>
            <w:r>
              <w:rPr>
                <w:rFonts w:hint="eastAsia" w:ascii="Times New Roman" w:hAnsi="Times New Roman"/>
                <w:color w:val="auto"/>
                <w:kern w:val="2"/>
                <w:highlight w:val="none"/>
                <w:lang w:val="en-US" w:eastAsia="zh-CN"/>
              </w:rPr>
              <w:t>因此，本项目位于环境空气质量达标区。</w:t>
            </w:r>
          </w:p>
          <w:p>
            <w:pPr>
              <w:pStyle w:val="73"/>
              <w:spacing w:line="500" w:lineRule="exact"/>
              <w:ind w:firstLine="480"/>
              <w:rPr>
                <w:rFonts w:ascii="Times New Roman" w:hAnsi="Times New Roman"/>
                <w:color w:val="auto"/>
                <w:highlight w:val="none"/>
              </w:rPr>
            </w:pPr>
            <w:r>
              <w:rPr>
                <w:rFonts w:ascii="Times New Roman" w:hAnsi="Times New Roman"/>
                <w:color w:val="auto"/>
                <w:kern w:val="2"/>
                <w:highlight w:val="none"/>
              </w:rPr>
              <w:t>根据生态环境部数据服务平台—环境空气质量模型技术支持服务系统（http://cloud.lem.org.cn/）发布的202</w:t>
            </w:r>
            <w:r>
              <w:rPr>
                <w:rFonts w:hint="eastAsia" w:ascii="Times New Roman" w:hAnsi="Times New Roman"/>
                <w:color w:val="auto"/>
                <w:kern w:val="2"/>
                <w:highlight w:val="none"/>
                <w:lang w:val="en-US" w:eastAsia="zh-CN"/>
              </w:rPr>
              <w:t>4</w:t>
            </w:r>
            <w:r>
              <w:rPr>
                <w:rFonts w:ascii="Times New Roman" w:hAnsi="Times New Roman"/>
                <w:color w:val="auto"/>
                <w:kern w:val="2"/>
                <w:highlight w:val="none"/>
              </w:rPr>
              <w:t>年统计数据显示：</w:t>
            </w:r>
            <w:r>
              <w:rPr>
                <w:rFonts w:hint="eastAsia" w:ascii="Times New Roman" w:hAnsi="Times New Roman"/>
                <w:color w:val="auto"/>
                <w:kern w:val="2"/>
                <w:highlight w:val="none"/>
              </w:rPr>
              <w:t>鄂尔多斯市2024年</w:t>
            </w:r>
            <w:r>
              <w:rPr>
                <w:rFonts w:ascii="Times New Roman" w:hAnsi="Times New Roman"/>
                <w:color w:val="auto"/>
                <w:kern w:val="2"/>
                <w:highlight w:val="none"/>
              </w:rPr>
              <w:t>SO</w:t>
            </w:r>
            <w:r>
              <w:rPr>
                <w:rFonts w:ascii="Times New Roman" w:hAnsi="Times New Roman"/>
                <w:color w:val="auto"/>
                <w:kern w:val="2"/>
                <w:highlight w:val="none"/>
                <w:vertAlign w:val="subscript"/>
              </w:rPr>
              <w:t>2</w:t>
            </w:r>
            <w:r>
              <w:rPr>
                <w:rFonts w:ascii="Times New Roman" w:hAnsi="Times New Roman"/>
                <w:color w:val="auto"/>
                <w:kern w:val="2"/>
                <w:highlight w:val="none"/>
              </w:rPr>
              <w:t>、NO</w:t>
            </w:r>
            <w:r>
              <w:rPr>
                <w:rFonts w:ascii="Times New Roman" w:hAnsi="Times New Roman"/>
                <w:color w:val="auto"/>
                <w:kern w:val="2"/>
                <w:highlight w:val="none"/>
                <w:vertAlign w:val="subscript"/>
              </w:rPr>
              <w:t>2</w:t>
            </w:r>
            <w:r>
              <w:rPr>
                <w:rFonts w:ascii="Times New Roman" w:hAnsi="Times New Roman"/>
                <w:color w:val="auto"/>
                <w:kern w:val="2"/>
                <w:highlight w:val="none"/>
              </w:rPr>
              <w:t>、PM</w:t>
            </w:r>
            <w:r>
              <w:rPr>
                <w:rFonts w:ascii="Times New Roman" w:hAnsi="Times New Roman"/>
                <w:color w:val="auto"/>
                <w:kern w:val="2"/>
                <w:highlight w:val="none"/>
                <w:vertAlign w:val="subscript"/>
              </w:rPr>
              <w:t>10</w:t>
            </w:r>
            <w:r>
              <w:rPr>
                <w:rFonts w:ascii="Times New Roman" w:hAnsi="Times New Roman"/>
                <w:color w:val="auto"/>
                <w:kern w:val="2"/>
                <w:highlight w:val="none"/>
              </w:rPr>
              <w:t>、PM</w:t>
            </w:r>
            <w:r>
              <w:rPr>
                <w:rFonts w:ascii="Times New Roman" w:hAnsi="Times New Roman"/>
                <w:color w:val="auto"/>
                <w:kern w:val="2"/>
                <w:highlight w:val="none"/>
                <w:vertAlign w:val="subscript"/>
              </w:rPr>
              <w:t>2.5</w:t>
            </w:r>
            <w:r>
              <w:rPr>
                <w:rFonts w:hint="eastAsia" w:ascii="Times New Roman" w:hAnsi="Times New Roman"/>
                <w:color w:val="auto"/>
                <w:kern w:val="2"/>
                <w:highlight w:val="none"/>
              </w:rPr>
              <w:t>年均浓度分别为9</w:t>
            </w:r>
            <w:r>
              <w:rPr>
                <w:rFonts w:hint="eastAsia" w:ascii="Times New Roman" w:hAnsi="Times New Roman"/>
                <w:color w:val="auto"/>
                <w:kern w:val="2"/>
                <w:highlight w:val="none"/>
                <w:lang w:eastAsia="zh-CN"/>
              </w:rPr>
              <w:t>μg/m3</w:t>
            </w:r>
            <w:r>
              <w:rPr>
                <w:rFonts w:hint="eastAsia" w:ascii="Times New Roman" w:hAnsi="Times New Roman"/>
                <w:color w:val="auto"/>
                <w:kern w:val="2"/>
                <w:highlight w:val="none"/>
              </w:rPr>
              <w:t xml:space="preserve">、24 </w:t>
            </w:r>
            <w:r>
              <w:rPr>
                <w:rFonts w:hint="eastAsia" w:ascii="Times New Roman" w:hAnsi="Times New Roman"/>
                <w:color w:val="auto"/>
                <w:kern w:val="2"/>
                <w:highlight w:val="none"/>
                <w:lang w:eastAsia="zh-CN"/>
              </w:rPr>
              <w:t>μg/m3</w:t>
            </w:r>
            <w:r>
              <w:rPr>
                <w:rFonts w:hint="eastAsia" w:ascii="Times New Roman" w:hAnsi="Times New Roman"/>
                <w:color w:val="auto"/>
                <w:kern w:val="2"/>
                <w:highlight w:val="none"/>
              </w:rPr>
              <w:t xml:space="preserve">、55 </w:t>
            </w:r>
            <w:r>
              <w:rPr>
                <w:rFonts w:hint="eastAsia" w:ascii="Times New Roman" w:hAnsi="Times New Roman"/>
                <w:color w:val="auto"/>
                <w:kern w:val="2"/>
                <w:highlight w:val="none"/>
                <w:lang w:eastAsia="zh-CN"/>
              </w:rPr>
              <w:t>μg/m3</w:t>
            </w:r>
            <w:r>
              <w:rPr>
                <w:rFonts w:hint="eastAsia" w:ascii="Times New Roman" w:hAnsi="Times New Roman"/>
                <w:color w:val="auto"/>
                <w:kern w:val="2"/>
                <w:highlight w:val="none"/>
              </w:rPr>
              <w:t xml:space="preserve">、22 </w:t>
            </w:r>
            <w:r>
              <w:rPr>
                <w:rFonts w:hint="eastAsia" w:ascii="Times New Roman" w:hAnsi="Times New Roman"/>
                <w:color w:val="auto"/>
                <w:kern w:val="2"/>
                <w:highlight w:val="none"/>
                <w:lang w:eastAsia="zh-CN"/>
              </w:rPr>
              <w:t>μg/m3</w:t>
            </w:r>
            <w:r>
              <w:rPr>
                <w:rFonts w:hint="eastAsia" w:ascii="Times New Roman" w:hAnsi="Times New Roman"/>
                <w:color w:val="auto"/>
                <w:kern w:val="2"/>
                <w:highlight w:val="none"/>
              </w:rPr>
              <w:t>；CO24小时平均第95百分位数为0.8mg/m</w:t>
            </w:r>
            <w:r>
              <w:rPr>
                <w:rFonts w:hint="eastAsia" w:ascii="Times New Roman" w:hAnsi="Times New Roman"/>
                <w:color w:val="auto"/>
                <w:kern w:val="2"/>
                <w:highlight w:val="none"/>
                <w:vertAlign w:val="superscript"/>
              </w:rPr>
              <w:t>3</w:t>
            </w:r>
            <w:r>
              <w:rPr>
                <w:rFonts w:hint="eastAsia" w:ascii="Times New Roman" w:hAnsi="Times New Roman"/>
                <w:color w:val="auto"/>
                <w:kern w:val="2"/>
                <w:highlight w:val="none"/>
              </w:rPr>
              <w:t>，O</w:t>
            </w:r>
            <w:r>
              <w:rPr>
                <w:rFonts w:hint="eastAsia" w:ascii="Times New Roman" w:hAnsi="Times New Roman"/>
                <w:color w:val="auto"/>
                <w:kern w:val="2"/>
                <w:highlight w:val="none"/>
                <w:vertAlign w:val="subscript"/>
              </w:rPr>
              <w:t>3</w:t>
            </w:r>
            <w:r>
              <w:rPr>
                <w:rFonts w:hint="eastAsia" w:ascii="Times New Roman" w:hAnsi="Times New Roman"/>
                <w:color w:val="auto"/>
                <w:kern w:val="2"/>
                <w:highlight w:val="none"/>
              </w:rPr>
              <w:t xml:space="preserve">日最大8小时平均第90百分位数为154 </w:t>
            </w:r>
            <w:r>
              <w:rPr>
                <w:rFonts w:hint="eastAsia" w:ascii="Times New Roman" w:hAnsi="Times New Roman"/>
                <w:color w:val="auto"/>
                <w:kern w:val="2"/>
                <w:highlight w:val="none"/>
                <w:lang w:eastAsia="zh-CN"/>
              </w:rPr>
              <w:t>μg/m3</w:t>
            </w:r>
            <w:r>
              <w:rPr>
                <w:rFonts w:hint="eastAsia" w:ascii="Times New Roman" w:hAnsi="Times New Roman"/>
                <w:color w:val="auto"/>
                <w:kern w:val="2"/>
                <w:highlight w:val="none"/>
              </w:rPr>
              <w:t>；各污染物平均浓度均优于《环境空气质量标准》（GB3095-2012）中二级标准限值，</w:t>
            </w:r>
            <w:r>
              <w:rPr>
                <w:color w:val="auto"/>
                <w:highlight w:val="none"/>
              </w:rPr>
              <w:t>区域空气质量现状评价见</w:t>
            </w:r>
            <w:r>
              <w:rPr>
                <w:rFonts w:ascii="Times New Roman" w:hAnsi="Times New Roman"/>
                <w:color w:val="auto"/>
                <w:highlight w:val="none"/>
              </w:rPr>
              <w:t>表</w:t>
            </w:r>
            <w:r>
              <w:rPr>
                <w:rFonts w:hint="eastAsia" w:ascii="Times New Roman" w:hAnsi="Times New Roman"/>
                <w:color w:val="auto"/>
                <w:highlight w:val="none"/>
              </w:rPr>
              <w:t>4.2-1</w:t>
            </w:r>
            <w:r>
              <w:rPr>
                <w:rFonts w:ascii="Times New Roman" w:hAnsi="Times New Roman"/>
                <w:color w:val="auto"/>
                <w:highlight w:val="none"/>
              </w:rPr>
              <w:t>。</w:t>
            </w:r>
          </w:p>
          <w:p>
            <w:pPr>
              <w:spacing w:line="500" w:lineRule="exact"/>
              <w:jc w:val="cente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表</w:t>
            </w:r>
            <w:r>
              <w:rPr>
                <w:rFonts w:hint="eastAsia" w:ascii="Times New Roman" w:hAnsi="Times New Roman" w:cs="Times New Roman" w:eastAsiaTheme="minorEastAsia"/>
                <w:b/>
                <w:bCs/>
                <w:color w:val="auto"/>
                <w:sz w:val="24"/>
                <w:highlight w:val="none"/>
                <w:lang w:val="en-US" w:eastAsia="zh-CN"/>
              </w:rPr>
              <w:t>3</w:t>
            </w:r>
            <w:r>
              <w:rPr>
                <w:rFonts w:hint="default" w:ascii="Times New Roman" w:hAnsi="Times New Roman" w:cs="Times New Roman" w:eastAsiaTheme="minorEastAsia"/>
                <w:b/>
                <w:bCs/>
                <w:color w:val="auto"/>
                <w:sz w:val="24"/>
                <w:highlight w:val="none"/>
              </w:rPr>
              <w:t>-1  区域空气质量现状评价表</w:t>
            </w:r>
          </w:p>
          <w:tbl>
            <w:tblPr>
              <w:tblStyle w:val="22"/>
              <w:tblW w:w="4973"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57" w:type="dxa"/>
                <w:bottom w:w="0" w:type="dxa"/>
                <w:right w:w="57" w:type="dxa"/>
              </w:tblCellMar>
            </w:tblPr>
            <w:tblGrid>
              <w:gridCol w:w="1066"/>
              <w:gridCol w:w="2669"/>
              <w:gridCol w:w="1453"/>
              <w:gridCol w:w="1532"/>
              <w:gridCol w:w="1448"/>
              <w:gridCol w:w="118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737" w:hRule="atLeast"/>
                <w:jc w:val="center"/>
              </w:trPr>
              <w:tc>
                <w:tcPr>
                  <w:tcW w:w="570"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w:t>
                  </w:r>
                </w:p>
              </w:tc>
              <w:tc>
                <w:tcPr>
                  <w:tcW w:w="1427"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年评价指标</w:t>
                  </w:r>
                </w:p>
              </w:tc>
              <w:tc>
                <w:tcPr>
                  <w:tcW w:w="777"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现状浓度（μg/m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p>
              </w:tc>
              <w:tc>
                <w:tcPr>
                  <w:tcW w:w="819"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标准值（μg/m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p>
              </w:tc>
              <w:tc>
                <w:tcPr>
                  <w:tcW w:w="774"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占标率/%</w:t>
                  </w:r>
                </w:p>
              </w:tc>
              <w:tc>
                <w:tcPr>
                  <w:tcW w:w="631"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06" w:hRule="atLeast"/>
                <w:jc w:val="center"/>
              </w:trPr>
              <w:tc>
                <w:tcPr>
                  <w:tcW w:w="570"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SO</w:t>
                  </w:r>
                  <w:r>
                    <w:rPr>
                      <w:rFonts w:hint="default" w:ascii="Times New Roman" w:hAnsi="Times New Roman" w:cs="Times New Roman"/>
                      <w:color w:val="auto"/>
                      <w:sz w:val="21"/>
                      <w:szCs w:val="21"/>
                      <w:highlight w:val="none"/>
                      <w:vertAlign w:val="subscript"/>
                    </w:rPr>
                    <w:t>2</w:t>
                  </w:r>
                </w:p>
              </w:tc>
              <w:tc>
                <w:tcPr>
                  <w:tcW w:w="1427"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年平均质量浓度</w:t>
                  </w:r>
                </w:p>
              </w:tc>
              <w:tc>
                <w:tcPr>
                  <w:tcW w:w="777"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9</w:t>
                  </w:r>
                </w:p>
              </w:tc>
              <w:tc>
                <w:tcPr>
                  <w:tcW w:w="819"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w:t>
                  </w:r>
                </w:p>
              </w:tc>
              <w:tc>
                <w:tcPr>
                  <w:tcW w:w="774"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631"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06" w:hRule="atLeast"/>
                <w:jc w:val="center"/>
              </w:trPr>
              <w:tc>
                <w:tcPr>
                  <w:tcW w:w="570"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NO</w:t>
                  </w:r>
                  <w:r>
                    <w:rPr>
                      <w:rFonts w:hint="default" w:ascii="Times New Roman" w:hAnsi="Times New Roman" w:cs="Times New Roman"/>
                      <w:color w:val="auto"/>
                      <w:sz w:val="21"/>
                      <w:szCs w:val="21"/>
                      <w:highlight w:val="none"/>
                      <w:vertAlign w:val="subscript"/>
                    </w:rPr>
                    <w:t>2</w:t>
                  </w:r>
                </w:p>
              </w:tc>
              <w:tc>
                <w:tcPr>
                  <w:tcW w:w="1427"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年平均质量浓度</w:t>
                  </w:r>
                </w:p>
              </w:tc>
              <w:tc>
                <w:tcPr>
                  <w:tcW w:w="777"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24</w:t>
                  </w:r>
                </w:p>
              </w:tc>
              <w:tc>
                <w:tcPr>
                  <w:tcW w:w="819"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p>
              </w:tc>
              <w:tc>
                <w:tcPr>
                  <w:tcW w:w="774"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60</w:t>
                  </w:r>
                </w:p>
              </w:tc>
              <w:tc>
                <w:tcPr>
                  <w:tcW w:w="631"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06" w:hRule="atLeast"/>
                <w:jc w:val="center"/>
              </w:trPr>
              <w:tc>
                <w:tcPr>
                  <w:tcW w:w="570"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PM</w:t>
                  </w:r>
                  <w:r>
                    <w:rPr>
                      <w:rFonts w:hint="default" w:ascii="Times New Roman" w:hAnsi="Times New Roman" w:cs="Times New Roman"/>
                      <w:color w:val="auto"/>
                      <w:sz w:val="21"/>
                      <w:szCs w:val="21"/>
                      <w:highlight w:val="none"/>
                      <w:vertAlign w:val="subscript"/>
                    </w:rPr>
                    <w:t>10</w:t>
                  </w:r>
                </w:p>
              </w:tc>
              <w:tc>
                <w:tcPr>
                  <w:tcW w:w="1427"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年平均质量浓度</w:t>
                  </w:r>
                </w:p>
              </w:tc>
              <w:tc>
                <w:tcPr>
                  <w:tcW w:w="777"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55</w:t>
                  </w:r>
                </w:p>
              </w:tc>
              <w:tc>
                <w:tcPr>
                  <w:tcW w:w="819"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w:t>
                  </w:r>
                </w:p>
              </w:tc>
              <w:tc>
                <w:tcPr>
                  <w:tcW w:w="774"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78.57</w:t>
                  </w:r>
                </w:p>
              </w:tc>
              <w:tc>
                <w:tcPr>
                  <w:tcW w:w="631"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06" w:hRule="atLeast"/>
                <w:jc w:val="center"/>
              </w:trPr>
              <w:tc>
                <w:tcPr>
                  <w:tcW w:w="570"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PM</w:t>
                  </w:r>
                  <w:r>
                    <w:rPr>
                      <w:rFonts w:hint="default" w:ascii="Times New Roman" w:hAnsi="Times New Roman" w:cs="Times New Roman"/>
                      <w:color w:val="auto"/>
                      <w:sz w:val="21"/>
                      <w:szCs w:val="21"/>
                      <w:highlight w:val="none"/>
                      <w:vertAlign w:val="subscript"/>
                    </w:rPr>
                    <w:t>2.5</w:t>
                  </w:r>
                </w:p>
              </w:tc>
              <w:tc>
                <w:tcPr>
                  <w:tcW w:w="1427"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年平均质量浓度</w:t>
                  </w:r>
                </w:p>
              </w:tc>
              <w:tc>
                <w:tcPr>
                  <w:tcW w:w="777"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22</w:t>
                  </w:r>
                </w:p>
              </w:tc>
              <w:tc>
                <w:tcPr>
                  <w:tcW w:w="819"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35</w:t>
                  </w:r>
                </w:p>
              </w:tc>
              <w:tc>
                <w:tcPr>
                  <w:tcW w:w="774"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62.86</w:t>
                  </w:r>
                </w:p>
              </w:tc>
              <w:tc>
                <w:tcPr>
                  <w:tcW w:w="631"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06" w:hRule="atLeast"/>
                <w:jc w:val="center"/>
              </w:trPr>
              <w:tc>
                <w:tcPr>
                  <w:tcW w:w="570"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O</w:t>
                  </w:r>
                  <w:r>
                    <w:rPr>
                      <w:rFonts w:hint="default" w:ascii="Times New Roman" w:hAnsi="Times New Roman" w:cs="Times New Roman"/>
                      <w:color w:val="auto"/>
                      <w:sz w:val="21"/>
                      <w:szCs w:val="21"/>
                      <w:highlight w:val="none"/>
                      <w:vertAlign w:val="subscript"/>
                    </w:rPr>
                    <w:t>3</w:t>
                  </w:r>
                </w:p>
              </w:tc>
              <w:tc>
                <w:tcPr>
                  <w:tcW w:w="1427" w:type="pct"/>
                  <w:tcBorders>
                    <w:tl2br w:val="nil"/>
                    <w:tr2bl w:val="nil"/>
                  </w:tcBorders>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8小时平均质量浓度</w:t>
                  </w:r>
                </w:p>
              </w:tc>
              <w:tc>
                <w:tcPr>
                  <w:tcW w:w="777"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154</w:t>
                  </w:r>
                </w:p>
              </w:tc>
              <w:tc>
                <w:tcPr>
                  <w:tcW w:w="819"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160</w:t>
                  </w:r>
                </w:p>
              </w:tc>
              <w:tc>
                <w:tcPr>
                  <w:tcW w:w="774"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96.25</w:t>
                  </w:r>
                </w:p>
              </w:tc>
              <w:tc>
                <w:tcPr>
                  <w:tcW w:w="631"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54" w:hRule="atLeast"/>
                <w:jc w:val="center"/>
              </w:trPr>
              <w:tc>
                <w:tcPr>
                  <w:tcW w:w="570"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CO</w:t>
                  </w:r>
                </w:p>
              </w:tc>
              <w:tc>
                <w:tcPr>
                  <w:tcW w:w="1427"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第95百分位数日平均</w:t>
                  </w:r>
                </w:p>
              </w:tc>
              <w:tc>
                <w:tcPr>
                  <w:tcW w:w="777"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0.8</w:t>
                  </w: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819"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4mg/m</w:t>
                  </w:r>
                  <w:r>
                    <w:rPr>
                      <w:rFonts w:hint="default" w:ascii="Times New Roman" w:hAnsi="Times New Roman" w:cs="Times New Roman"/>
                      <w:color w:val="auto"/>
                      <w:sz w:val="21"/>
                      <w:szCs w:val="21"/>
                      <w:highlight w:val="none"/>
                      <w:vertAlign w:val="superscript"/>
                    </w:rPr>
                    <w:t>3</w:t>
                  </w:r>
                </w:p>
              </w:tc>
              <w:tc>
                <w:tcPr>
                  <w:tcW w:w="774" w:type="pct"/>
                  <w:tcBorders>
                    <w:tl2br w:val="nil"/>
                    <w:tr2bl w:val="nil"/>
                  </w:tcBorders>
                  <w:noWrap w:val="0"/>
                  <w:vAlign w:val="center"/>
                </w:tcPr>
                <w:p>
                  <w:pPr>
                    <w:widowControl/>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w:t>
                  </w:r>
                </w:p>
              </w:tc>
              <w:tc>
                <w:tcPr>
                  <w:tcW w:w="631" w:type="pct"/>
                  <w:tcBorders>
                    <w:tl2br w:val="nil"/>
                    <w:tr2bl w:val="nil"/>
                  </w:tcBorders>
                  <w:noWrap w:val="0"/>
                  <w:vAlign w:val="center"/>
                </w:tcPr>
                <w:p>
                  <w:pPr>
                    <w:widowControl/>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bl>
          <w:p>
            <w:pPr>
              <w:spacing w:line="360" w:lineRule="auto"/>
              <w:ind w:firstLine="440" w:firstLineChars="200"/>
              <w:rPr>
                <w:rFonts w:hint="default" w:ascii="Times New Roman" w:hAnsi="Times New Roman" w:cs="Times New Roman"/>
                <w:color w:val="auto"/>
                <w:sz w:val="24"/>
                <w:szCs w:val="24"/>
                <w:highlight w:val="none"/>
              </w:rPr>
            </w:pPr>
            <w:r>
              <w:rPr>
                <w:rFonts w:ascii="Times New Roman" w:hAnsi="Times New Roman"/>
                <w:bCs/>
                <w:color w:val="auto"/>
                <w:kern w:val="2"/>
                <w:highlight w:val="none"/>
              </w:rPr>
              <w:t>由上表可知，鄂尔多斯市中心城区六项基本污染物年平均浓度均低于《环境空气质量标准》（GB3095-2012）及其修改单二级标准浓度限值要求。</w:t>
            </w:r>
          </w:p>
          <w:p>
            <w:pPr>
              <w:spacing w:line="360" w:lineRule="auto"/>
              <w:ind w:firstLine="480" w:firstLineChars="200"/>
              <w:rPr>
                <w:rFonts w:hint="eastAsia" w:ascii="Times New Roman" w:hAnsi="Times New Roman" w:cs="Times New Roman"/>
                <w:b w:val="0"/>
                <w:bCs w:val="0"/>
                <w:color w:val="auto"/>
                <w:sz w:val="24"/>
                <w:szCs w:val="24"/>
                <w:highlight w:val="none"/>
                <w:lang w:eastAsia="zh-CN"/>
              </w:rPr>
            </w:pPr>
            <w:r>
              <w:rPr>
                <w:rFonts w:hint="default" w:ascii="Times New Roman" w:hAnsi="Times New Roman" w:cs="Times New Roman"/>
                <w:b w:val="0"/>
                <w:bCs w:val="0"/>
                <w:color w:val="auto"/>
                <w:kern w:val="0"/>
                <w:sz w:val="24"/>
                <w:szCs w:val="20"/>
                <w:highlight w:val="none"/>
                <w:lang w:val="en-US"/>
              </w:rPr>
              <w:t>2、</w:t>
            </w:r>
            <w:r>
              <w:rPr>
                <w:rFonts w:hint="eastAsia" w:ascii="Times New Roman" w:hAnsi="Times New Roman" w:cs="Times New Roman"/>
                <w:b w:val="0"/>
                <w:bCs w:val="0"/>
                <w:color w:val="auto"/>
                <w:kern w:val="0"/>
                <w:sz w:val="24"/>
                <w:szCs w:val="20"/>
                <w:highlight w:val="none"/>
                <w:lang w:val="en-US" w:eastAsia="zh-CN"/>
              </w:rPr>
              <w:t>其他</w:t>
            </w:r>
            <w:r>
              <w:rPr>
                <w:b w:val="0"/>
                <w:bCs w:val="0"/>
                <w:color w:val="auto"/>
                <w:kern w:val="0"/>
                <w:sz w:val="24"/>
                <w:szCs w:val="20"/>
                <w:highlight w:val="none"/>
                <w:lang w:val="en-US"/>
              </w:rPr>
              <w:t>污染物</w:t>
            </w:r>
          </w:p>
          <w:p>
            <w:pPr>
              <w:spacing w:line="360" w:lineRule="auto"/>
              <w:ind w:firstLine="480" w:firstLineChars="200"/>
              <w:jc w:val="left"/>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eastAsia="zh-CN"/>
              </w:rPr>
              <w:t>本次评价在项目</w:t>
            </w:r>
            <w:r>
              <w:rPr>
                <w:rFonts w:hint="eastAsia" w:ascii="Times New Roman" w:hAnsi="Times New Roman" w:cs="Times New Roman"/>
                <w:b w:val="0"/>
                <w:bCs w:val="0"/>
                <w:color w:val="auto"/>
                <w:sz w:val="24"/>
                <w:szCs w:val="24"/>
                <w:highlight w:val="none"/>
                <w:lang w:val="en-US" w:eastAsia="zh-CN"/>
              </w:rPr>
              <w:t>区外下风向50m处设置1个点，选取TSP作为监测因子，监测小时值，建设单位委托内蒙古绿研环保科技有限公司于2025年6月29日—2025年7月1日连续监测3天。</w:t>
            </w:r>
          </w:p>
          <w:p>
            <w:pPr>
              <w:spacing w:line="360" w:lineRule="auto"/>
              <w:ind w:firstLine="480" w:firstLineChars="200"/>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监测结果见下表。</w:t>
            </w:r>
          </w:p>
          <w:p>
            <w:pPr>
              <w:spacing w:line="240" w:lineRule="auto"/>
              <w:ind w:firstLine="481" w:firstLineChars="200"/>
              <w:jc w:val="center"/>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表3-2  大气环境（TSP）现状监测结果表</w:t>
            </w:r>
          </w:p>
          <w:tbl>
            <w:tblPr>
              <w:tblStyle w:val="22"/>
              <w:tblW w:w="493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616"/>
              <w:gridCol w:w="1707"/>
              <w:gridCol w:w="1915"/>
              <w:gridCol w:w="1480"/>
              <w:gridCol w:w="1356"/>
              <w:gridCol w:w="122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8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检测项目</w:t>
                  </w:r>
                </w:p>
              </w:tc>
              <w:tc>
                <w:tcPr>
                  <w:tcW w:w="9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总悬浮颗粒物</w:t>
                  </w:r>
                </w:p>
              </w:tc>
              <w:tc>
                <w:tcPr>
                  <w:tcW w:w="10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测定时间</w:t>
                  </w:r>
                </w:p>
              </w:tc>
              <w:tc>
                <w:tcPr>
                  <w:tcW w:w="2181" w:type="pct"/>
                  <w:gridSpan w:val="3"/>
                  <w:tcBorders>
                    <w:tl2br w:val="nil"/>
                    <w:tr2bl w:val="nil"/>
                  </w:tcBorders>
                  <w:noWrap w:val="0"/>
                  <w:vAlign w:val="center"/>
                </w:tcPr>
                <w:p>
                  <w:pPr>
                    <w:spacing w:line="320" w:lineRule="exact"/>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2025.07.03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8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采样日期</w:t>
                  </w:r>
                </w:p>
              </w:tc>
              <w:tc>
                <w:tcPr>
                  <w:tcW w:w="9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检测点位</w:t>
                  </w:r>
                </w:p>
              </w:tc>
              <w:tc>
                <w:tcPr>
                  <w:tcW w:w="10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采样时间</w:t>
                  </w:r>
                </w:p>
              </w:tc>
              <w:tc>
                <w:tcPr>
                  <w:tcW w:w="7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检测结果（</w:t>
                  </w:r>
                  <w:r>
                    <w:rPr>
                      <w:rFonts w:hint="default" w:ascii="Times New Roman" w:hAnsi="Times New Roman" w:cs="Times New Roman" w:eastAsiaTheme="minorEastAsia"/>
                      <w:b w:val="0"/>
                      <w:bCs w:val="0"/>
                      <w:color w:val="auto"/>
                      <w:sz w:val="21"/>
                      <w:szCs w:val="21"/>
                      <w:highlight w:val="none"/>
                      <w:lang w:val="en-US" w:eastAsia="zh-CN"/>
                    </w:rPr>
                    <w:t>μg/m</w:t>
                  </w:r>
                  <w:r>
                    <w:rPr>
                      <w:rFonts w:hint="default" w:ascii="Times New Roman" w:hAnsi="Times New Roman" w:cs="Times New Roman" w:eastAsiaTheme="minorEastAsia"/>
                      <w:b w:val="0"/>
                      <w:bCs w:val="0"/>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val="en-US" w:eastAsia="zh-CN"/>
                    </w:rPr>
                    <w:t>）</w:t>
                  </w:r>
                </w:p>
              </w:tc>
              <w:tc>
                <w:tcPr>
                  <w:tcW w:w="7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标准限值（</w:t>
                  </w:r>
                  <w:r>
                    <w:rPr>
                      <w:rFonts w:hint="default" w:ascii="Times New Roman" w:hAnsi="Times New Roman" w:cs="Times New Roman" w:eastAsiaTheme="minorEastAsia"/>
                      <w:b w:val="0"/>
                      <w:bCs w:val="0"/>
                      <w:color w:val="auto"/>
                      <w:sz w:val="21"/>
                      <w:szCs w:val="21"/>
                      <w:highlight w:val="none"/>
                      <w:lang w:val="en-US" w:eastAsia="zh-CN"/>
                    </w:rPr>
                    <w:t>μg/m</w:t>
                  </w:r>
                  <w:r>
                    <w:rPr>
                      <w:rFonts w:hint="default" w:ascii="Times New Roman" w:hAnsi="Times New Roman" w:cs="Times New Roman" w:eastAsiaTheme="minorEastAsia"/>
                      <w:b w:val="0"/>
                      <w:bCs w:val="0"/>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val="en-US" w:eastAsia="zh-CN"/>
                    </w:rPr>
                    <w:t>）</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是否达标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869" w:type="pc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b w:val="0"/>
                      <w:bCs/>
                      <w:i w:val="0"/>
                      <w:iCs w:val="0"/>
                      <w:color w:val="auto"/>
                      <w:kern w:val="2"/>
                      <w:sz w:val="21"/>
                      <w:szCs w:val="21"/>
                      <w:highlight w:val="none"/>
                      <w:vertAlign w:val="baseline"/>
                      <w:lang w:val="en-US" w:eastAsia="zh-CN" w:bidi="ar-SA"/>
                    </w:rPr>
                    <w:t>2025.06.29</w:t>
                  </w:r>
                </w:p>
              </w:tc>
              <w:tc>
                <w:tcPr>
                  <w:tcW w:w="91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项目区外</w:t>
                  </w:r>
                </w:p>
              </w:tc>
              <w:tc>
                <w:tcPr>
                  <w:tcW w:w="10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00:00-00:00</w:t>
                  </w:r>
                </w:p>
              </w:tc>
              <w:tc>
                <w:tcPr>
                  <w:tcW w:w="7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183</w:t>
                  </w:r>
                </w:p>
              </w:tc>
              <w:tc>
                <w:tcPr>
                  <w:tcW w:w="72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300</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869" w:type="pc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b w:val="0"/>
                      <w:bCs/>
                      <w:i w:val="0"/>
                      <w:iCs w:val="0"/>
                      <w:color w:val="auto"/>
                      <w:kern w:val="2"/>
                      <w:sz w:val="21"/>
                      <w:szCs w:val="21"/>
                      <w:highlight w:val="none"/>
                      <w:vertAlign w:val="baseline"/>
                      <w:lang w:val="en-US" w:eastAsia="zh-CN" w:bidi="ar-SA"/>
                    </w:rPr>
                    <w:t>2025.06.30</w:t>
                  </w:r>
                </w:p>
              </w:tc>
              <w:tc>
                <w:tcPr>
                  <w:tcW w:w="9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p>
              </w:tc>
              <w:tc>
                <w:tcPr>
                  <w:tcW w:w="10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00:03-00:03</w:t>
                  </w:r>
                </w:p>
              </w:tc>
              <w:tc>
                <w:tcPr>
                  <w:tcW w:w="7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164</w:t>
                  </w:r>
                </w:p>
              </w:tc>
              <w:tc>
                <w:tcPr>
                  <w:tcW w:w="72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3" w:hRule="atLeast"/>
                <w:jc w:val="center"/>
              </w:trPr>
              <w:tc>
                <w:tcPr>
                  <w:tcW w:w="869" w:type="pct"/>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b w:val="0"/>
                      <w:bCs/>
                      <w:i w:val="0"/>
                      <w:iCs w:val="0"/>
                      <w:color w:val="auto"/>
                      <w:kern w:val="2"/>
                      <w:sz w:val="21"/>
                      <w:szCs w:val="21"/>
                      <w:highlight w:val="none"/>
                      <w:vertAlign w:val="baseline"/>
                      <w:lang w:val="en-US" w:eastAsia="zh-CN" w:bidi="ar-SA"/>
                    </w:rPr>
                    <w:t>2025.07.01</w:t>
                  </w:r>
                </w:p>
              </w:tc>
              <w:tc>
                <w:tcPr>
                  <w:tcW w:w="9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p>
              </w:tc>
              <w:tc>
                <w:tcPr>
                  <w:tcW w:w="10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00:06-00:06</w:t>
                  </w:r>
                </w:p>
              </w:tc>
              <w:tc>
                <w:tcPr>
                  <w:tcW w:w="7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179</w:t>
                  </w:r>
                </w:p>
              </w:tc>
              <w:tc>
                <w:tcPr>
                  <w:tcW w:w="72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9" w:hRule="atLeast"/>
                <w:jc w:val="center"/>
              </w:trPr>
              <w:tc>
                <w:tcPr>
                  <w:tcW w:w="8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备注</w:t>
                  </w:r>
                </w:p>
              </w:tc>
              <w:tc>
                <w:tcPr>
                  <w:tcW w:w="4130"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参考《环境空气质量标准》（GB 3095-2012）二级标准限值要求。</w:t>
                  </w:r>
                </w:p>
              </w:tc>
            </w:tr>
          </w:tbl>
          <w:p>
            <w:pPr>
              <w:pStyle w:val="6"/>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firstLineChars="200"/>
              <w:jc w:val="both"/>
              <w:textAlignment w:val="auto"/>
              <w:rPr>
                <w:rFonts w:hint="eastAsia" w:ascii="Times New Roman" w:hAnsi="Times New Roman" w:cs="Times New Roman"/>
                <w:b w:val="0"/>
                <w:bCs w:val="0"/>
                <w:color w:val="auto"/>
                <w:sz w:val="24"/>
                <w:szCs w:val="24"/>
                <w:highlight w:val="none"/>
                <w:lang w:eastAsia="zh-CN"/>
              </w:rPr>
            </w:pPr>
            <w:r>
              <w:rPr>
                <w:rFonts w:hint="eastAsia" w:ascii="Times New Roman" w:hAnsi="Times New Roman" w:cs="Times New Roman"/>
                <w:b w:val="0"/>
                <w:bCs w:val="0"/>
                <w:color w:val="auto"/>
                <w:sz w:val="24"/>
                <w:szCs w:val="24"/>
                <w:highlight w:val="none"/>
                <w:lang w:eastAsia="zh-CN"/>
              </w:rPr>
              <w:t>由上表可知，项目所在区域</w:t>
            </w:r>
            <w:r>
              <w:rPr>
                <w:rFonts w:hint="eastAsia" w:cs="Times New Roman"/>
                <w:b w:val="0"/>
                <w:bCs w:val="0"/>
                <w:color w:val="auto"/>
                <w:sz w:val="24"/>
                <w:szCs w:val="24"/>
                <w:highlight w:val="none"/>
                <w:lang w:val="en-US" w:eastAsia="zh-CN"/>
              </w:rPr>
              <w:t>TSP</w:t>
            </w:r>
            <w:r>
              <w:rPr>
                <w:rFonts w:hint="eastAsia" w:ascii="Times New Roman" w:hAnsi="Times New Roman" w:cs="Times New Roman"/>
                <w:b w:val="0"/>
                <w:bCs w:val="0"/>
                <w:color w:val="auto"/>
                <w:sz w:val="24"/>
                <w:szCs w:val="24"/>
                <w:highlight w:val="none"/>
                <w:lang w:val="en-US" w:eastAsia="zh-CN"/>
              </w:rPr>
              <w:t>现状监测结果均满足《环境空气质量标准》（GB 3095-2012）二级标准限值要求，</w:t>
            </w:r>
            <w:r>
              <w:rPr>
                <w:rFonts w:hint="eastAsia" w:ascii="Times New Roman" w:hAnsi="Times New Roman" w:cs="Times New Roman"/>
                <w:color w:val="auto"/>
                <w:sz w:val="24"/>
                <w:szCs w:val="24"/>
                <w:highlight w:val="none"/>
                <w:lang w:val="en-US" w:eastAsia="zh-CN"/>
              </w:rPr>
              <w:t>项目所在区域</w:t>
            </w:r>
            <w:r>
              <w:rPr>
                <w:rFonts w:hint="eastAsia" w:ascii="Times New Roman" w:hAnsi="Times New Roman" w:cs="Times New Roman"/>
                <w:b w:val="0"/>
                <w:bCs w:val="0"/>
                <w:color w:val="auto"/>
                <w:sz w:val="24"/>
                <w:szCs w:val="24"/>
                <w:highlight w:val="none"/>
                <w:lang w:eastAsia="zh-CN"/>
              </w:rPr>
              <w:t>大气环境质量现状较好。</w:t>
            </w:r>
          </w:p>
          <w:p>
            <w:pPr>
              <w:spacing w:line="360" w:lineRule="auto"/>
              <w:jc w:val="both"/>
              <w:rPr>
                <w:rFonts w:hint="default" w:ascii="Times New Roman" w:hAnsi="Times New Roman" w:cs="Times New Roman"/>
                <w:b/>
                <w:bCs/>
                <w:color w:val="auto"/>
                <w:sz w:val="24"/>
                <w:szCs w:val="24"/>
                <w:highlight w:val="none"/>
                <w:lang w:val="en-US"/>
              </w:rPr>
            </w:pPr>
            <w:r>
              <w:rPr>
                <w:rFonts w:hint="eastAsia" w:ascii="Times New Roman" w:hAnsi="Times New Roman" w:cs="Times New Roman"/>
                <w:b/>
                <w:bCs/>
                <w:color w:val="auto"/>
                <w:sz w:val="24"/>
                <w:szCs w:val="24"/>
                <w:highlight w:val="none"/>
                <w:lang w:val="en-US" w:eastAsia="zh-CN"/>
              </w:rPr>
              <w:t>二</w:t>
            </w:r>
            <w:r>
              <w:rPr>
                <w:rFonts w:hint="default" w:ascii="Times New Roman" w:hAnsi="Times New Roman" w:cs="Times New Roman"/>
                <w:b/>
                <w:bCs/>
                <w:color w:val="auto"/>
                <w:sz w:val="24"/>
                <w:szCs w:val="24"/>
                <w:highlight w:val="none"/>
                <w:lang w:val="en-US"/>
              </w:rPr>
              <w:t>、声环境质量现状</w:t>
            </w:r>
          </w:p>
          <w:p>
            <w:pPr>
              <w:spacing w:line="360" w:lineRule="auto"/>
              <w:ind w:firstLine="480" w:firstLineChars="200"/>
              <w:rPr>
                <w:rFonts w:hint="default" w:ascii="Times New Roman" w:hAnsi="Times New Roman" w:cs="Times New Roman"/>
                <w:b/>
                <w:bCs/>
                <w:color w:val="auto"/>
                <w:sz w:val="24"/>
                <w:szCs w:val="24"/>
                <w:highlight w:val="none"/>
                <w:lang w:val="en-US"/>
              </w:rPr>
            </w:pPr>
            <w:r>
              <w:rPr>
                <w:rFonts w:hint="eastAsia" w:cs="Times New Roman"/>
                <w:color w:val="auto"/>
                <w:sz w:val="24"/>
                <w:szCs w:val="24"/>
                <w:highlight w:val="none"/>
                <w:lang w:val="en-US" w:eastAsia="zh-CN"/>
              </w:rPr>
              <w:t>本项目位于</w:t>
            </w:r>
            <w:r>
              <w:rPr>
                <w:rFonts w:hint="eastAsia" w:ascii="宋体" w:hAnsi="宋体" w:cs="宋体"/>
                <w:color w:val="auto"/>
                <w:sz w:val="24"/>
                <w:szCs w:val="24"/>
                <w:highlight w:val="none"/>
                <w:lang w:val="en-US" w:eastAsia="zh-CN"/>
              </w:rPr>
              <w:t>伊金</w:t>
            </w:r>
            <w:r>
              <w:rPr>
                <w:rFonts w:hint="eastAsia" w:ascii="Times New Roman" w:hAnsi="Times New Roman" w:eastAsia="宋体" w:cs="Times New Roman"/>
                <w:color w:val="auto"/>
                <w:sz w:val="24"/>
                <w:szCs w:val="24"/>
                <w:highlight w:val="none"/>
                <w:lang w:val="en-US" w:eastAsia="zh-CN"/>
              </w:rPr>
              <w:t>霍洛旗鄂尔多斯空港物流园区，</w:t>
            </w:r>
            <w:r>
              <w:rPr>
                <w:rFonts w:hint="default" w:ascii="Times New Roman" w:hAnsi="Times New Roman" w:eastAsia="宋体" w:cs="Times New Roman"/>
                <w:color w:val="auto"/>
                <w:sz w:val="24"/>
                <w:szCs w:val="24"/>
                <w:highlight w:val="none"/>
                <w:lang w:val="en-US" w:eastAsia="zh-CN"/>
              </w:rPr>
              <w:t>厂址周围50m范围内无</w:t>
            </w:r>
            <w:r>
              <w:rPr>
                <w:rFonts w:hint="eastAsia" w:cs="Times New Roman"/>
                <w:color w:val="auto"/>
                <w:sz w:val="24"/>
                <w:szCs w:val="24"/>
                <w:highlight w:val="none"/>
                <w:lang w:val="en-US" w:eastAsia="zh-CN"/>
              </w:rPr>
              <w:t>居民区、</w:t>
            </w:r>
            <w:r>
              <w:rPr>
                <w:rFonts w:hint="default" w:ascii="Times New Roman" w:hAnsi="Times New Roman" w:eastAsia="宋体" w:cs="Times New Roman"/>
                <w:color w:val="auto"/>
                <w:sz w:val="24"/>
                <w:szCs w:val="24"/>
                <w:highlight w:val="none"/>
                <w:lang w:val="en-US" w:eastAsia="zh-CN"/>
              </w:rPr>
              <w:t>学校、疗养院、医院及风景名胜区等声环境敏感目标，故不进行声环境质量现状监测。</w:t>
            </w:r>
          </w:p>
          <w:p>
            <w:pPr>
              <w:spacing w:line="360" w:lineRule="auto"/>
              <w:rPr>
                <w:rFonts w:hint="default" w:ascii="Times New Roman" w:hAnsi="Times New Roman" w:cs="Times New Roman"/>
                <w:b/>
                <w:bCs/>
                <w:color w:val="auto"/>
                <w:sz w:val="24"/>
                <w:szCs w:val="24"/>
                <w:highlight w:val="none"/>
                <w:lang w:val="en-US"/>
              </w:rPr>
            </w:pPr>
            <w:r>
              <w:rPr>
                <w:rFonts w:hint="eastAsia" w:ascii="Times New Roman" w:hAnsi="Times New Roman" w:cs="Times New Roman"/>
                <w:b/>
                <w:bCs/>
                <w:color w:val="auto"/>
                <w:sz w:val="24"/>
                <w:szCs w:val="24"/>
                <w:highlight w:val="none"/>
                <w:lang w:val="en-US" w:eastAsia="zh-CN"/>
              </w:rPr>
              <w:t>三</w:t>
            </w:r>
            <w:r>
              <w:rPr>
                <w:rFonts w:hint="default" w:ascii="Times New Roman" w:hAnsi="Times New Roman" w:cs="Times New Roman"/>
                <w:b/>
                <w:bCs/>
                <w:color w:val="auto"/>
                <w:sz w:val="24"/>
                <w:szCs w:val="24"/>
                <w:highlight w:val="none"/>
                <w:lang w:val="en-US"/>
              </w:rPr>
              <w:t>、地下水、土壤环境</w:t>
            </w:r>
          </w:p>
          <w:p>
            <w:pPr>
              <w:overflowPunct w:val="0"/>
              <w:spacing w:line="360" w:lineRule="auto"/>
              <w:ind w:firstLine="480" w:firstLineChars="200"/>
              <w:jc w:val="both"/>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lang w:val="en-US" w:eastAsia="zh-CN"/>
              </w:rPr>
              <w:t>按照《建设项目环境影响报告表编制技术指南》（污染影响类）（试行）第三条具体编制要求中第三小项区域环境质量现状、环境保护目标及评价标准中第六条“地下水、土壤环境。原则上不开展环境质量现状调查。建设项目存在土壤、地下水环境污染途径的，应结合污染源、保护目标分布情况开展现状调查以留作背景值”，本项目</w:t>
            </w:r>
            <w:r>
              <w:rPr>
                <w:rFonts w:hint="eastAsia" w:ascii="Times New Roman" w:hAnsi="Times New Roman" w:cs="Times New Roman"/>
                <w:color w:val="auto"/>
                <w:sz w:val="24"/>
                <w:szCs w:val="24"/>
                <w:highlight w:val="none"/>
                <w:lang w:val="en-US" w:eastAsia="zh-CN"/>
              </w:rPr>
              <w:t>生产车间、三级沉淀池及危废库均经采取防渗措施，不存在污染途径，无需开展环境质量现状调查</w:t>
            </w:r>
            <w:r>
              <w:rPr>
                <w:rFonts w:hint="default" w:ascii="Times New Roman" w:hAnsi="Times New Roman" w:cs="Times New Roman"/>
                <w:color w:val="auto"/>
                <w:sz w:val="24"/>
                <w:szCs w:val="24"/>
                <w:highlight w:val="none"/>
                <w:lang w:val="en-US"/>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980" w:hRule="atLeast"/>
        </w:trPr>
        <w:tc>
          <w:tcPr>
            <w:tcW w:w="558" w:type="dxa"/>
            <w:tcBorders>
              <w:right w:val="single" w:color="000000" w:sz="4" w:space="0"/>
            </w:tcBorders>
            <w:vAlign w:val="center"/>
          </w:tcPr>
          <w:p>
            <w:pPr>
              <w:pStyle w:val="29"/>
              <w:spacing w:line="520" w:lineRule="exact"/>
              <w:jc w:val="center"/>
              <w:rPr>
                <w:rFonts w:ascii="Times New Roman" w:hAnsi="Times New Roman" w:cs="Times New Roman"/>
                <w:color w:val="auto"/>
                <w:spacing w:val="-2"/>
                <w:sz w:val="24"/>
                <w:szCs w:val="24"/>
                <w:highlight w:val="none"/>
                <w:lang w:val="en-US"/>
              </w:rPr>
            </w:pPr>
          </w:p>
          <w:p>
            <w:pPr>
              <w:pStyle w:val="29"/>
              <w:spacing w:line="520" w:lineRule="exact"/>
              <w:jc w:val="center"/>
              <w:rPr>
                <w:rFonts w:ascii="Times New Roman" w:hAnsi="Times New Roman" w:cs="Times New Roman"/>
                <w:color w:val="auto"/>
                <w:spacing w:val="-2"/>
                <w:sz w:val="24"/>
                <w:szCs w:val="24"/>
                <w:highlight w:val="none"/>
                <w:lang w:val="en-US"/>
              </w:rPr>
            </w:pPr>
          </w:p>
          <w:p>
            <w:pPr>
              <w:pStyle w:val="29"/>
              <w:spacing w:line="520" w:lineRule="exact"/>
              <w:jc w:val="center"/>
              <w:rPr>
                <w:rFonts w:ascii="Times New Roman" w:hAnsi="Times New Roman" w:cs="Times New Roman"/>
                <w:color w:val="auto"/>
                <w:spacing w:val="-2"/>
                <w:sz w:val="24"/>
                <w:szCs w:val="24"/>
                <w:highlight w:val="none"/>
                <w:lang w:val="en-US"/>
              </w:rPr>
            </w:pPr>
            <w:r>
              <w:rPr>
                <w:rFonts w:ascii="Times New Roman" w:hAnsi="Times New Roman" w:cs="Times New Roman"/>
                <w:color w:val="auto"/>
                <w:spacing w:val="-2"/>
                <w:sz w:val="24"/>
                <w:szCs w:val="24"/>
                <w:highlight w:val="none"/>
                <w:lang w:val="en-US"/>
              </w:rPr>
              <w:t>环境保护目标</w:t>
            </w:r>
          </w:p>
        </w:tc>
        <w:tc>
          <w:tcPr>
            <w:tcW w:w="9435" w:type="dxa"/>
            <w:tcBorders>
              <w:left w:val="single" w:color="000000" w:sz="4" w:space="0"/>
            </w:tcBorders>
          </w:tcPr>
          <w:p>
            <w:pPr>
              <w:spacing w:line="360" w:lineRule="auto"/>
              <w:ind w:firstLine="480" w:firstLineChars="200"/>
              <w:jc w:val="both"/>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rPr>
              <w:t>项目位于</w:t>
            </w:r>
            <w:r>
              <w:rPr>
                <w:rFonts w:hint="eastAsia" w:ascii="Times New Roman" w:hAnsi="Times New Roman" w:cs="Times New Roman"/>
                <w:color w:val="auto"/>
                <w:sz w:val="24"/>
                <w:szCs w:val="24"/>
                <w:highlight w:val="none"/>
                <w:lang w:val="en-US" w:eastAsia="zh-CN"/>
              </w:rPr>
              <w:t>伊金霍洛旗</w:t>
            </w:r>
            <w:r>
              <w:rPr>
                <w:rFonts w:hint="eastAsia" w:eastAsia="宋体"/>
                <w:color w:val="auto"/>
                <w:sz w:val="24"/>
                <w:szCs w:val="24"/>
                <w:highlight w:val="none"/>
                <w:lang w:val="en-US" w:eastAsia="zh-CN"/>
              </w:rPr>
              <w:t>鄂尔多斯空港物流园区</w:t>
            </w:r>
            <w:r>
              <w:rPr>
                <w:rFonts w:hint="default" w:ascii="Times New Roman" w:hAnsi="Times New Roman" w:cs="Times New Roman"/>
                <w:color w:val="auto"/>
                <w:sz w:val="24"/>
                <w:szCs w:val="24"/>
                <w:highlight w:val="none"/>
              </w:rPr>
              <w:t>，中心地理坐标为</w:t>
            </w:r>
            <w:r>
              <w:rPr>
                <w:rFonts w:hint="default" w:ascii="Times New Roman" w:hAnsi="Times New Roman" w:cs="Times New Roman"/>
                <w:color w:val="auto"/>
                <w:sz w:val="24"/>
                <w:szCs w:val="24"/>
                <w:highlight w:val="none"/>
                <w:lang w:eastAsia="zh-CN"/>
              </w:rPr>
              <w:t>东经</w:t>
            </w:r>
            <w:r>
              <w:rPr>
                <w:rFonts w:hint="default" w:ascii="Times New Roman" w:hAnsi="Times New Roman" w:cs="Times New Roman"/>
                <w:color w:val="auto"/>
                <w:sz w:val="24"/>
                <w:szCs w:val="24"/>
                <w:highlight w:val="none"/>
                <w:lang w:val="en-US" w:eastAsia="zh-CN"/>
              </w:rPr>
              <w:t>10</w:t>
            </w:r>
            <w:r>
              <w:rPr>
                <w:rFonts w:hint="eastAsia" w:ascii="Times New Roman" w:hAnsi="Times New Roman" w:cs="Times New Roman"/>
                <w:color w:val="auto"/>
                <w:sz w:val="24"/>
                <w:szCs w:val="24"/>
                <w:highlight w:val="none"/>
                <w:lang w:val="en-US" w:eastAsia="zh-CN"/>
              </w:rPr>
              <w:t>9</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52</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3.325</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北纬</w:t>
            </w:r>
            <w:r>
              <w:rPr>
                <w:rFonts w:hint="default" w:ascii="Times New Roman" w:hAnsi="Times New Roman" w:cs="Times New Roman"/>
                <w:color w:val="auto"/>
                <w:sz w:val="24"/>
                <w:szCs w:val="24"/>
                <w:highlight w:val="none"/>
              </w:rPr>
              <w:t>3</w:t>
            </w:r>
            <w:r>
              <w:rPr>
                <w:rFonts w:hint="eastAsia" w:ascii="Times New Roman" w:hAnsi="Times New Roman" w:cs="Times New Roman"/>
                <w:color w:val="auto"/>
                <w:sz w:val="24"/>
                <w:szCs w:val="24"/>
                <w:highlight w:val="none"/>
                <w:lang w:val="en-US" w:eastAsia="zh-CN"/>
              </w:rPr>
              <w:t>9</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val="en-US" w:eastAsia="zh-CN"/>
              </w:rPr>
              <w:t>36.325</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w:t>
            </w:r>
            <w:r>
              <w:rPr>
                <w:rFonts w:hint="eastAsia"/>
                <w:color w:val="auto"/>
                <w:sz w:val="24"/>
                <w:highlight w:val="none"/>
                <w:lang w:eastAsia="zh-CN"/>
              </w:rPr>
              <w:t>本</w:t>
            </w:r>
            <w:r>
              <w:rPr>
                <w:color w:val="auto"/>
                <w:sz w:val="24"/>
                <w:highlight w:val="none"/>
              </w:rPr>
              <w:t>项目</w:t>
            </w:r>
            <w:r>
              <w:rPr>
                <w:color w:val="auto"/>
                <w:sz w:val="24"/>
                <w:szCs w:val="24"/>
                <w:highlight w:val="none"/>
              </w:rPr>
              <w:t>评价区域内</w:t>
            </w:r>
            <w:r>
              <w:rPr>
                <w:rFonts w:hint="eastAsia"/>
                <w:color w:val="auto"/>
                <w:sz w:val="24"/>
                <w:highlight w:val="none"/>
                <w:lang w:val="en-US" w:eastAsia="zh-CN"/>
              </w:rPr>
              <w:t>无自然保护区、风景区、名胜古迹、饮用水源保护区等</w:t>
            </w:r>
            <w:r>
              <w:rPr>
                <w:color w:val="auto"/>
                <w:sz w:val="24"/>
                <w:szCs w:val="27"/>
                <w:highlight w:val="none"/>
              </w:rPr>
              <w:t>。</w:t>
            </w:r>
          </w:p>
          <w:p>
            <w:pPr>
              <w:spacing w:line="360" w:lineRule="auto"/>
              <w:ind w:firstLine="480" w:firstLineChars="200"/>
              <w:jc w:val="both"/>
              <w:rPr>
                <w:color w:val="auto"/>
                <w:sz w:val="24"/>
                <w:szCs w:val="24"/>
                <w:highlight w:val="none"/>
              </w:rPr>
            </w:pPr>
            <w:r>
              <w:rPr>
                <w:color w:val="auto"/>
                <w:sz w:val="24"/>
                <w:szCs w:val="24"/>
                <w:highlight w:val="none"/>
              </w:rPr>
              <w:t>根据项目工程特点、评价区域环境特征，本项目环境保护目标详见</w:t>
            </w:r>
            <w:r>
              <w:rPr>
                <w:rFonts w:hint="eastAsia"/>
                <w:color w:val="auto"/>
                <w:sz w:val="24"/>
                <w:szCs w:val="24"/>
                <w:highlight w:val="none"/>
              </w:rPr>
              <w:t>下</w:t>
            </w:r>
            <w:r>
              <w:rPr>
                <w:color w:val="auto"/>
                <w:sz w:val="24"/>
                <w:szCs w:val="24"/>
                <w:highlight w:val="none"/>
              </w:rPr>
              <w:t>表。</w:t>
            </w:r>
          </w:p>
          <w:p>
            <w:pPr>
              <w:spacing w:line="240" w:lineRule="auto"/>
              <w:jc w:val="center"/>
              <w:rPr>
                <w:color w:val="auto"/>
                <w:sz w:val="24"/>
                <w:szCs w:val="24"/>
                <w:highlight w:val="none"/>
                <w:lang w:val="en-US"/>
              </w:rPr>
            </w:pPr>
            <w:r>
              <w:rPr>
                <w:b/>
                <w:bCs/>
                <w:color w:val="auto"/>
                <w:sz w:val="24"/>
                <w:szCs w:val="24"/>
                <w:highlight w:val="none"/>
                <w:lang w:val="en-US"/>
              </w:rPr>
              <w:t>表</w:t>
            </w:r>
            <w:r>
              <w:rPr>
                <w:rFonts w:hint="default" w:ascii="Times New Roman" w:hAnsi="Times New Roman" w:cs="Times New Roman"/>
                <w:b/>
                <w:bCs/>
                <w:color w:val="auto"/>
                <w:sz w:val="24"/>
                <w:szCs w:val="24"/>
                <w:highlight w:val="none"/>
                <w:lang w:val="en-US"/>
              </w:rPr>
              <w:t>3-</w:t>
            </w:r>
            <w:r>
              <w:rPr>
                <w:rFonts w:hint="default" w:ascii="Times New Roman" w:hAnsi="Times New Roman" w:cs="Times New Roman"/>
                <w:b/>
                <w:bCs/>
                <w:color w:val="auto"/>
                <w:sz w:val="24"/>
                <w:szCs w:val="24"/>
                <w:highlight w:val="none"/>
                <w:lang w:val="en-US" w:eastAsia="zh-CN"/>
              </w:rPr>
              <w:t>6</w:t>
            </w:r>
            <w:r>
              <w:rPr>
                <w:b/>
                <w:bCs/>
                <w:color w:val="auto"/>
                <w:sz w:val="24"/>
                <w:szCs w:val="24"/>
                <w:highlight w:val="none"/>
                <w:lang w:val="en-US"/>
              </w:rPr>
              <w:tab/>
            </w:r>
            <w:r>
              <w:rPr>
                <w:b/>
                <w:bCs/>
                <w:color w:val="auto"/>
                <w:sz w:val="24"/>
                <w:szCs w:val="24"/>
                <w:highlight w:val="none"/>
                <w:lang w:val="en-US"/>
              </w:rPr>
              <w:t>环境保护目标一览表</w:t>
            </w:r>
          </w:p>
          <w:tbl>
            <w:tblPr>
              <w:tblStyle w:val="23"/>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1197"/>
              <w:gridCol w:w="1101"/>
              <w:gridCol w:w="1222"/>
              <w:gridCol w:w="1047"/>
              <w:gridCol w:w="724"/>
              <w:gridCol w:w="987"/>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87"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eastAsia="zh-CN"/>
                    </w:rPr>
                  </w:pPr>
                  <w:r>
                    <w:rPr>
                      <w:rFonts w:hint="default" w:ascii="Times New Roman" w:hAnsi="Times New Roman" w:eastAsia="宋体" w:cs="Times New Roman"/>
                      <w:color w:val="auto"/>
                      <w:spacing w:val="0"/>
                      <w:w w:val="100"/>
                      <w:position w:val="0"/>
                      <w:sz w:val="21"/>
                      <w:szCs w:val="21"/>
                      <w:highlight w:val="none"/>
                      <w:vertAlign w:val="baseline"/>
                      <w:lang w:eastAsia="zh-CN"/>
                    </w:rPr>
                    <w:t>敏感因素</w:t>
                  </w:r>
                </w:p>
              </w:tc>
              <w:tc>
                <w:tcPr>
                  <w:tcW w:w="643"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cs="Times New Roman"/>
                      <w:color w:val="auto"/>
                      <w:spacing w:val="0"/>
                      <w:w w:val="100"/>
                      <w:position w:val="0"/>
                      <w:sz w:val="21"/>
                      <w:szCs w:val="21"/>
                      <w:highlight w:val="none"/>
                      <w:vertAlign w:val="baseline"/>
                      <w:lang w:val="en-US" w:eastAsia="zh-CN"/>
                    </w:rPr>
                    <w:t>工程类型</w:t>
                  </w:r>
                </w:p>
              </w:tc>
              <w:tc>
                <w:tcPr>
                  <w:tcW w:w="591"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default" w:ascii="Times New Roman" w:hAnsi="Times New Roman" w:eastAsia="宋体" w:cs="Times New Roman"/>
                      <w:color w:val="auto"/>
                      <w:spacing w:val="0"/>
                      <w:w w:val="100"/>
                      <w:kern w:val="0"/>
                      <w:position w:val="0"/>
                      <w:sz w:val="21"/>
                      <w:szCs w:val="21"/>
                      <w:highlight w:val="none"/>
                      <w:vertAlign w:val="baseline"/>
                      <w:lang w:val="en-US" w:eastAsia="zh-CN" w:bidi="ar-SA"/>
                    </w:rPr>
                  </w:pPr>
                  <w:r>
                    <w:rPr>
                      <w:rFonts w:hint="default" w:ascii="Times New Roman" w:hAnsi="Times New Roman" w:eastAsia="宋体" w:cs="Times New Roman"/>
                      <w:color w:val="auto"/>
                      <w:spacing w:val="0"/>
                      <w:w w:val="100"/>
                      <w:position w:val="0"/>
                      <w:sz w:val="21"/>
                      <w:szCs w:val="21"/>
                      <w:highlight w:val="none"/>
                      <w:vertAlign w:val="baseline"/>
                      <w:lang w:eastAsia="zh-CN"/>
                    </w:rPr>
                    <w:t>保护目标</w:t>
                  </w:r>
                </w:p>
              </w:tc>
              <w:tc>
                <w:tcPr>
                  <w:tcW w:w="656"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cs="Times New Roman"/>
                      <w:color w:val="auto"/>
                      <w:spacing w:val="0"/>
                      <w:w w:val="100"/>
                      <w:position w:val="0"/>
                      <w:sz w:val="21"/>
                      <w:szCs w:val="21"/>
                      <w:highlight w:val="none"/>
                      <w:vertAlign w:val="baseline"/>
                      <w:lang w:val="en-US" w:eastAsia="zh-CN"/>
                    </w:rPr>
                    <w:t>坐标</w:t>
                  </w:r>
                </w:p>
              </w:tc>
              <w:tc>
                <w:tcPr>
                  <w:tcW w:w="562"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eastAsia="zh-CN"/>
                    </w:rPr>
                  </w:pPr>
                  <w:r>
                    <w:rPr>
                      <w:rFonts w:hint="default" w:ascii="Times New Roman" w:hAnsi="Times New Roman" w:eastAsia="宋体" w:cs="Times New Roman"/>
                      <w:color w:val="auto"/>
                      <w:spacing w:val="0"/>
                      <w:w w:val="100"/>
                      <w:position w:val="0"/>
                      <w:sz w:val="21"/>
                      <w:szCs w:val="21"/>
                      <w:highlight w:val="none"/>
                      <w:vertAlign w:val="baseline"/>
                      <w:lang w:eastAsia="zh-CN"/>
                    </w:rPr>
                    <w:t>位置关系</w:t>
                  </w:r>
                </w:p>
              </w:tc>
              <w:tc>
                <w:tcPr>
                  <w:tcW w:w="389"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eastAsia="zh-CN"/>
                    </w:rPr>
                  </w:pPr>
                  <w:r>
                    <w:rPr>
                      <w:rFonts w:hint="default" w:ascii="Times New Roman" w:hAnsi="Times New Roman" w:eastAsia="宋体" w:cs="Times New Roman"/>
                      <w:color w:val="auto"/>
                      <w:spacing w:val="0"/>
                      <w:w w:val="100"/>
                      <w:position w:val="0"/>
                      <w:sz w:val="21"/>
                      <w:szCs w:val="21"/>
                      <w:highlight w:val="none"/>
                      <w:vertAlign w:val="baseline"/>
                      <w:lang w:eastAsia="zh-CN"/>
                    </w:rPr>
                    <w:t>距离</w:t>
                  </w:r>
                </w:p>
              </w:tc>
              <w:tc>
                <w:tcPr>
                  <w:tcW w:w="530"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eastAsia="zh-CN"/>
                    </w:rPr>
                  </w:pPr>
                  <w:r>
                    <w:rPr>
                      <w:rFonts w:hint="default" w:ascii="Times New Roman" w:hAnsi="Times New Roman" w:eastAsia="宋体" w:cs="Times New Roman"/>
                      <w:color w:val="auto"/>
                      <w:spacing w:val="0"/>
                      <w:w w:val="100"/>
                      <w:position w:val="0"/>
                      <w:sz w:val="21"/>
                      <w:szCs w:val="21"/>
                      <w:highlight w:val="none"/>
                      <w:vertAlign w:val="baseline"/>
                      <w:lang w:eastAsia="zh-CN"/>
                    </w:rPr>
                    <w:t>规模</w:t>
                  </w:r>
                </w:p>
              </w:tc>
              <w:tc>
                <w:tcPr>
                  <w:tcW w:w="1039"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eastAsia="zh-CN"/>
                    </w:rPr>
                  </w:pPr>
                  <w:r>
                    <w:rPr>
                      <w:rFonts w:hint="default" w:ascii="Times New Roman" w:hAnsi="Times New Roman" w:eastAsia="宋体" w:cs="Times New Roman"/>
                      <w:color w:val="auto"/>
                      <w:spacing w:val="0"/>
                      <w:w w:val="100"/>
                      <w:position w:val="0"/>
                      <w:sz w:val="21"/>
                      <w:szCs w:val="21"/>
                      <w:highlight w:val="none"/>
                      <w:vertAlign w:val="baseline"/>
                      <w:lang w:eastAsia="zh-CN"/>
                    </w:rPr>
                    <w:t>区域功能及执行标准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87"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eastAsia="zh-CN"/>
                    </w:rPr>
                  </w:pPr>
                  <w:r>
                    <w:rPr>
                      <w:rFonts w:hint="default" w:ascii="Times New Roman" w:hAnsi="Times New Roman" w:eastAsia="宋体" w:cs="Times New Roman"/>
                      <w:color w:val="auto"/>
                      <w:spacing w:val="0"/>
                      <w:w w:val="100"/>
                      <w:position w:val="0"/>
                      <w:sz w:val="21"/>
                      <w:szCs w:val="21"/>
                      <w:highlight w:val="none"/>
                      <w:vertAlign w:val="baseline"/>
                      <w:lang w:eastAsia="zh-CN"/>
                    </w:rPr>
                    <w:t>大气环境</w:t>
                  </w:r>
                </w:p>
              </w:tc>
              <w:tc>
                <w:tcPr>
                  <w:tcW w:w="643"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eastAsia" w:ascii="Times New Roman" w:hAnsi="Times New Roman" w:cs="Times New Roman"/>
                      <w:color w:val="auto"/>
                      <w:spacing w:val="0"/>
                      <w:w w:val="100"/>
                      <w:position w:val="0"/>
                      <w:sz w:val="21"/>
                      <w:szCs w:val="21"/>
                      <w:highlight w:val="none"/>
                      <w:vertAlign w:val="baseline"/>
                      <w:lang w:val="en-US" w:eastAsia="zh-CN"/>
                    </w:rPr>
                    <w:t>项目厂房</w:t>
                  </w:r>
                </w:p>
              </w:tc>
              <w:tc>
                <w:tcPr>
                  <w:tcW w:w="2728" w:type="pct"/>
                  <w:gridSpan w:val="5"/>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cs="Times New Roman"/>
                      <w:color w:val="auto"/>
                      <w:spacing w:val="0"/>
                      <w:w w:val="100"/>
                      <w:position w:val="0"/>
                      <w:sz w:val="21"/>
                      <w:szCs w:val="21"/>
                      <w:highlight w:val="none"/>
                      <w:vertAlign w:val="baseline"/>
                      <w:lang w:val="en-US" w:eastAsia="zh-CN"/>
                    </w:rPr>
                  </w:pPr>
                  <w:r>
                    <w:rPr>
                      <w:rFonts w:hint="default" w:ascii="Times New Roman" w:hAnsi="Times New Roman" w:cs="Times New Roman"/>
                      <w:color w:val="auto"/>
                      <w:sz w:val="21"/>
                      <w:szCs w:val="21"/>
                      <w:highlight w:val="none"/>
                      <w:lang w:val="en-US" w:eastAsia="zh-CN"/>
                    </w:rPr>
                    <w:t>厂界外500米范围内无自然保护区、风景名胜区、居住区、文化区和农村地区中人群较集中的区域</w:t>
                  </w:r>
                </w:p>
              </w:tc>
              <w:tc>
                <w:tcPr>
                  <w:tcW w:w="1039" w:type="pct"/>
                  <w:noWrap w:val="0"/>
                  <w:vAlign w:val="center"/>
                </w:tcPr>
                <w:p>
                  <w:pPr>
                    <w:pStyle w:val="10"/>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eastAsia="zh-CN"/>
                    </w:rPr>
                  </w:pPr>
                  <w:r>
                    <w:rPr>
                      <w:rFonts w:hint="default" w:ascii="Times New Roman" w:hAnsi="Times New Roman" w:eastAsia="宋体" w:cs="Times New Roman"/>
                      <w:color w:val="auto"/>
                      <w:spacing w:val="0"/>
                      <w:w w:val="100"/>
                      <w:position w:val="0"/>
                      <w:sz w:val="21"/>
                      <w:szCs w:val="21"/>
                      <w:highlight w:val="none"/>
                      <w:vertAlign w:val="baseline"/>
                      <w:lang w:eastAsia="zh-CN"/>
                    </w:rPr>
                    <w:t>《环境空气质量标准》</w:t>
                  </w:r>
                  <w:r>
                    <w:rPr>
                      <w:rFonts w:hint="default" w:ascii="Times New Roman" w:hAnsi="Times New Roman" w:cs="Times New Roman"/>
                      <w:color w:val="auto"/>
                      <w:spacing w:val="0"/>
                      <w:w w:val="100"/>
                      <w:position w:val="0"/>
                      <w:sz w:val="21"/>
                      <w:szCs w:val="21"/>
                      <w:highlight w:val="none"/>
                      <w:vertAlign w:val="baseline"/>
                      <w:lang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GB3095</w:t>
                  </w:r>
                  <w:r>
                    <w:rPr>
                      <w:rFonts w:hint="default" w:ascii="Times New Roman" w:hAnsi="Times New Roman" w:cs="Times New Roman"/>
                      <w:color w:val="auto"/>
                      <w:spacing w:val="0"/>
                      <w:w w:val="100"/>
                      <w:position w:val="0"/>
                      <w:sz w:val="21"/>
                      <w:szCs w:val="21"/>
                      <w:highlight w:val="none"/>
                      <w:vertAlign w:val="baseline"/>
                      <w:lang w:val="en-US"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2012</w:t>
                  </w:r>
                  <w:r>
                    <w:rPr>
                      <w:rFonts w:hint="default" w:ascii="Times New Roman" w:hAnsi="Times New Roman" w:eastAsia="宋体" w:cs="Times New Roman"/>
                      <w:color w:val="auto"/>
                      <w:spacing w:val="0"/>
                      <w:w w:val="100"/>
                      <w:position w:val="0"/>
                      <w:sz w:val="21"/>
                      <w:szCs w:val="21"/>
                      <w:highlight w:val="none"/>
                      <w:vertAlign w:val="baseline"/>
                      <w:lang w:eastAsia="zh-CN"/>
                    </w:rPr>
                    <w:t>）二级标准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587" w:type="pct"/>
                  <w:noWrap w:val="0"/>
                  <w:vAlign w:val="center"/>
                </w:tcPr>
                <w:p>
                  <w:pPr>
                    <w:pStyle w:val="10"/>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eastAsia="zh-CN"/>
                    </w:rPr>
                  </w:pPr>
                  <w:r>
                    <w:rPr>
                      <w:rFonts w:hint="default" w:ascii="Times New Roman" w:hAnsi="Times New Roman" w:eastAsia="宋体" w:cs="Times New Roman"/>
                      <w:color w:val="auto"/>
                      <w:spacing w:val="0"/>
                      <w:w w:val="100"/>
                      <w:position w:val="0"/>
                      <w:sz w:val="21"/>
                      <w:szCs w:val="21"/>
                      <w:highlight w:val="none"/>
                      <w:vertAlign w:val="baseline"/>
                      <w:lang w:eastAsia="zh-CN"/>
                    </w:rPr>
                    <w:t>声环境</w:t>
                  </w:r>
                </w:p>
              </w:tc>
              <w:tc>
                <w:tcPr>
                  <w:tcW w:w="643"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default" w:ascii="Times New Roman" w:hAnsi="Times New Roman" w:cs="Times New Roman"/>
                      <w:color w:val="auto"/>
                      <w:spacing w:val="0"/>
                      <w:w w:val="100"/>
                      <w:position w:val="0"/>
                      <w:sz w:val="21"/>
                      <w:szCs w:val="21"/>
                      <w:highlight w:val="none"/>
                      <w:vertAlign w:val="baseline"/>
                      <w:lang w:val="en-US" w:eastAsia="zh-CN"/>
                    </w:rPr>
                  </w:pPr>
                  <w:r>
                    <w:rPr>
                      <w:rFonts w:hint="eastAsia" w:ascii="Times New Roman" w:hAnsi="Times New Roman" w:cs="Times New Roman"/>
                      <w:color w:val="auto"/>
                      <w:spacing w:val="0"/>
                      <w:w w:val="100"/>
                      <w:position w:val="0"/>
                      <w:sz w:val="21"/>
                      <w:szCs w:val="21"/>
                      <w:highlight w:val="none"/>
                      <w:vertAlign w:val="baseline"/>
                      <w:lang w:val="en-US" w:eastAsia="zh-CN"/>
                    </w:rPr>
                    <w:t>项目厂房</w:t>
                  </w:r>
                </w:p>
              </w:tc>
              <w:tc>
                <w:tcPr>
                  <w:tcW w:w="2728" w:type="pct"/>
                  <w:gridSpan w:val="5"/>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right="0" w:rightChars="0"/>
                    <w:jc w:val="center"/>
                    <w:textAlignment w:val="auto"/>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lang w:val="en-US" w:eastAsia="zh-CN" w:bidi="ar-SA"/>
                    </w:rPr>
                    <w:t>厂界外50米范围内无医院、学校、机关、科研单位、住宅等需要保持安静的建筑物。</w:t>
                  </w:r>
                </w:p>
              </w:tc>
              <w:tc>
                <w:tcPr>
                  <w:tcW w:w="1039" w:type="pct"/>
                  <w:noWrap w:val="0"/>
                  <w:vAlign w:val="center"/>
                </w:tcPr>
                <w:p>
                  <w:pPr>
                    <w:pStyle w:val="10"/>
                    <w:keepNext w:val="0"/>
                    <w:keepLines w:val="0"/>
                    <w:pageBreakBefore w:val="0"/>
                    <w:widowControl w:val="0"/>
                    <w:kinsoku/>
                    <w:wordWrap w:val="0"/>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pacing w:val="0"/>
                      <w:w w:val="100"/>
                      <w:position w:val="0"/>
                      <w:sz w:val="21"/>
                      <w:szCs w:val="21"/>
                      <w:highlight w:val="none"/>
                      <w:vertAlign w:val="baseline"/>
                      <w:lang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《声环境质量标准》</w:t>
                  </w:r>
                  <w:r>
                    <w:rPr>
                      <w:rFonts w:hint="default" w:ascii="Times New Roman" w:hAnsi="Times New Roman" w:cs="Times New Roman"/>
                      <w:color w:val="auto"/>
                      <w:spacing w:val="0"/>
                      <w:w w:val="100"/>
                      <w:position w:val="0"/>
                      <w:sz w:val="21"/>
                      <w:szCs w:val="21"/>
                      <w:highlight w:val="none"/>
                      <w:vertAlign w:val="baseline"/>
                      <w:lang w:val="en-US"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GB3096</w:t>
                  </w:r>
                  <w:r>
                    <w:rPr>
                      <w:rFonts w:hint="default" w:ascii="Times New Roman" w:hAnsi="Times New Roman" w:cs="Times New Roman"/>
                      <w:color w:val="auto"/>
                      <w:spacing w:val="0"/>
                      <w:w w:val="100"/>
                      <w:position w:val="0"/>
                      <w:sz w:val="21"/>
                      <w:szCs w:val="21"/>
                      <w:highlight w:val="none"/>
                      <w:vertAlign w:val="baseline"/>
                      <w:lang w:val="en-US"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2008）</w:t>
                  </w:r>
                  <w:r>
                    <w:rPr>
                      <w:rFonts w:hint="eastAsia" w:ascii="Times New Roman" w:hAnsi="Times New Roman" w:cs="Times New Roman"/>
                      <w:color w:val="auto"/>
                      <w:spacing w:val="0"/>
                      <w:w w:val="100"/>
                      <w:position w:val="0"/>
                      <w:sz w:val="21"/>
                      <w:szCs w:val="21"/>
                      <w:highlight w:val="none"/>
                      <w:vertAlign w:val="baseline"/>
                      <w:lang w:val="en-US" w:eastAsia="zh-CN"/>
                    </w:rPr>
                    <w:t>3</w:t>
                  </w:r>
                  <w:r>
                    <w:rPr>
                      <w:rFonts w:hint="default" w:ascii="Times New Roman" w:hAnsi="Times New Roman" w:eastAsia="宋体" w:cs="Times New Roman"/>
                      <w:color w:val="auto"/>
                      <w:spacing w:val="0"/>
                      <w:w w:val="100"/>
                      <w:position w:val="0"/>
                      <w:sz w:val="21"/>
                      <w:szCs w:val="21"/>
                      <w:highlight w:val="none"/>
                      <w:vertAlign w:val="baseline"/>
                      <w:lang w:val="en-US" w:eastAsia="zh-CN"/>
                    </w:rPr>
                    <w:t>类标准</w:t>
                  </w:r>
                </w:p>
              </w:tc>
            </w:tr>
          </w:tbl>
          <w:p>
            <w:pPr>
              <w:pStyle w:val="5"/>
              <w:ind w:left="0" w:leftChars="0" w:firstLine="0" w:firstLineChars="0"/>
              <w:rPr>
                <w:rFonts w:hint="default"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项目四周现状图</w:t>
            </w:r>
            <w:r>
              <w:rPr>
                <w:rFonts w:hint="eastAsia" w:cs="宋体"/>
                <w:color w:val="auto"/>
                <w:sz w:val="24"/>
                <w:szCs w:val="24"/>
                <w:highlight w:val="none"/>
                <w:lang w:val="en-US" w:eastAsia="zh-CN" w:bidi="zh-CN"/>
              </w:rPr>
              <w:t>（四周均为园区已建成配套设施及厂房）</w:t>
            </w:r>
            <w:r>
              <w:rPr>
                <w:rFonts w:hint="eastAsia" w:ascii="宋体" w:hAnsi="宋体" w:eastAsia="宋体" w:cs="宋体"/>
                <w:color w:val="auto"/>
                <w:sz w:val="24"/>
                <w:szCs w:val="24"/>
                <w:highlight w:val="none"/>
                <w:lang w:val="en-US" w:eastAsia="zh-CN" w:bidi="zh-CN"/>
              </w:rPr>
              <w:t>：</w:t>
            </w:r>
          </w:p>
          <w:tbl>
            <w:tblPr>
              <w:tblStyle w:val="23"/>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243"/>
              <w:gridCol w:w="4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0" w:hRule="atLeast"/>
                <w:jc w:val="center"/>
              </w:trPr>
              <w:tc>
                <w:tcPr>
                  <w:tcW w:w="4361" w:type="dxa"/>
                </w:tcPr>
                <w:p>
                  <w:pPr>
                    <w:pStyle w:val="5"/>
                    <w:ind w:left="0" w:leftChars="0" w:firstLine="0" w:firstLineChars="0"/>
                    <w:jc w:val="center"/>
                    <w:rPr>
                      <w:rFonts w:hint="default" w:eastAsia="宋体"/>
                      <w:color w:val="auto"/>
                      <w:highlight w:val="none"/>
                      <w:vertAlign w:val="baseline"/>
                      <w:lang w:val="en-US" w:eastAsia="zh-CN"/>
                    </w:rPr>
                  </w:pPr>
                  <w:r>
                    <w:rPr>
                      <w:rFonts w:hint="default" w:eastAsia="宋体"/>
                      <w:color w:val="auto"/>
                      <w:highlight w:val="none"/>
                      <w:vertAlign w:val="baseline"/>
                      <w:lang w:val="en-US" w:eastAsia="zh-CN"/>
                    </w:rPr>
                    <w:drawing>
                      <wp:inline distT="0" distB="0" distL="114300" distR="114300">
                        <wp:extent cx="2611755" cy="1958340"/>
                        <wp:effectExtent l="0" t="0" r="17145" b="3810"/>
                        <wp:docPr id="28" name="图片 28" descr="IMG_7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IMG_7166"/>
                                <pic:cNvPicPr>
                                  <a:picLocks noChangeAspect="1"/>
                                </pic:cNvPicPr>
                              </pic:nvPicPr>
                              <pic:blipFill>
                                <a:blip r:embed="rId22"/>
                                <a:stretch>
                                  <a:fillRect/>
                                </a:stretch>
                              </pic:blipFill>
                              <pic:spPr>
                                <a:xfrm>
                                  <a:off x="0" y="0"/>
                                  <a:ext cx="2611755" cy="1958340"/>
                                </a:xfrm>
                                <a:prstGeom prst="rect">
                                  <a:avLst/>
                                </a:prstGeom>
                              </pic:spPr>
                            </pic:pic>
                          </a:graphicData>
                        </a:graphic>
                      </wp:inline>
                    </w:drawing>
                  </w:r>
                </w:p>
              </w:tc>
              <w:tc>
                <w:tcPr>
                  <w:tcW w:w="250" w:type="dxa"/>
                </w:tcPr>
                <w:p>
                  <w:pPr>
                    <w:pStyle w:val="5"/>
                    <w:ind w:left="0" w:leftChars="0" w:firstLine="0" w:firstLineChars="0"/>
                    <w:jc w:val="both"/>
                    <w:rPr>
                      <w:rFonts w:hint="default" w:eastAsia="宋体"/>
                      <w:color w:val="auto"/>
                      <w:highlight w:val="none"/>
                      <w:vertAlign w:val="baseline"/>
                      <w:lang w:val="en-US" w:eastAsia="zh-CN"/>
                    </w:rPr>
                  </w:pPr>
                </w:p>
              </w:tc>
              <w:tc>
                <w:tcPr>
                  <w:tcW w:w="4348" w:type="dxa"/>
                </w:tcPr>
                <w:p>
                  <w:pPr>
                    <w:pStyle w:val="5"/>
                    <w:ind w:left="0" w:leftChars="0" w:firstLine="0" w:firstLineChars="0"/>
                    <w:jc w:val="center"/>
                    <w:rPr>
                      <w:rFonts w:hint="default" w:eastAsia="宋体"/>
                      <w:color w:val="auto"/>
                      <w:highlight w:val="none"/>
                      <w:vertAlign w:val="baseline"/>
                      <w:lang w:val="en-US" w:eastAsia="zh-CN"/>
                    </w:rPr>
                  </w:pPr>
                  <w:r>
                    <w:rPr>
                      <w:rFonts w:hint="default" w:eastAsia="宋体"/>
                      <w:color w:val="auto"/>
                      <w:highlight w:val="none"/>
                      <w:vertAlign w:val="baseline"/>
                      <w:lang w:val="en-US" w:eastAsia="zh-CN"/>
                    </w:rPr>
                    <w:drawing>
                      <wp:inline distT="0" distB="0" distL="114300" distR="114300">
                        <wp:extent cx="2611755" cy="1958340"/>
                        <wp:effectExtent l="0" t="0" r="17145" b="3810"/>
                        <wp:docPr id="30" name="图片 30" descr="IMG_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7164"/>
                                <pic:cNvPicPr>
                                  <a:picLocks noChangeAspect="1"/>
                                </pic:cNvPicPr>
                              </pic:nvPicPr>
                              <pic:blipFill>
                                <a:blip r:embed="rId23"/>
                                <a:stretch>
                                  <a:fillRect/>
                                </a:stretch>
                              </pic:blipFill>
                              <pic:spPr>
                                <a:xfrm>
                                  <a:off x="0" y="0"/>
                                  <a:ext cx="2611755" cy="1958340"/>
                                </a:xfrm>
                                <a:prstGeom prst="rect">
                                  <a:avLst/>
                                </a:prstGeom>
                              </pic:spPr>
                            </pic:pic>
                          </a:graphicData>
                        </a:graphic>
                      </wp:inline>
                    </w:drawing>
                  </w:r>
                </w:p>
              </w:tc>
            </w:tr>
          </w:tbl>
          <w:p>
            <w:pPr>
              <w:pStyle w:val="5"/>
              <w:ind w:left="0" w:leftChars="0" w:firstLine="1980" w:firstLineChars="900"/>
              <w:rPr>
                <w:rFonts w:hint="default" w:eastAsia="宋体"/>
                <w:color w:val="auto"/>
                <w:highlight w:val="none"/>
                <w:lang w:val="en-US" w:eastAsia="zh-CN"/>
              </w:rPr>
            </w:pPr>
            <w:r>
              <w:rPr>
                <w:rFonts w:hint="eastAsia"/>
                <w:color w:val="auto"/>
                <w:highlight w:val="none"/>
                <w:lang w:val="en-US" w:eastAsia="zh-CN"/>
              </w:rPr>
              <w:t>东侧                                         南侧</w:t>
            </w:r>
          </w:p>
          <w:tbl>
            <w:tblPr>
              <w:tblStyle w:val="23"/>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243"/>
              <w:gridCol w:w="4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0" w:hRule="atLeast"/>
                <w:jc w:val="center"/>
              </w:trPr>
              <w:tc>
                <w:tcPr>
                  <w:tcW w:w="4361" w:type="dxa"/>
                </w:tcPr>
                <w:p>
                  <w:pPr>
                    <w:pStyle w:val="5"/>
                    <w:ind w:left="0" w:leftChars="0" w:firstLine="0" w:firstLineChars="0"/>
                    <w:jc w:val="center"/>
                    <w:rPr>
                      <w:rFonts w:hint="default" w:eastAsia="宋体"/>
                      <w:color w:val="auto"/>
                      <w:highlight w:val="none"/>
                      <w:vertAlign w:val="baseline"/>
                      <w:lang w:val="en-US" w:eastAsia="zh-CN"/>
                    </w:rPr>
                  </w:pPr>
                  <w:r>
                    <w:rPr>
                      <w:rFonts w:hint="default" w:eastAsia="宋体"/>
                      <w:color w:val="auto"/>
                      <w:highlight w:val="none"/>
                      <w:vertAlign w:val="baseline"/>
                      <w:lang w:val="en-US" w:eastAsia="zh-CN"/>
                    </w:rPr>
                    <w:drawing>
                      <wp:inline distT="0" distB="0" distL="114300" distR="114300">
                        <wp:extent cx="2611755" cy="1958340"/>
                        <wp:effectExtent l="0" t="0" r="17145" b="3810"/>
                        <wp:docPr id="24" name="图片 24" descr="IMG_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7168"/>
                                <pic:cNvPicPr>
                                  <a:picLocks noChangeAspect="1"/>
                                </pic:cNvPicPr>
                              </pic:nvPicPr>
                              <pic:blipFill>
                                <a:blip r:embed="rId24"/>
                                <a:stretch>
                                  <a:fillRect/>
                                </a:stretch>
                              </pic:blipFill>
                              <pic:spPr>
                                <a:xfrm>
                                  <a:off x="0" y="0"/>
                                  <a:ext cx="2611755" cy="1958340"/>
                                </a:xfrm>
                                <a:prstGeom prst="rect">
                                  <a:avLst/>
                                </a:prstGeom>
                              </pic:spPr>
                            </pic:pic>
                          </a:graphicData>
                        </a:graphic>
                      </wp:inline>
                    </w:drawing>
                  </w:r>
                </w:p>
              </w:tc>
              <w:tc>
                <w:tcPr>
                  <w:tcW w:w="250" w:type="dxa"/>
                </w:tcPr>
                <w:p>
                  <w:pPr>
                    <w:pStyle w:val="5"/>
                    <w:ind w:left="0" w:leftChars="0" w:firstLine="0" w:firstLineChars="0"/>
                    <w:jc w:val="both"/>
                    <w:rPr>
                      <w:rFonts w:hint="default" w:eastAsia="宋体"/>
                      <w:color w:val="auto"/>
                      <w:highlight w:val="none"/>
                      <w:vertAlign w:val="baseline"/>
                      <w:lang w:val="en-US" w:eastAsia="zh-CN"/>
                    </w:rPr>
                  </w:pPr>
                </w:p>
              </w:tc>
              <w:tc>
                <w:tcPr>
                  <w:tcW w:w="4348" w:type="dxa"/>
                </w:tcPr>
                <w:p>
                  <w:pPr>
                    <w:pStyle w:val="5"/>
                    <w:ind w:left="0" w:leftChars="0" w:firstLine="0" w:firstLineChars="0"/>
                    <w:jc w:val="center"/>
                    <w:rPr>
                      <w:rFonts w:hint="default" w:eastAsia="宋体"/>
                      <w:color w:val="auto"/>
                      <w:highlight w:val="none"/>
                      <w:vertAlign w:val="baseline"/>
                      <w:lang w:val="en-US" w:eastAsia="zh-CN"/>
                    </w:rPr>
                  </w:pPr>
                  <w:r>
                    <w:rPr>
                      <w:rFonts w:hint="default" w:eastAsia="宋体"/>
                      <w:color w:val="auto"/>
                      <w:highlight w:val="none"/>
                      <w:vertAlign w:val="baseline"/>
                      <w:lang w:val="en-US" w:eastAsia="zh-CN"/>
                    </w:rPr>
                    <w:drawing>
                      <wp:inline distT="0" distB="0" distL="114300" distR="114300">
                        <wp:extent cx="2611755" cy="1958340"/>
                        <wp:effectExtent l="0" t="0" r="17145" b="3810"/>
                        <wp:docPr id="31" name="图片 31" descr="IMG_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IMG_7169"/>
                                <pic:cNvPicPr>
                                  <a:picLocks noChangeAspect="1"/>
                                </pic:cNvPicPr>
                              </pic:nvPicPr>
                              <pic:blipFill>
                                <a:blip r:embed="rId25"/>
                                <a:stretch>
                                  <a:fillRect/>
                                </a:stretch>
                              </pic:blipFill>
                              <pic:spPr>
                                <a:xfrm>
                                  <a:off x="0" y="0"/>
                                  <a:ext cx="2611755" cy="1958340"/>
                                </a:xfrm>
                                <a:prstGeom prst="rect">
                                  <a:avLst/>
                                </a:prstGeom>
                              </pic:spPr>
                            </pic:pic>
                          </a:graphicData>
                        </a:graphic>
                      </wp:inline>
                    </w:drawing>
                  </w:r>
                </w:p>
              </w:tc>
            </w:tr>
          </w:tbl>
          <w:p>
            <w:pPr>
              <w:pStyle w:val="5"/>
              <w:ind w:left="0" w:leftChars="0" w:firstLine="2200" w:firstLineChars="1000"/>
              <w:rPr>
                <w:rFonts w:hint="default" w:eastAsia="宋体"/>
                <w:color w:val="auto"/>
                <w:highlight w:val="none"/>
                <w:lang w:val="en-US" w:eastAsia="zh-CN"/>
              </w:rPr>
            </w:pPr>
            <w:r>
              <w:rPr>
                <w:rFonts w:hint="eastAsia"/>
                <w:color w:val="auto"/>
                <w:highlight w:val="none"/>
                <w:lang w:val="en-US" w:eastAsia="zh-CN"/>
              </w:rPr>
              <w:t>西侧                                      北侧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3" w:hRule="atLeast"/>
        </w:trPr>
        <w:tc>
          <w:tcPr>
            <w:tcW w:w="558" w:type="dxa"/>
            <w:tcBorders>
              <w:right w:val="single" w:color="000000" w:sz="4" w:space="0"/>
            </w:tcBorders>
            <w:vAlign w:val="center"/>
          </w:tcPr>
          <w:p>
            <w:pPr>
              <w:pStyle w:val="29"/>
              <w:spacing w:line="520" w:lineRule="exact"/>
              <w:jc w:val="center"/>
              <w:rPr>
                <w:rFonts w:ascii="Times New Roman" w:hAnsi="Times New Roman" w:cs="Times New Roman"/>
                <w:color w:val="auto"/>
                <w:spacing w:val="-2"/>
                <w:sz w:val="24"/>
                <w:szCs w:val="24"/>
                <w:highlight w:val="none"/>
                <w:lang w:val="en-US"/>
              </w:rPr>
            </w:pPr>
            <w:r>
              <w:rPr>
                <w:rFonts w:ascii="Times New Roman" w:hAnsi="Times New Roman" w:cs="Times New Roman"/>
                <w:color w:val="auto"/>
                <w:spacing w:val="-2"/>
                <w:sz w:val="24"/>
                <w:szCs w:val="24"/>
                <w:highlight w:val="none"/>
                <w:lang w:val="en-US"/>
              </w:rPr>
              <w:t>污染物排放控制标准</w:t>
            </w:r>
          </w:p>
        </w:tc>
        <w:tc>
          <w:tcPr>
            <w:tcW w:w="9435" w:type="dxa"/>
            <w:tcBorders>
              <w:left w:val="single" w:color="000000" w:sz="4" w:space="0"/>
            </w:tcBorders>
          </w:tcPr>
          <w:p>
            <w:pPr>
              <w:numPr>
                <w:ilvl w:val="0"/>
                <w:numId w:val="4"/>
              </w:numPr>
              <w:spacing w:line="360" w:lineRule="auto"/>
              <w:ind w:firstLine="481" w:firstLineChars="200"/>
              <w:rPr>
                <w:rFonts w:ascii="Times New Roman" w:hAnsi="Times New Roman" w:cs="Times New Roman"/>
                <w:color w:val="auto"/>
                <w:sz w:val="24"/>
                <w:szCs w:val="24"/>
                <w:highlight w:val="none"/>
                <w:lang w:val="en-US"/>
              </w:rPr>
            </w:pPr>
            <w:r>
              <w:rPr>
                <w:rFonts w:ascii="Times New Roman" w:hAnsi="Times New Roman" w:cs="Times New Roman"/>
                <w:b/>
                <w:bCs/>
                <w:color w:val="auto"/>
                <w:sz w:val="24"/>
                <w:szCs w:val="24"/>
                <w:highlight w:val="none"/>
                <w:lang w:val="en-US"/>
              </w:rPr>
              <w:t>施工期</w:t>
            </w:r>
            <w:r>
              <w:rPr>
                <w:rFonts w:hint="eastAsia" w:ascii="Times New Roman" w:hAnsi="Times New Roman" w:cs="Times New Roman"/>
                <w:b/>
                <w:bCs/>
                <w:color w:val="auto"/>
                <w:sz w:val="24"/>
                <w:szCs w:val="24"/>
                <w:highlight w:val="none"/>
                <w:lang w:val="en-US" w:eastAsia="zh-CN"/>
              </w:rPr>
              <w:t>执行标准</w:t>
            </w:r>
          </w:p>
          <w:p>
            <w:pPr>
              <w:numPr>
                <w:ilvl w:val="0"/>
                <w:numId w:val="0"/>
              </w:numPr>
              <w:spacing w:line="360" w:lineRule="auto"/>
              <w:ind w:firstLine="480" w:firstLineChars="200"/>
              <w:rPr>
                <w:rFonts w:hint="eastAsia" w:eastAsia="宋体"/>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①施工期</w:t>
            </w:r>
            <w:r>
              <w:rPr>
                <w:rFonts w:ascii="Times New Roman" w:hAnsi="Times New Roman" w:cs="Times New Roman"/>
                <w:color w:val="auto"/>
                <w:sz w:val="24"/>
                <w:szCs w:val="24"/>
                <w:highlight w:val="none"/>
                <w:lang w:val="en-US"/>
              </w:rPr>
              <w:t>大气污染物满足《大气污染</w:t>
            </w:r>
            <w:r>
              <w:rPr>
                <w:rFonts w:hint="default" w:ascii="Times New Roman" w:hAnsi="Times New Roman" w:cs="Times New Roman"/>
                <w:color w:val="auto"/>
                <w:sz w:val="24"/>
                <w:szCs w:val="24"/>
                <w:highlight w:val="none"/>
                <w:lang w:val="en-US"/>
              </w:rPr>
              <w:t>物综合排放标准》（GB16297-1996）表2中无组织排放监控浓度限值</w:t>
            </w:r>
            <w:r>
              <w:rPr>
                <w:rFonts w:hint="eastAsia" w:ascii="Times New Roman" w:hAnsi="Times New Roman" w:cs="Times New Roman"/>
                <w:color w:val="auto"/>
                <w:sz w:val="24"/>
                <w:szCs w:val="24"/>
                <w:highlight w:val="none"/>
                <w:lang w:val="en-US" w:eastAsia="zh-CN"/>
              </w:rPr>
              <w:t>：</w:t>
            </w:r>
          </w:p>
          <w:p>
            <w:pPr>
              <w:tabs>
                <w:tab w:val="left" w:pos="5842"/>
              </w:tabs>
              <w:spacing w:line="440" w:lineRule="exact"/>
              <w:ind w:firstLine="481" w:firstLineChars="200"/>
              <w:jc w:val="center"/>
              <w:rPr>
                <w:rFonts w:ascii="Times New Roman" w:hAnsi="Times New Roman" w:eastAsia="黑体" w:cs="Times New Roman"/>
                <w:color w:val="auto"/>
                <w:sz w:val="24"/>
                <w:szCs w:val="24"/>
                <w:highlight w:val="none"/>
              </w:rPr>
            </w:pPr>
            <w:r>
              <w:rPr>
                <w:rStyle w:val="27"/>
                <w:rFonts w:ascii="Times New Roman" w:hAnsi="Times New Roman" w:cs="Times New Roman"/>
                <w:b/>
                <w:bCs/>
                <w:color w:val="auto"/>
                <w:sz w:val="24"/>
                <w:szCs w:val="24"/>
                <w:highlight w:val="none"/>
                <w:lang w:val="en-US"/>
              </w:rPr>
              <w:t>表3-</w:t>
            </w:r>
            <w:r>
              <w:rPr>
                <w:rStyle w:val="27"/>
                <w:rFonts w:hint="eastAsia" w:ascii="Times New Roman" w:hAnsi="Times New Roman" w:cs="Times New Roman"/>
                <w:b/>
                <w:bCs/>
                <w:color w:val="auto"/>
                <w:sz w:val="24"/>
                <w:szCs w:val="24"/>
                <w:highlight w:val="none"/>
                <w:lang w:val="en-US" w:eastAsia="zh-CN"/>
              </w:rPr>
              <w:t>5</w:t>
            </w:r>
            <w:r>
              <w:rPr>
                <w:rStyle w:val="27"/>
                <w:rFonts w:ascii="Times New Roman" w:hAnsi="Times New Roman" w:cs="Times New Roman"/>
                <w:b/>
                <w:bCs/>
                <w:color w:val="auto"/>
                <w:sz w:val="24"/>
                <w:szCs w:val="24"/>
                <w:highlight w:val="none"/>
                <w:lang w:val="en-US"/>
              </w:rPr>
              <w:t xml:space="preserve">  </w:t>
            </w:r>
            <w:r>
              <w:rPr>
                <w:rFonts w:ascii="Times New Roman" w:hAnsi="Times New Roman" w:cs="Times New Roman"/>
                <w:b/>
                <w:bCs/>
                <w:color w:val="auto"/>
                <w:sz w:val="24"/>
                <w:szCs w:val="24"/>
                <w:highlight w:val="none"/>
              </w:rPr>
              <w:t xml:space="preserve"> </w:t>
            </w:r>
            <w:r>
              <w:rPr>
                <w:rFonts w:hint="eastAsia" w:ascii="Times New Roman" w:hAnsi="Times New Roman" w:cs="Times New Roman"/>
                <w:b/>
                <w:bCs/>
                <w:color w:val="auto"/>
                <w:sz w:val="24"/>
                <w:szCs w:val="24"/>
                <w:highlight w:val="none"/>
                <w:lang w:val="en-US" w:eastAsia="zh-CN"/>
              </w:rPr>
              <w:t>《大气污染物综合排放标准》（GB16297-1996）标准限值</w:t>
            </w:r>
            <w:r>
              <w:rPr>
                <w:rFonts w:ascii="Times New Roman" w:hAnsi="Times New Roman" w:eastAsia="黑体" w:cs="Times New Roman"/>
                <w:b/>
                <w:bCs/>
                <w:color w:val="auto"/>
                <w:sz w:val="24"/>
                <w:szCs w:val="24"/>
                <w:highlight w:val="none"/>
              </w:rPr>
              <w:t xml:space="preserve"> </w:t>
            </w:r>
            <w:r>
              <w:rPr>
                <w:rFonts w:ascii="Times New Roman" w:hAnsi="Times New Roman" w:eastAsia="黑体" w:cs="Times New Roman"/>
                <w:color w:val="auto"/>
                <w:sz w:val="24"/>
                <w:szCs w:val="24"/>
                <w:highlight w:val="none"/>
              </w:rPr>
              <w:t xml:space="preserve"> </w:t>
            </w:r>
          </w:p>
          <w:tbl>
            <w:tblPr>
              <w:tblStyle w:val="23"/>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0"/>
              <w:gridCol w:w="1952"/>
              <w:gridCol w:w="5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50" w:type="dxa"/>
                  <w:tcBorders>
                    <w:tl2br w:val="nil"/>
                    <w:tr2bl w:val="nil"/>
                  </w:tcBorders>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污染物项目</w:t>
                  </w:r>
                </w:p>
              </w:tc>
              <w:tc>
                <w:tcPr>
                  <w:tcW w:w="1952" w:type="dxa"/>
                  <w:tcBorders>
                    <w:tl2br w:val="nil"/>
                    <w:tr2bl w:val="nil"/>
                  </w:tcBorders>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限值</w:t>
                  </w:r>
                </w:p>
              </w:tc>
              <w:tc>
                <w:tcPr>
                  <w:tcW w:w="5416" w:type="dxa"/>
                  <w:tcBorders>
                    <w:tl2br w:val="nil"/>
                    <w:tr2bl w:val="nil"/>
                  </w:tcBorders>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950" w:type="dxa"/>
                  <w:tcBorders>
                    <w:tl2br w:val="nil"/>
                    <w:tr2bl w:val="nil"/>
                  </w:tcBorders>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颗粒物</w:t>
                  </w:r>
                </w:p>
              </w:tc>
              <w:tc>
                <w:tcPr>
                  <w:tcW w:w="1952" w:type="dxa"/>
                  <w:tcBorders>
                    <w:tl2br w:val="nil"/>
                    <w:tr2bl w:val="nil"/>
                  </w:tcBorders>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1.0</w:t>
                  </w:r>
                  <w:r>
                    <w:rPr>
                      <w:rFonts w:ascii="Times New Roman" w:hAnsi="Times New Roman" w:eastAsia="黑体" w:cs="Times New Roman"/>
                      <w:color w:val="auto"/>
                      <w:sz w:val="21"/>
                      <w:szCs w:val="21"/>
                      <w:highlight w:val="none"/>
                    </w:rPr>
                    <w:t xml:space="preserve"> mg/m</w:t>
                  </w:r>
                  <w:r>
                    <w:rPr>
                      <w:rFonts w:ascii="Times New Roman" w:hAnsi="Times New Roman" w:eastAsia="黑体" w:cs="Times New Roman"/>
                      <w:color w:val="auto"/>
                      <w:sz w:val="21"/>
                      <w:szCs w:val="21"/>
                      <w:highlight w:val="none"/>
                      <w:vertAlign w:val="superscript"/>
                    </w:rPr>
                    <w:t>3</w:t>
                  </w:r>
                </w:p>
              </w:tc>
              <w:tc>
                <w:tcPr>
                  <w:tcW w:w="5416" w:type="dxa"/>
                  <w:tcBorders>
                    <w:tl2br w:val="nil"/>
                    <w:tr2bl w:val="nil"/>
                  </w:tcBorders>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《大气污染物综合排放标准》（GB16297-1996）</w:t>
                  </w:r>
                </w:p>
              </w:tc>
            </w:tr>
          </w:tbl>
          <w:p>
            <w:pPr>
              <w:pStyle w:val="46"/>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szCs w:val="24"/>
                <w:highlight w:val="none"/>
                <w:lang w:val="en-US" w:eastAsia="zh-CN"/>
              </w:rPr>
              <w:t>②</w:t>
            </w:r>
            <w:r>
              <w:rPr>
                <w:rFonts w:ascii="Times New Roman" w:hAnsi="Times New Roman" w:eastAsia="宋体" w:cs="Times New Roman"/>
                <w:color w:val="auto"/>
                <w:szCs w:val="24"/>
                <w:highlight w:val="none"/>
                <w:lang w:val="en-US"/>
              </w:rPr>
              <w:t>施工期噪声执行《建筑施工场界环境噪声排放标准》（GB12523-2011）</w:t>
            </w:r>
            <w:r>
              <w:rPr>
                <w:rFonts w:hint="eastAsia" w:ascii="Times New Roman" w:hAnsi="Times New Roman" w:eastAsia="宋体" w:cs="Times New Roman"/>
                <w:color w:val="auto"/>
                <w:szCs w:val="24"/>
                <w:highlight w:val="none"/>
                <w:lang w:val="en-US" w:eastAsia="zh-CN"/>
              </w:rPr>
              <w:t>：</w:t>
            </w:r>
          </w:p>
          <w:p>
            <w:pPr>
              <w:tabs>
                <w:tab w:val="left" w:pos="5842"/>
              </w:tabs>
              <w:spacing w:line="440" w:lineRule="exact"/>
              <w:ind w:firstLine="481" w:firstLineChars="200"/>
              <w:jc w:val="center"/>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表</w:t>
            </w:r>
            <w:r>
              <w:rPr>
                <w:rFonts w:ascii="Times New Roman" w:hAnsi="Times New Roman" w:cs="Times New Roman"/>
                <w:b/>
                <w:bCs/>
                <w:color w:val="auto"/>
                <w:sz w:val="24"/>
                <w:szCs w:val="24"/>
                <w:highlight w:val="none"/>
                <w:lang w:val="en-US"/>
              </w:rPr>
              <w:t>3-</w:t>
            </w:r>
            <w:r>
              <w:rPr>
                <w:rFonts w:hint="eastAsia" w:ascii="Times New Roman" w:hAnsi="Times New Roman" w:cs="Times New Roman"/>
                <w:b/>
                <w:bCs/>
                <w:color w:val="auto"/>
                <w:sz w:val="24"/>
                <w:szCs w:val="24"/>
                <w:highlight w:val="none"/>
                <w:lang w:val="en-US" w:eastAsia="zh-CN"/>
              </w:rPr>
              <w:t>6</w:t>
            </w:r>
            <w:r>
              <w:rPr>
                <w:rFonts w:ascii="Times New Roman" w:hAnsi="Times New Roman" w:cs="Times New Roman"/>
                <w:b/>
                <w:bCs/>
                <w:color w:val="auto"/>
                <w:sz w:val="24"/>
                <w:szCs w:val="24"/>
                <w:highlight w:val="none"/>
              </w:rPr>
              <w:t xml:space="preserve">   建筑施工场界环境噪声排放标准     单位：dB（A）</w:t>
            </w:r>
          </w:p>
          <w:tbl>
            <w:tblPr>
              <w:tblStyle w:val="23"/>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1143"/>
              <w:gridCol w:w="1143"/>
              <w:gridCol w:w="5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39" w:type="dxa"/>
                  <w:vMerge w:val="restart"/>
                  <w:vAlign w:val="center"/>
                </w:tcPr>
                <w:p>
                  <w:pPr>
                    <w:spacing w:line="36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限值</w:t>
                  </w:r>
                </w:p>
              </w:tc>
              <w:tc>
                <w:tcPr>
                  <w:tcW w:w="1143" w:type="dxa"/>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昼间</w:t>
                  </w:r>
                </w:p>
              </w:tc>
              <w:tc>
                <w:tcPr>
                  <w:tcW w:w="1143" w:type="dxa"/>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夜间</w:t>
                  </w:r>
                </w:p>
              </w:tc>
              <w:tc>
                <w:tcPr>
                  <w:tcW w:w="5854" w:type="dxa"/>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139" w:type="dxa"/>
                  <w:vMerge w:val="continue"/>
                  <w:vAlign w:val="center"/>
                </w:tcPr>
                <w:p>
                  <w:pPr>
                    <w:spacing w:line="360" w:lineRule="exact"/>
                    <w:jc w:val="center"/>
                    <w:rPr>
                      <w:rFonts w:ascii="Times New Roman" w:hAnsi="Times New Roman" w:cs="Times New Roman"/>
                      <w:color w:val="auto"/>
                      <w:sz w:val="21"/>
                      <w:szCs w:val="21"/>
                      <w:highlight w:val="none"/>
                    </w:rPr>
                  </w:pPr>
                </w:p>
              </w:tc>
              <w:tc>
                <w:tcPr>
                  <w:tcW w:w="1143" w:type="dxa"/>
                  <w:vAlign w:val="center"/>
                </w:tcPr>
                <w:p>
                  <w:pPr>
                    <w:keepNext w:val="0"/>
                    <w:keepLines w:val="0"/>
                    <w:pageBreakBefore w:val="0"/>
                    <w:widowControl w:val="0"/>
                    <w:kinsoku/>
                    <w:wordWrap/>
                    <w:overflowPunct/>
                    <w:topLinePunct w:val="0"/>
                    <w:autoSpaceDE w:val="0"/>
                    <w:autoSpaceDN w:val="0"/>
                    <w:bidi w:val="0"/>
                    <w:adjustRightInd/>
                    <w:snapToGrid/>
                    <w:spacing w:before="0" w:beforeLines="50" w:line="360" w:lineRule="auto"/>
                    <w:jc w:val="center"/>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70</w:t>
                  </w:r>
                </w:p>
              </w:tc>
              <w:tc>
                <w:tcPr>
                  <w:tcW w:w="1143" w:type="dxa"/>
                  <w:vAlign w:val="center"/>
                </w:tcPr>
                <w:p>
                  <w:pPr>
                    <w:keepNext w:val="0"/>
                    <w:keepLines w:val="0"/>
                    <w:pageBreakBefore w:val="0"/>
                    <w:widowControl w:val="0"/>
                    <w:kinsoku/>
                    <w:wordWrap/>
                    <w:overflowPunct/>
                    <w:topLinePunct w:val="0"/>
                    <w:autoSpaceDE w:val="0"/>
                    <w:autoSpaceDN w:val="0"/>
                    <w:bidi w:val="0"/>
                    <w:adjustRightInd/>
                    <w:snapToGrid/>
                    <w:spacing w:before="0" w:beforeLines="50" w:line="360" w:lineRule="auto"/>
                    <w:jc w:val="center"/>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55</w:t>
                  </w:r>
                </w:p>
              </w:tc>
              <w:tc>
                <w:tcPr>
                  <w:tcW w:w="5854" w:type="dxa"/>
                  <w:vAlign w:val="center"/>
                </w:tcPr>
                <w:p>
                  <w:pPr>
                    <w:keepNext w:val="0"/>
                    <w:keepLines w:val="0"/>
                    <w:pageBreakBefore w:val="0"/>
                    <w:widowControl w:val="0"/>
                    <w:kinsoku/>
                    <w:wordWrap/>
                    <w:overflowPunct/>
                    <w:topLinePunct w:val="0"/>
                    <w:autoSpaceDE w:val="0"/>
                    <w:autoSpaceDN w:val="0"/>
                    <w:bidi w:val="0"/>
                    <w:adjustRightInd/>
                    <w:snapToGrid/>
                    <w:spacing w:before="0" w:beforeLines="50" w:line="360" w:lineRule="auto"/>
                    <w:jc w:val="center"/>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《建筑施工场界环境噪声排放标准》（GB12523-2011）</w:t>
                  </w:r>
                </w:p>
              </w:tc>
            </w:tr>
          </w:tbl>
          <w:p>
            <w:pPr>
              <w:tabs>
                <w:tab w:val="left" w:pos="5842"/>
              </w:tabs>
              <w:spacing w:line="360" w:lineRule="auto"/>
              <w:ind w:firstLine="481" w:firstLineChars="200"/>
              <w:jc w:val="both"/>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2、运营期执行标准</w:t>
            </w:r>
          </w:p>
          <w:p>
            <w:pPr>
              <w:tabs>
                <w:tab w:val="left" w:pos="5842"/>
              </w:tabs>
              <w:spacing w:line="360" w:lineRule="auto"/>
              <w:ind w:firstLine="480" w:firstLineChars="200"/>
              <w:jc w:val="both"/>
              <w:rPr>
                <w:rFonts w:hint="eastAsia"/>
                <w:color w:val="auto"/>
                <w:sz w:val="24"/>
                <w:szCs w:val="21"/>
                <w:highlight w:val="none"/>
                <w:lang w:val="en-US" w:eastAsia="zh-CN"/>
              </w:rPr>
            </w:pPr>
            <w:r>
              <w:rPr>
                <w:rFonts w:hint="eastAsia" w:ascii="Times New Roman" w:hAnsi="Times New Roman" w:cs="Times New Roman"/>
                <w:b w:val="0"/>
                <w:bCs w:val="0"/>
                <w:color w:val="auto"/>
                <w:sz w:val="24"/>
                <w:szCs w:val="24"/>
                <w:highlight w:val="none"/>
                <w:lang w:val="en-US" w:eastAsia="zh-CN"/>
              </w:rPr>
              <w:t>①运营期颗粒物执行《大气污染物综合排放标准》（GB16297-1996）表2</w:t>
            </w:r>
            <w:r>
              <w:rPr>
                <w:color w:val="auto"/>
                <w:sz w:val="24"/>
                <w:szCs w:val="21"/>
                <w:highlight w:val="none"/>
              </w:rPr>
              <w:t>排放浓度限值</w:t>
            </w:r>
            <w:r>
              <w:rPr>
                <w:rFonts w:hint="eastAsia"/>
                <w:color w:val="auto"/>
                <w:sz w:val="24"/>
                <w:szCs w:val="21"/>
                <w:highlight w:val="none"/>
                <w:lang w:val="en-US" w:eastAsia="zh-CN"/>
              </w:rPr>
              <w:t>要求；运营期</w:t>
            </w:r>
            <w:r>
              <w:rPr>
                <w:rFonts w:hint="eastAsia"/>
                <w:color w:val="auto"/>
                <w:sz w:val="24"/>
                <w:szCs w:val="21"/>
                <w:highlight w:val="none"/>
              </w:rPr>
              <w:t>臭气浓度执行《恶臭污染物排放标准》</w:t>
            </w:r>
            <w:r>
              <w:rPr>
                <w:rFonts w:hint="default" w:ascii="Times New Roman" w:hAnsi="Times New Roman" w:cs="Times New Roman"/>
                <w:color w:val="auto"/>
                <w:sz w:val="24"/>
                <w:szCs w:val="21"/>
                <w:highlight w:val="none"/>
              </w:rPr>
              <w:t>GB 14554-93</w:t>
            </w:r>
            <w:r>
              <w:rPr>
                <w:rFonts w:hint="eastAsia"/>
                <w:color w:val="auto"/>
                <w:sz w:val="24"/>
                <w:szCs w:val="21"/>
                <w:highlight w:val="none"/>
              </w:rPr>
              <w:t>无组织排放标准</w:t>
            </w:r>
            <w:r>
              <w:rPr>
                <w:rFonts w:hint="eastAsia"/>
                <w:color w:val="auto"/>
                <w:sz w:val="24"/>
                <w:szCs w:val="21"/>
                <w:highlight w:val="none"/>
                <w:lang w:val="en-US" w:eastAsia="zh-CN"/>
              </w:rPr>
              <w:t>：</w:t>
            </w:r>
          </w:p>
          <w:p>
            <w:pPr>
              <w:pStyle w:val="5"/>
              <w:ind w:left="0" w:leftChars="0" w:firstLine="0" w:firstLineChars="0"/>
              <w:jc w:val="center"/>
              <w:rPr>
                <w:rFonts w:hint="default"/>
                <w:b/>
                <w:bCs/>
                <w:color w:val="auto"/>
                <w:highlight w:val="none"/>
                <w:lang w:val="en-US" w:eastAsia="zh-CN"/>
              </w:rPr>
            </w:pPr>
            <w:r>
              <w:rPr>
                <w:rFonts w:hint="eastAsia"/>
                <w:b/>
                <w:bCs/>
                <w:color w:val="auto"/>
                <w:sz w:val="24"/>
                <w:szCs w:val="21"/>
                <w:highlight w:val="none"/>
                <w:lang w:val="en-US" w:eastAsia="zh-CN"/>
              </w:rPr>
              <w:t>表</w:t>
            </w:r>
            <w:r>
              <w:rPr>
                <w:rFonts w:hint="default" w:ascii="Times New Roman" w:hAnsi="Times New Roman" w:cs="Times New Roman"/>
                <w:b/>
                <w:bCs/>
                <w:color w:val="auto"/>
                <w:sz w:val="24"/>
                <w:szCs w:val="21"/>
                <w:highlight w:val="none"/>
                <w:lang w:val="en-US" w:eastAsia="zh-CN"/>
              </w:rPr>
              <w:t>3-7</w:t>
            </w:r>
            <w:r>
              <w:rPr>
                <w:rFonts w:hint="eastAsia" w:ascii="Times New Roman" w:hAnsi="Times New Roman" w:cs="Times New Roman"/>
                <w:b/>
                <w:bCs/>
                <w:color w:val="auto"/>
                <w:sz w:val="24"/>
                <w:szCs w:val="21"/>
                <w:highlight w:val="none"/>
                <w:lang w:val="en-US" w:eastAsia="zh-CN"/>
              </w:rPr>
              <w:t xml:space="preserve">  </w:t>
            </w:r>
            <w:r>
              <w:rPr>
                <w:rFonts w:hint="eastAsia"/>
                <w:b/>
                <w:bCs/>
                <w:color w:val="auto"/>
                <w:sz w:val="24"/>
                <w:szCs w:val="21"/>
                <w:highlight w:val="none"/>
                <w:lang w:val="en-US" w:eastAsia="zh-CN"/>
              </w:rPr>
              <w:t xml:space="preserve"> </w:t>
            </w:r>
            <w:r>
              <w:rPr>
                <w:rFonts w:hint="eastAsia" w:ascii="Times New Roman" w:hAnsi="Times New Roman" w:cs="Times New Roman"/>
                <w:b/>
                <w:bCs/>
                <w:color w:val="auto"/>
                <w:sz w:val="24"/>
                <w:szCs w:val="24"/>
                <w:highlight w:val="none"/>
                <w:lang w:val="en-US" w:eastAsia="zh-CN"/>
              </w:rPr>
              <w:t>标准限值</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902"/>
              <w:gridCol w:w="1844"/>
              <w:gridCol w:w="1968"/>
              <w:gridCol w:w="2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401" w:type="pct"/>
                  <w:vAlign w:val="center"/>
                </w:tcPr>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污染物</w:t>
                  </w:r>
                </w:p>
              </w:tc>
              <w:tc>
                <w:tcPr>
                  <w:tcW w:w="1011" w:type="pct"/>
                  <w:vAlign w:val="center"/>
                </w:tcPr>
                <w:p>
                  <w:pPr>
                    <w:tabs>
                      <w:tab w:val="left" w:pos="5842"/>
                    </w:tabs>
                    <w:spacing w:line="240" w:lineRule="auto"/>
                    <w:jc w:val="center"/>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最高允许排放浓度</w:t>
                  </w:r>
                </w:p>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（mg/m</w:t>
                  </w:r>
                  <w:r>
                    <w:rPr>
                      <w:rFonts w:hint="eastAsia" w:ascii="Times New Roman" w:hAnsi="Times New Roman" w:cs="Times New Roman"/>
                      <w:b w:val="0"/>
                      <w:bCs w:val="0"/>
                      <w:color w:val="auto"/>
                      <w:sz w:val="21"/>
                      <w:szCs w:val="21"/>
                      <w:highlight w:val="none"/>
                      <w:vertAlign w:val="superscript"/>
                      <w:lang w:val="en-US" w:eastAsia="zh-CN"/>
                    </w:rPr>
                    <w:t>3</w:t>
                  </w:r>
                  <w:r>
                    <w:rPr>
                      <w:rFonts w:hint="eastAsia" w:ascii="Times New Roman" w:hAnsi="Times New Roman" w:cs="Times New Roman"/>
                      <w:b w:val="0"/>
                      <w:bCs w:val="0"/>
                      <w:color w:val="auto"/>
                      <w:sz w:val="21"/>
                      <w:szCs w:val="21"/>
                      <w:highlight w:val="none"/>
                      <w:vertAlign w:val="baseline"/>
                      <w:lang w:val="en-US" w:eastAsia="zh-CN"/>
                    </w:rPr>
                    <w:t>）</w:t>
                  </w:r>
                </w:p>
              </w:tc>
              <w:tc>
                <w:tcPr>
                  <w:tcW w:w="980" w:type="pct"/>
                  <w:vAlign w:val="center"/>
                </w:tcPr>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最高允许排放速率kg/h</w:t>
                  </w:r>
                </w:p>
              </w:tc>
              <w:tc>
                <w:tcPr>
                  <w:tcW w:w="1046" w:type="pct"/>
                  <w:vAlign w:val="center"/>
                </w:tcPr>
                <w:p>
                  <w:pPr>
                    <w:tabs>
                      <w:tab w:val="left" w:pos="5842"/>
                    </w:tabs>
                    <w:spacing w:line="240" w:lineRule="auto"/>
                    <w:jc w:val="center"/>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无组织排放监控浓度限值</w:t>
                  </w:r>
                </w:p>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（mg/m</w:t>
                  </w:r>
                  <w:r>
                    <w:rPr>
                      <w:rFonts w:hint="eastAsia" w:ascii="Times New Roman" w:hAnsi="Times New Roman" w:cs="Times New Roman"/>
                      <w:b w:val="0"/>
                      <w:bCs w:val="0"/>
                      <w:color w:val="auto"/>
                      <w:sz w:val="21"/>
                      <w:szCs w:val="21"/>
                      <w:highlight w:val="none"/>
                      <w:vertAlign w:val="superscript"/>
                      <w:lang w:val="en-US" w:eastAsia="zh-CN"/>
                    </w:rPr>
                    <w:t>3</w:t>
                  </w:r>
                  <w:r>
                    <w:rPr>
                      <w:rFonts w:hint="eastAsia" w:ascii="Times New Roman" w:hAnsi="Times New Roman" w:cs="Times New Roman"/>
                      <w:b w:val="0"/>
                      <w:bCs w:val="0"/>
                      <w:color w:val="auto"/>
                      <w:sz w:val="21"/>
                      <w:szCs w:val="21"/>
                      <w:highlight w:val="none"/>
                      <w:vertAlign w:val="baseline"/>
                      <w:lang w:val="en-US" w:eastAsia="zh-CN"/>
                    </w:rPr>
                    <w:t>）</w:t>
                  </w:r>
                </w:p>
              </w:tc>
              <w:tc>
                <w:tcPr>
                  <w:tcW w:w="1559" w:type="pct"/>
                  <w:vAlign w:val="center"/>
                </w:tcPr>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01" w:type="pct"/>
                  <w:vAlign w:val="center"/>
                </w:tcPr>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颗粒物</w:t>
                  </w:r>
                </w:p>
              </w:tc>
              <w:tc>
                <w:tcPr>
                  <w:tcW w:w="1011" w:type="pct"/>
                  <w:vAlign w:val="center"/>
                </w:tcPr>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120</w:t>
                  </w:r>
                </w:p>
              </w:tc>
              <w:tc>
                <w:tcPr>
                  <w:tcW w:w="980" w:type="pct"/>
                  <w:vAlign w:val="center"/>
                </w:tcPr>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3.5</w:t>
                  </w:r>
                </w:p>
              </w:tc>
              <w:tc>
                <w:tcPr>
                  <w:tcW w:w="1046" w:type="pct"/>
                  <w:vAlign w:val="center"/>
                </w:tcPr>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1.0</w:t>
                  </w:r>
                </w:p>
              </w:tc>
              <w:tc>
                <w:tcPr>
                  <w:tcW w:w="1559" w:type="pct"/>
                  <w:vAlign w:val="center"/>
                </w:tcPr>
                <w:p>
                  <w:pPr>
                    <w:tabs>
                      <w:tab w:val="left" w:pos="5842"/>
                    </w:tabs>
                    <w:spacing w:line="240" w:lineRule="auto"/>
                    <w:jc w:val="center"/>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《大气污染物综合排放标准》（GB16297-1996）标准限值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01" w:type="pct"/>
                  <w:vAlign w:val="center"/>
                </w:tcPr>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臭气浓度</w:t>
                  </w:r>
                </w:p>
              </w:tc>
              <w:tc>
                <w:tcPr>
                  <w:tcW w:w="1011" w:type="pct"/>
                  <w:vAlign w:val="center"/>
                </w:tcPr>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w:t>
                  </w:r>
                </w:p>
              </w:tc>
              <w:tc>
                <w:tcPr>
                  <w:tcW w:w="980" w:type="pct"/>
                  <w:vAlign w:val="center"/>
                </w:tcPr>
                <w:p>
                  <w:pPr>
                    <w:tabs>
                      <w:tab w:val="left" w:pos="5842"/>
                    </w:tabs>
                    <w:spacing w:line="240" w:lineRule="auto"/>
                    <w:jc w:val="center"/>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w:t>
                  </w:r>
                </w:p>
              </w:tc>
              <w:tc>
                <w:tcPr>
                  <w:tcW w:w="1046" w:type="pct"/>
                  <w:vAlign w:val="center"/>
                </w:tcPr>
                <w:p>
                  <w:pPr>
                    <w:tabs>
                      <w:tab w:val="left" w:pos="5842"/>
                    </w:tabs>
                    <w:spacing w:line="240" w:lineRule="auto"/>
                    <w:jc w:val="center"/>
                    <w:rPr>
                      <w:rFonts w:hint="eastAsia"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color w:val="auto"/>
                      <w:sz w:val="24"/>
                      <w:szCs w:val="24"/>
                      <w:highlight w:val="none"/>
                    </w:rPr>
                    <w:t>10（无量纲）</w:t>
                  </w:r>
                </w:p>
              </w:tc>
              <w:tc>
                <w:tcPr>
                  <w:tcW w:w="1559" w:type="pct"/>
                  <w:vAlign w:val="center"/>
                </w:tcPr>
                <w:p>
                  <w:pPr>
                    <w:tabs>
                      <w:tab w:val="left" w:pos="5842"/>
                    </w:tabs>
                    <w:spacing w:line="240" w:lineRule="auto"/>
                    <w:jc w:val="center"/>
                    <w:rPr>
                      <w:rFonts w:hint="eastAsia"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《恶臭污染物排放标准》GB 14554-93表1二级标准</w:t>
                  </w:r>
                </w:p>
              </w:tc>
            </w:tr>
          </w:tbl>
          <w:p>
            <w:pPr>
              <w:tabs>
                <w:tab w:val="left" w:pos="5842"/>
              </w:tabs>
              <w:spacing w:line="440" w:lineRule="exact"/>
              <w:ind w:firstLine="480" w:firstLineChars="200"/>
              <w:jc w:val="both"/>
              <w:rPr>
                <w:rFonts w:ascii="Times New Roman" w:hAnsi="Times New Roman" w:cs="Times New Roman"/>
                <w:b w:val="0"/>
                <w:bCs w:val="0"/>
                <w:color w:val="auto"/>
                <w:sz w:val="24"/>
                <w:szCs w:val="24"/>
                <w:highlight w:val="none"/>
              </w:rPr>
            </w:pPr>
            <w:r>
              <w:rPr>
                <w:rFonts w:hint="eastAsia" w:ascii="Times New Roman" w:hAnsi="Times New Roman" w:cs="Times New Roman"/>
                <w:b w:val="0"/>
                <w:bCs w:val="0"/>
                <w:color w:val="auto"/>
                <w:sz w:val="24"/>
                <w:szCs w:val="24"/>
                <w:highlight w:val="none"/>
                <w:lang w:val="en-US" w:eastAsia="zh-CN"/>
              </w:rPr>
              <w:t>②</w:t>
            </w:r>
            <w:r>
              <w:rPr>
                <w:rFonts w:ascii="Times New Roman" w:hAnsi="Times New Roman" w:cs="Times New Roman"/>
                <w:b w:val="0"/>
                <w:bCs w:val="0"/>
                <w:color w:val="auto"/>
                <w:sz w:val="24"/>
                <w:szCs w:val="24"/>
                <w:highlight w:val="none"/>
                <w:lang w:val="en-US"/>
              </w:rPr>
              <w:t>运营期噪声执行《工业企业厂界环境噪声排放标准》（GB12348-2008）中的</w:t>
            </w:r>
            <w:r>
              <w:rPr>
                <w:rFonts w:hint="eastAsia" w:ascii="Times New Roman" w:hAnsi="Times New Roman" w:cs="Times New Roman"/>
                <w:b w:val="0"/>
                <w:bCs w:val="0"/>
                <w:color w:val="auto"/>
                <w:sz w:val="24"/>
                <w:szCs w:val="24"/>
                <w:highlight w:val="none"/>
                <w:lang w:val="en-US" w:eastAsia="zh-CN"/>
              </w:rPr>
              <w:t>3</w:t>
            </w:r>
            <w:r>
              <w:rPr>
                <w:rFonts w:ascii="Times New Roman" w:hAnsi="Times New Roman" w:cs="Times New Roman"/>
                <w:b w:val="0"/>
                <w:bCs w:val="0"/>
                <w:color w:val="auto"/>
                <w:sz w:val="24"/>
                <w:szCs w:val="24"/>
                <w:highlight w:val="none"/>
                <w:lang w:val="en-US"/>
              </w:rPr>
              <w:t>类声环境功能区标准。</w:t>
            </w:r>
          </w:p>
          <w:p>
            <w:pPr>
              <w:tabs>
                <w:tab w:val="left" w:pos="5842"/>
              </w:tabs>
              <w:spacing w:line="440" w:lineRule="exact"/>
              <w:ind w:firstLine="481" w:firstLineChars="200"/>
              <w:jc w:val="center"/>
              <w:rPr>
                <w:rFonts w:ascii="Times New Roman" w:hAnsi="Times New Roman" w:eastAsia="黑体" w:cs="Times New Roman"/>
                <w:color w:val="auto"/>
                <w:sz w:val="24"/>
                <w:szCs w:val="24"/>
                <w:highlight w:val="none"/>
              </w:rPr>
            </w:pPr>
            <w:r>
              <w:rPr>
                <w:rFonts w:ascii="Times New Roman" w:hAnsi="Times New Roman" w:cs="Times New Roman"/>
                <w:b/>
                <w:bCs/>
                <w:color w:val="auto"/>
                <w:sz w:val="24"/>
                <w:szCs w:val="24"/>
                <w:highlight w:val="none"/>
              </w:rPr>
              <w:t>表</w:t>
            </w:r>
            <w:r>
              <w:rPr>
                <w:rFonts w:ascii="Times New Roman" w:hAnsi="Times New Roman" w:cs="Times New Roman"/>
                <w:b/>
                <w:bCs/>
                <w:color w:val="auto"/>
                <w:sz w:val="24"/>
                <w:szCs w:val="24"/>
                <w:highlight w:val="none"/>
                <w:lang w:val="en-US"/>
              </w:rPr>
              <w:t>3-</w:t>
            </w:r>
            <w:r>
              <w:rPr>
                <w:rFonts w:hint="eastAsia" w:ascii="Times New Roman" w:hAnsi="Times New Roman" w:cs="Times New Roman"/>
                <w:b/>
                <w:bCs/>
                <w:color w:val="auto"/>
                <w:sz w:val="24"/>
                <w:szCs w:val="24"/>
                <w:highlight w:val="none"/>
                <w:lang w:val="en-US" w:eastAsia="zh-CN"/>
              </w:rPr>
              <w:t>8</w:t>
            </w:r>
            <w:r>
              <w:rPr>
                <w:rFonts w:ascii="Times New Roman" w:hAnsi="Times New Roman" w:cs="Times New Roman"/>
                <w:b/>
                <w:bCs/>
                <w:color w:val="auto"/>
                <w:sz w:val="24"/>
                <w:szCs w:val="24"/>
                <w:highlight w:val="none"/>
              </w:rPr>
              <w:t xml:space="preserve"> </w:t>
            </w:r>
            <w:r>
              <w:rPr>
                <w:rFonts w:ascii="Times New Roman" w:hAnsi="Times New Roman" w:cs="Times New Roman"/>
                <w:b/>
                <w:bCs/>
                <w:color w:val="auto"/>
                <w:sz w:val="24"/>
                <w:szCs w:val="24"/>
                <w:highlight w:val="none"/>
                <w:lang w:val="en-US"/>
              </w:rPr>
              <w:t xml:space="preserve"> </w:t>
            </w:r>
            <w:r>
              <w:rPr>
                <w:rFonts w:ascii="Times New Roman" w:hAnsi="Times New Roman" w:cs="Times New Roman"/>
                <w:b/>
                <w:bCs/>
                <w:color w:val="auto"/>
                <w:sz w:val="24"/>
                <w:szCs w:val="24"/>
                <w:highlight w:val="none"/>
              </w:rPr>
              <w:t>工业企业厂界环境噪声排放标准      单位：dB（A）</w:t>
            </w:r>
          </w:p>
          <w:tbl>
            <w:tblPr>
              <w:tblStyle w:val="23"/>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183"/>
              <w:gridCol w:w="1183"/>
              <w:gridCol w:w="5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182" w:type="dxa"/>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类别</w:t>
                  </w:r>
                </w:p>
              </w:tc>
              <w:tc>
                <w:tcPr>
                  <w:tcW w:w="1183" w:type="dxa"/>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昼间</w:t>
                  </w:r>
                </w:p>
              </w:tc>
              <w:tc>
                <w:tcPr>
                  <w:tcW w:w="1183" w:type="dxa"/>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夜间</w:t>
                  </w:r>
                </w:p>
              </w:tc>
              <w:tc>
                <w:tcPr>
                  <w:tcW w:w="5651" w:type="dxa"/>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182" w:type="dxa"/>
                  <w:vAlign w:val="center"/>
                </w:tcPr>
                <w:p>
                  <w:pPr>
                    <w:spacing w:line="320" w:lineRule="exact"/>
                    <w:jc w:val="center"/>
                    <w:rPr>
                      <w:rFonts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3</w:t>
                  </w:r>
                  <w:r>
                    <w:rPr>
                      <w:rFonts w:ascii="Times New Roman" w:hAnsi="Times New Roman" w:cs="Times New Roman"/>
                      <w:color w:val="auto"/>
                      <w:sz w:val="21"/>
                      <w:szCs w:val="21"/>
                      <w:highlight w:val="none"/>
                    </w:rPr>
                    <w:t>类</w:t>
                  </w:r>
                </w:p>
              </w:tc>
              <w:tc>
                <w:tcPr>
                  <w:tcW w:w="1183" w:type="dxa"/>
                  <w:vAlign w:val="center"/>
                </w:tcPr>
                <w:p>
                  <w:pPr>
                    <w:spacing w:line="320" w:lineRule="exact"/>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65</w:t>
                  </w:r>
                </w:p>
              </w:tc>
              <w:tc>
                <w:tcPr>
                  <w:tcW w:w="1183" w:type="dxa"/>
                  <w:vAlign w:val="center"/>
                </w:tcPr>
                <w:p>
                  <w:pPr>
                    <w:spacing w:line="320" w:lineRule="exact"/>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55</w:t>
                  </w:r>
                </w:p>
              </w:tc>
              <w:tc>
                <w:tcPr>
                  <w:tcW w:w="5651" w:type="dxa"/>
                  <w:vAlign w:val="center"/>
                </w:tcPr>
                <w:p>
                  <w:pPr>
                    <w:spacing w:line="32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《工业企业厂界环境噪声排放标准》（GB12348-2008）</w:t>
                  </w:r>
                </w:p>
              </w:tc>
            </w:tr>
          </w:tbl>
          <w:p>
            <w:pPr>
              <w:keepLines/>
              <w:numPr>
                <w:ilvl w:val="0"/>
                <w:numId w:val="0"/>
              </w:numPr>
              <w:topLinePunct/>
              <w:autoSpaceDE/>
              <w:autoSpaceDN/>
              <w:spacing w:line="360" w:lineRule="auto"/>
              <w:ind w:firstLine="480" w:firstLineChars="200"/>
              <w:jc w:val="both"/>
              <w:rPr>
                <w:rFonts w:ascii="Times New Roman" w:hAnsi="Times New Roman" w:cs="Times New Roman"/>
                <w:color w:val="auto"/>
                <w:sz w:val="24"/>
                <w:szCs w:val="24"/>
                <w:highlight w:val="none"/>
                <w:lang w:val="en-US"/>
              </w:rPr>
            </w:pPr>
            <w:r>
              <w:rPr>
                <w:rFonts w:hint="eastAsia"/>
                <w:color w:val="auto"/>
                <w:sz w:val="24"/>
                <w:szCs w:val="28"/>
                <w:highlight w:val="none"/>
                <w:lang w:val="en-US" w:eastAsia="zh-CN"/>
              </w:rPr>
              <w:t>③</w:t>
            </w:r>
            <w:r>
              <w:rPr>
                <w:rFonts w:hint="eastAsia" w:ascii="Times New Roman" w:hAnsi="Times New Roman" w:cs="Times New Roman"/>
                <w:color w:val="auto"/>
                <w:sz w:val="24"/>
                <w:szCs w:val="24"/>
                <w:highlight w:val="none"/>
                <w:lang w:val="en-US" w:eastAsia="zh-CN"/>
              </w:rPr>
              <w:t>运营期固废</w:t>
            </w:r>
            <w:r>
              <w:rPr>
                <w:rFonts w:hint="eastAsia" w:ascii="Times New Roman" w:hAnsi="Times New Roman" w:cs="Times New Roman"/>
                <w:color w:val="auto"/>
                <w:sz w:val="24"/>
                <w:szCs w:val="24"/>
                <w:highlight w:val="none"/>
                <w:lang w:val="en-US"/>
              </w:rPr>
              <w:t>执行</w:t>
            </w:r>
            <w:r>
              <w:rPr>
                <w:rFonts w:hint="eastAsia" w:cs="Times New Roman"/>
                <w:color w:val="auto"/>
                <w:kern w:val="0"/>
                <w:sz w:val="24"/>
                <w:szCs w:val="24"/>
                <w:highlight w:val="none"/>
                <w:lang w:val="en-US" w:eastAsia="zh-CN"/>
              </w:rPr>
              <w:t>《</w:t>
            </w:r>
            <w:r>
              <w:rPr>
                <w:rFonts w:hint="default" w:ascii="Times New Roman" w:hAnsi="Times New Roman" w:cs="Times New Roman"/>
                <w:color w:val="auto"/>
                <w:kern w:val="0"/>
                <w:sz w:val="24"/>
                <w:szCs w:val="24"/>
                <w:highlight w:val="none"/>
                <w:lang w:val="en-US" w:eastAsia="zh-CN"/>
              </w:rPr>
              <w:t>一般工业固体废物贮存和填埋污染控制标准》</w:t>
            </w:r>
            <w:r>
              <w:rPr>
                <w:rFonts w:hint="eastAsia" w:ascii="Times New Roman" w:hAnsi="Times New Roman" w:cs="Times New Roman"/>
                <w:color w:val="auto"/>
                <w:kern w:val="0"/>
                <w:sz w:val="24"/>
                <w:szCs w:val="24"/>
                <w:highlight w:val="none"/>
                <w:lang w:val="en-US" w:eastAsia="zh-CN"/>
              </w:rPr>
              <w:t>（</w:t>
            </w:r>
            <w:r>
              <w:rPr>
                <w:rFonts w:hint="default" w:ascii="Times New Roman" w:hAnsi="Times New Roman" w:cs="Times New Roman"/>
                <w:color w:val="auto"/>
                <w:kern w:val="0"/>
                <w:sz w:val="24"/>
                <w:szCs w:val="24"/>
                <w:highlight w:val="none"/>
                <w:lang w:val="en-US" w:eastAsia="zh-CN"/>
              </w:rPr>
              <w:t>GB18599-2020</w:t>
            </w:r>
            <w:r>
              <w:rPr>
                <w:rFonts w:hint="eastAsia" w:ascii="Times New Roman" w:hAnsi="Times New Roman" w:cs="Times New Roman"/>
                <w:color w:val="auto"/>
                <w:kern w:val="0"/>
                <w:sz w:val="24"/>
                <w:szCs w:val="24"/>
                <w:highlight w:val="none"/>
                <w:lang w:val="en-US" w:eastAsia="zh-CN"/>
              </w:rPr>
              <w:t>）；危险废物执行《危险废物贮存污染控制标准》（GB18597-2023）</w:t>
            </w:r>
            <w:r>
              <w:rPr>
                <w:rFonts w:hint="eastAsia" w:ascii="宋体" w:hAnsi="宋体" w:cs="宋体"/>
                <w:color w:val="auto"/>
                <w:kern w:val="0"/>
                <w:sz w:val="24"/>
                <w:szCs w:val="24"/>
                <w:highlight w:val="none"/>
                <w:lang w:val="en-US" w:eastAsia="zh-C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80" w:hRule="atLeast"/>
        </w:trPr>
        <w:tc>
          <w:tcPr>
            <w:tcW w:w="558" w:type="dxa"/>
            <w:tcBorders>
              <w:right w:val="single" w:color="000000" w:sz="4" w:space="0"/>
            </w:tcBorders>
            <w:vAlign w:val="center"/>
          </w:tcPr>
          <w:p>
            <w:pPr>
              <w:pStyle w:val="29"/>
              <w:spacing w:line="240" w:lineRule="auto"/>
              <w:jc w:val="center"/>
              <w:rPr>
                <w:rFonts w:ascii="Times New Roman" w:hAnsi="Times New Roman" w:cs="Times New Roman"/>
                <w:color w:val="auto"/>
                <w:spacing w:val="-2"/>
                <w:sz w:val="24"/>
                <w:szCs w:val="24"/>
                <w:highlight w:val="none"/>
                <w:lang w:val="en-US"/>
              </w:rPr>
            </w:pPr>
            <w:r>
              <w:rPr>
                <w:rFonts w:ascii="Times New Roman" w:hAnsi="Times New Roman" w:cs="Times New Roman"/>
                <w:color w:val="auto"/>
                <w:spacing w:val="-2"/>
                <w:sz w:val="24"/>
                <w:szCs w:val="24"/>
                <w:highlight w:val="none"/>
                <w:lang w:val="en-US"/>
              </w:rPr>
              <w:t>总量控制指标</w:t>
            </w:r>
          </w:p>
        </w:tc>
        <w:tc>
          <w:tcPr>
            <w:tcW w:w="9435" w:type="dxa"/>
            <w:tcBorders>
              <w:left w:val="single" w:color="000000" w:sz="4" w:space="0"/>
              <w:bottom w:val="single" w:color="000000" w:sz="4" w:space="0"/>
            </w:tcBorders>
            <w:vAlign w:val="center"/>
          </w:tcPr>
          <w:p>
            <w:pPr>
              <w:spacing w:line="520" w:lineRule="exact"/>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rPr>
              <w:t>无</w:t>
            </w:r>
          </w:p>
        </w:tc>
      </w:tr>
    </w:tbl>
    <w:p>
      <w:pPr>
        <w:rPr>
          <w:rFonts w:ascii="Times New Roman" w:hAnsi="Times New Roman" w:cs="Times New Roman"/>
          <w:color w:val="auto"/>
          <w:highlight w:val="none"/>
        </w:rPr>
      </w:pPr>
      <w:r>
        <w:rPr>
          <w:rFonts w:ascii="Times New Roman" w:hAnsi="Times New Roman" w:cs="Times New Roman"/>
          <w:color w:val="auto"/>
          <w:highlight w:val="none"/>
        </w:rPr>
        <w:br w:type="page"/>
      </w:r>
    </w:p>
    <w:p>
      <w:pPr>
        <w:jc w:val="center"/>
        <w:outlineLvl w:val="0"/>
        <w:rPr>
          <w:rFonts w:ascii="Times New Roman" w:hAnsi="Times New Roman" w:cs="Times New Roman"/>
          <w:b/>
          <w:bCs/>
          <w:color w:val="auto"/>
          <w:sz w:val="30"/>
          <w:szCs w:val="30"/>
          <w:highlight w:val="none"/>
        </w:rPr>
      </w:pPr>
      <w:r>
        <w:rPr>
          <w:rFonts w:ascii="Times New Roman" w:hAnsi="Times New Roman" w:cs="Times New Roman"/>
          <w:b/>
          <w:bCs/>
          <w:color w:val="auto"/>
          <w:sz w:val="30"/>
          <w:szCs w:val="30"/>
          <w:highlight w:val="none"/>
        </w:rPr>
        <w:t>四、主要环境影响和保护措施</w:t>
      </w:r>
    </w:p>
    <w:tbl>
      <w:tblPr>
        <w:tblStyle w:val="22"/>
        <w:tblW w:w="1015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695"/>
        <w:gridCol w:w="945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jc w:val="center"/>
        </w:trPr>
        <w:tc>
          <w:tcPr>
            <w:tcW w:w="695" w:type="dxa"/>
            <w:tcBorders>
              <w:right w:val="single" w:color="000000" w:sz="4" w:space="0"/>
            </w:tcBorders>
            <w:vAlign w:val="center"/>
          </w:tcPr>
          <w:p>
            <w:pPr>
              <w:pStyle w:val="29"/>
              <w:spacing w:line="520" w:lineRule="exact"/>
              <w:jc w:val="center"/>
              <w:rPr>
                <w:rFonts w:ascii="Times New Roman" w:hAnsi="Times New Roman" w:cs="Times New Roman"/>
                <w:color w:val="auto"/>
                <w:sz w:val="21"/>
                <w:highlight w:val="none"/>
              </w:rPr>
            </w:pPr>
            <w:r>
              <w:rPr>
                <w:rFonts w:ascii="Times New Roman" w:hAnsi="Times New Roman" w:cs="Times New Roman"/>
                <w:color w:val="auto"/>
                <w:sz w:val="24"/>
                <w:szCs w:val="28"/>
                <w:highlight w:val="none"/>
              </w:rPr>
              <w:t>施工期环境</w:t>
            </w:r>
            <w:r>
              <w:rPr>
                <w:rFonts w:hint="eastAsia" w:ascii="Times New Roman" w:hAnsi="Times New Roman" w:cs="Times New Roman"/>
                <w:color w:val="auto"/>
                <w:sz w:val="24"/>
                <w:szCs w:val="28"/>
                <w:highlight w:val="none"/>
              </w:rPr>
              <w:t>和</w:t>
            </w:r>
            <w:r>
              <w:rPr>
                <w:rFonts w:ascii="Times New Roman" w:hAnsi="Times New Roman" w:cs="Times New Roman"/>
                <w:color w:val="auto"/>
                <w:sz w:val="24"/>
                <w:szCs w:val="28"/>
                <w:highlight w:val="none"/>
              </w:rPr>
              <w:t>保护措施</w:t>
            </w:r>
          </w:p>
        </w:tc>
        <w:tc>
          <w:tcPr>
            <w:tcW w:w="9455" w:type="dxa"/>
            <w:tcBorders>
              <w:left w:val="single" w:color="000000" w:sz="4" w:space="0"/>
            </w:tcBorders>
            <w:vAlign w:val="center"/>
          </w:tcPr>
          <w:p>
            <w:pPr>
              <w:spacing w:line="360" w:lineRule="auto"/>
              <w:ind w:firstLine="480" w:firstLineChars="200"/>
              <w:rPr>
                <w:color w:val="auto"/>
                <w:sz w:val="24"/>
                <w:highlight w:val="none"/>
              </w:rPr>
            </w:pPr>
            <w:r>
              <w:rPr>
                <w:rFonts w:hint="eastAsia"/>
                <w:color w:val="auto"/>
                <w:sz w:val="24"/>
                <w:szCs w:val="24"/>
                <w:highlight w:val="none"/>
              </w:rPr>
              <w:t>施工内容主要包括</w:t>
            </w:r>
            <w:r>
              <w:rPr>
                <w:rFonts w:hint="eastAsia"/>
                <w:bCs/>
                <w:color w:val="auto"/>
                <w:sz w:val="24"/>
                <w:highlight w:val="none"/>
                <w:lang w:val="en-US" w:eastAsia="zh-CN"/>
              </w:rPr>
              <w:t>打桩、固定及安装设备</w:t>
            </w:r>
            <w:r>
              <w:rPr>
                <w:rFonts w:hint="eastAsia"/>
                <w:color w:val="auto"/>
                <w:sz w:val="24"/>
                <w:szCs w:val="24"/>
                <w:highlight w:val="none"/>
              </w:rPr>
              <w:t>等。施工期产生的污染物主要为施工扬尘、施工机械废气、施工噪声和生活污水、生活垃圾等。</w:t>
            </w:r>
          </w:p>
          <w:p>
            <w:pPr>
              <w:autoSpaceDE w:val="0"/>
              <w:autoSpaceDN w:val="0"/>
              <w:adjustRightInd w:val="0"/>
              <w:spacing w:line="360" w:lineRule="auto"/>
              <w:ind w:firstLine="481" w:firstLineChars="200"/>
              <w:rPr>
                <w:rFonts w:hint="eastAsia"/>
                <w:b/>
                <w:bCs/>
                <w:color w:val="auto"/>
                <w:sz w:val="24"/>
                <w:highlight w:val="none"/>
              </w:rPr>
            </w:pPr>
            <w:r>
              <w:rPr>
                <w:b/>
                <w:bCs/>
                <w:color w:val="auto"/>
                <w:sz w:val="24"/>
                <w:highlight w:val="none"/>
              </w:rPr>
              <w:t>1、大气环境影响分析</w:t>
            </w:r>
          </w:p>
          <w:p>
            <w:pPr>
              <w:adjustRightInd w:val="0"/>
              <w:snapToGrid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color w:val="auto"/>
                <w:sz w:val="24"/>
                <w:szCs w:val="24"/>
                <w:highlight w:val="none"/>
              </w:rPr>
              <w:t>施工过</w:t>
            </w:r>
            <w:r>
              <w:rPr>
                <w:rFonts w:hint="default" w:ascii="Times New Roman" w:hAnsi="Times New Roman" w:cs="Times New Roman"/>
                <w:color w:val="auto"/>
                <w:sz w:val="24"/>
                <w:szCs w:val="24"/>
                <w:highlight w:val="none"/>
              </w:rPr>
              <w:t>程中产生的废气主要来自材料</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设备</w:t>
            </w:r>
            <w:r>
              <w:rPr>
                <w:rFonts w:hint="default" w:ascii="Times New Roman" w:hAnsi="Times New Roman" w:cs="Times New Roman"/>
                <w:color w:val="auto"/>
                <w:sz w:val="24"/>
                <w:szCs w:val="24"/>
                <w:highlight w:val="none"/>
              </w:rPr>
              <w:t>运输及装卸过程产生的扬尘、各类施工机械和运输车辆所排放的废气</w:t>
            </w:r>
            <w:r>
              <w:rPr>
                <w:rFonts w:hint="default" w:ascii="Times New Roman" w:hAnsi="Times New Roman" w:cs="Times New Roman"/>
                <w:color w:val="auto"/>
                <w:sz w:val="24"/>
                <w:szCs w:val="24"/>
                <w:highlight w:val="none"/>
                <w:lang w:eastAsia="zh-CN"/>
              </w:rPr>
              <w:t>。</w:t>
            </w:r>
          </w:p>
          <w:p>
            <w:pPr>
              <w:spacing w:line="360" w:lineRule="auto"/>
              <w:ind w:firstLine="480"/>
              <w:rPr>
                <w:rFonts w:hint="default" w:ascii="Times New Roman" w:hAnsi="Times New Roman" w:cs="Times New Roman"/>
                <w:bCs/>
                <w:color w:val="auto"/>
                <w:kern w:val="0"/>
                <w:sz w:val="24"/>
                <w:szCs w:val="24"/>
                <w:highlight w:val="none"/>
              </w:rPr>
            </w:pPr>
            <w:r>
              <w:rPr>
                <w:rFonts w:hint="default" w:ascii="Times New Roman" w:hAnsi="Times New Roman" w:cs="Times New Roman"/>
                <w:bCs/>
                <w:color w:val="auto"/>
                <w:kern w:val="0"/>
                <w:sz w:val="24"/>
                <w:szCs w:val="24"/>
                <w:highlight w:val="none"/>
                <w:lang w:eastAsia="zh-CN"/>
              </w:rPr>
              <w:t>（</w:t>
            </w:r>
            <w:r>
              <w:rPr>
                <w:rFonts w:hint="default" w:ascii="Times New Roman" w:hAnsi="Times New Roman" w:cs="Times New Roman"/>
                <w:bCs/>
                <w:color w:val="auto"/>
                <w:kern w:val="0"/>
                <w:sz w:val="24"/>
                <w:szCs w:val="24"/>
                <w:highlight w:val="none"/>
              </w:rPr>
              <w:t>1</w:t>
            </w:r>
            <w:r>
              <w:rPr>
                <w:rFonts w:hint="default" w:ascii="Times New Roman" w:hAnsi="Times New Roman" w:cs="Times New Roman"/>
                <w:bCs/>
                <w:color w:val="auto"/>
                <w:kern w:val="0"/>
                <w:sz w:val="24"/>
                <w:szCs w:val="24"/>
                <w:highlight w:val="none"/>
                <w:lang w:eastAsia="zh-CN"/>
              </w:rPr>
              <w:t>）</w:t>
            </w:r>
            <w:r>
              <w:rPr>
                <w:rFonts w:hint="default" w:ascii="Times New Roman" w:hAnsi="Times New Roman" w:cs="Times New Roman"/>
                <w:color w:val="auto"/>
                <w:kern w:val="0"/>
                <w:sz w:val="24"/>
                <w:szCs w:val="24"/>
                <w:highlight w:val="none"/>
              </w:rPr>
              <w:t>施工扬尘</w:t>
            </w:r>
          </w:p>
          <w:p>
            <w:pPr>
              <w:spacing w:line="360" w:lineRule="auto"/>
              <w:ind w:firstLine="600" w:firstLineChars="25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施工扬尘主要为场地内扬尘，主要产生在以下环节：</w:t>
            </w:r>
          </w:p>
          <w:p>
            <w:pPr>
              <w:spacing w:line="360" w:lineRule="auto"/>
              <w:ind w:firstLine="600" w:firstLineChars="25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①材料的搬运及堆放扬尘；</w:t>
            </w:r>
          </w:p>
          <w:p>
            <w:pPr>
              <w:spacing w:line="360" w:lineRule="auto"/>
              <w:ind w:firstLine="600" w:firstLineChars="25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②施工垃圾的清理及堆放扬尘；</w:t>
            </w:r>
          </w:p>
          <w:p>
            <w:pPr>
              <w:spacing w:line="360" w:lineRule="auto"/>
              <w:ind w:firstLine="600" w:firstLineChars="25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③物料运输车辆造成的道路扬尘。</w:t>
            </w:r>
          </w:p>
          <w:p>
            <w:pPr>
              <w:spacing w:line="360" w:lineRule="auto"/>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为</w:t>
            </w:r>
            <w:r>
              <w:rPr>
                <w:rFonts w:hint="default" w:ascii="Times New Roman" w:hAnsi="Times New Roman" w:cs="Times New Roman"/>
                <w:color w:val="auto"/>
                <w:sz w:val="24"/>
                <w:szCs w:val="24"/>
                <w:highlight w:val="none"/>
                <w:lang w:eastAsia="zh-CN"/>
              </w:rPr>
              <w:t>将</w:t>
            </w:r>
            <w:r>
              <w:rPr>
                <w:rFonts w:hint="default" w:ascii="Times New Roman" w:hAnsi="Times New Roman" w:cs="Times New Roman"/>
                <w:color w:val="auto"/>
                <w:sz w:val="24"/>
                <w:szCs w:val="24"/>
                <w:highlight w:val="none"/>
              </w:rPr>
              <w:t>建设项目施工期的扬尘污染降到最低，针对施工阶段提出如下防治措施：</w:t>
            </w:r>
          </w:p>
          <w:p>
            <w:pPr>
              <w:spacing w:line="360" w:lineRule="auto"/>
              <w:ind w:firstLine="600" w:firstLineChars="25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①</w:t>
            </w:r>
            <w:r>
              <w:rPr>
                <w:rFonts w:hint="default" w:ascii="Times New Roman" w:hAnsi="Times New Roman" w:eastAsia="宋体" w:cs="Times New Roman"/>
                <w:color w:val="auto"/>
                <w:sz w:val="24"/>
                <w:szCs w:val="24"/>
                <w:highlight w:val="none"/>
              </w:rPr>
              <w:t>严格控制施工作业范围，施工车辆必须行驶在规定道路范围内；</w:t>
            </w:r>
          </w:p>
          <w:p>
            <w:pPr>
              <w:spacing w:line="360" w:lineRule="auto"/>
              <w:ind w:firstLine="600" w:firstLineChars="25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②施工过程中通过洒水车运水至场地运输通道，及时洒水以减少汽车行驶扬尘；</w:t>
            </w:r>
          </w:p>
          <w:p>
            <w:pPr>
              <w:spacing w:line="360" w:lineRule="auto"/>
              <w:ind w:firstLine="600" w:firstLineChars="25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③限制运输车辆的行驶速度，场地内行车速度不得超过15km/h；</w:t>
            </w:r>
          </w:p>
          <w:p>
            <w:pPr>
              <w:spacing w:line="360" w:lineRule="auto"/>
              <w:ind w:firstLine="600" w:firstLineChars="250"/>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④起尘原材料</w:t>
            </w:r>
            <w:r>
              <w:rPr>
                <w:rFonts w:hint="default" w:ascii="Times New Roman" w:hAnsi="Times New Roman" w:cs="Times New Roman"/>
                <w:color w:val="auto"/>
                <w:sz w:val="24"/>
                <w:szCs w:val="24"/>
                <w:highlight w:val="none"/>
              </w:rPr>
              <w:t>覆盖存放；</w:t>
            </w:r>
          </w:p>
          <w:p>
            <w:pPr>
              <w:adjustRightInd w:val="0"/>
              <w:snapToGrid w:val="0"/>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eastAsia="新宋体" w:cs="Times New Roman"/>
                <w:color w:val="auto"/>
                <w:sz w:val="24"/>
                <w:szCs w:val="24"/>
                <w:highlight w:val="none"/>
              </w:rPr>
              <w:t>通过</w:t>
            </w:r>
            <w:r>
              <w:rPr>
                <w:rFonts w:hint="default" w:ascii="Times New Roman" w:hAnsi="Times New Roman" w:cs="Times New Roman"/>
                <w:color w:val="auto"/>
                <w:sz w:val="24"/>
                <w:szCs w:val="24"/>
                <w:highlight w:val="none"/>
              </w:rPr>
              <w:t>采取以上措施后，工地扬尘量可减少70%～80%，</w:t>
            </w:r>
            <w:r>
              <w:rPr>
                <w:rFonts w:hint="default" w:ascii="Times New Roman" w:hAnsi="Times New Roman" w:cs="Times New Roman"/>
                <w:color w:val="auto"/>
                <w:kern w:val="0"/>
                <w:sz w:val="24"/>
                <w:szCs w:val="24"/>
                <w:highlight w:val="none"/>
              </w:rPr>
              <w:t>可大幅度降低施工造成的大气污染，施工期扬尘基本控制在施工现场范围内，</w:t>
            </w:r>
            <w:r>
              <w:rPr>
                <w:rFonts w:hint="default" w:ascii="Times New Roman" w:hAnsi="Times New Roman" w:cs="Times New Roman"/>
                <w:color w:val="auto"/>
                <w:sz w:val="24"/>
                <w:szCs w:val="24"/>
                <w:highlight w:val="none"/>
              </w:rPr>
              <w:t>满足《大气污染物综合排放标准》</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GB16297-1996</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kern w:val="0"/>
                <w:sz w:val="24"/>
                <w:szCs w:val="24"/>
                <w:highlight w:val="none"/>
              </w:rPr>
              <w:t>表2新污染源大气污染物排放限值</w:t>
            </w:r>
            <w:r>
              <w:rPr>
                <w:rFonts w:hint="default" w:ascii="Times New Roman" w:hAnsi="Times New Roman" w:cs="Times New Roman"/>
                <w:color w:val="auto"/>
                <w:sz w:val="24"/>
                <w:szCs w:val="24"/>
                <w:highlight w:val="none"/>
              </w:rPr>
              <w:t>的要求。另外，施工产生的扬尘属短期污染，其影响将随施工行为的结束而结束。因此在采取严格的防尘措施后，施工期扬尘</w:t>
            </w:r>
            <w:r>
              <w:rPr>
                <w:rFonts w:hint="default" w:ascii="Times New Roman" w:hAnsi="Times New Roman" w:cs="Times New Roman"/>
                <w:color w:val="auto"/>
                <w:sz w:val="24"/>
                <w:szCs w:val="24"/>
                <w:highlight w:val="none"/>
                <w:lang w:eastAsia="zh-CN"/>
              </w:rPr>
              <w:t>对环境</w:t>
            </w:r>
            <w:r>
              <w:rPr>
                <w:rFonts w:hint="default" w:ascii="Times New Roman" w:hAnsi="Times New Roman" w:cs="Times New Roman"/>
                <w:color w:val="auto"/>
                <w:sz w:val="24"/>
                <w:szCs w:val="24"/>
                <w:highlight w:val="none"/>
              </w:rPr>
              <w:t>的影响将大大地降低，其对环境的影响也将随施工的结束而消失。</w:t>
            </w:r>
          </w:p>
          <w:p>
            <w:pPr>
              <w:numPr>
                <w:ilvl w:val="0"/>
                <w:numId w:val="5"/>
              </w:numPr>
              <w:adjustRightInd w:val="0"/>
              <w:snapToGrid w:val="0"/>
              <w:spacing w:line="360" w:lineRule="auto"/>
              <w:ind w:firstLine="480" w:firstLineChars="200"/>
              <w:rPr>
                <w:rFonts w:hint="default" w:ascii="Times New Roman" w:hAnsi="Times New Roman" w:eastAsia="新宋体" w:cs="Times New Roman"/>
                <w:color w:val="auto"/>
                <w:sz w:val="24"/>
                <w:szCs w:val="24"/>
                <w:highlight w:val="none"/>
              </w:rPr>
            </w:pPr>
            <w:r>
              <w:rPr>
                <w:rFonts w:hint="default" w:ascii="Times New Roman" w:hAnsi="Times New Roman" w:eastAsia="新宋体" w:cs="Times New Roman"/>
                <w:color w:val="auto"/>
                <w:sz w:val="24"/>
                <w:szCs w:val="24"/>
                <w:highlight w:val="none"/>
              </w:rPr>
              <w:t>施工机械废气</w:t>
            </w:r>
          </w:p>
          <w:p>
            <w:pPr>
              <w:numPr>
                <w:ilvl w:val="0"/>
                <w:numId w:val="0"/>
              </w:numPr>
              <w:adjustRightInd w:val="0"/>
              <w:snapToGrid w:val="0"/>
              <w:spacing w:line="360" w:lineRule="auto"/>
              <w:ind w:firstLine="480" w:firstLineChars="200"/>
              <w:rPr>
                <w:rFonts w:hint="eastAsia"/>
                <w:color w:val="auto"/>
                <w:sz w:val="24"/>
                <w:szCs w:val="24"/>
                <w:highlight w:val="none"/>
                <w:lang w:val="en-US" w:eastAsia="zh-CN"/>
              </w:rPr>
            </w:pPr>
            <w:r>
              <w:rPr>
                <w:rFonts w:hint="default" w:ascii="Times New Roman" w:hAnsi="Times New Roman" w:cs="Times New Roman"/>
                <w:color w:val="auto"/>
                <w:sz w:val="24"/>
                <w:highlight w:val="none"/>
              </w:rPr>
              <w:t>施工机械和运输车辆排放的大气污染物主要是NOx、THC和CO，</w:t>
            </w:r>
            <w:r>
              <w:rPr>
                <w:rFonts w:hint="default" w:ascii="Times New Roman" w:hAnsi="Times New Roman" w:cs="Times New Roman"/>
                <w:color w:val="auto"/>
                <w:sz w:val="24"/>
                <w:szCs w:val="24"/>
                <w:highlight w:val="none"/>
              </w:rPr>
              <w:t>该类源一般具有排放量小、间歇性、短期性和流动性的特点，</w:t>
            </w:r>
            <w:r>
              <w:rPr>
                <w:rFonts w:hint="default" w:ascii="Times New Roman" w:hAnsi="Times New Roman" w:cs="Times New Roman"/>
                <w:color w:val="auto"/>
                <w:sz w:val="24"/>
                <w:highlight w:val="none"/>
              </w:rPr>
              <w:t>在使用达标排放的车辆和设备的前提下，</w:t>
            </w:r>
            <w:r>
              <w:rPr>
                <w:rFonts w:hint="default" w:ascii="Times New Roman" w:hAnsi="Times New Roman" w:cs="Times New Roman"/>
                <w:color w:val="auto"/>
                <w:sz w:val="24"/>
                <w:highlight w:val="none"/>
                <w:lang w:val="en-US" w:eastAsia="zh-CN"/>
              </w:rPr>
              <w:t>本项目拟采取</w:t>
            </w:r>
            <w:r>
              <w:rPr>
                <w:rFonts w:hint="default" w:ascii="Times New Roman" w:hAnsi="Times New Roman" w:cs="Times New Roman"/>
                <w:color w:val="auto"/>
                <w:sz w:val="24"/>
                <w:szCs w:val="24"/>
                <w:highlight w:val="none"/>
              </w:rPr>
              <w:t>禁止运输车辆超载；加强施工机械的日常</w:t>
            </w:r>
            <w:r>
              <w:rPr>
                <w:rFonts w:hint="eastAsia"/>
                <w:color w:val="auto"/>
                <w:sz w:val="24"/>
                <w:szCs w:val="24"/>
                <w:highlight w:val="none"/>
              </w:rPr>
              <w:t>保养和维护</w:t>
            </w:r>
            <w:r>
              <w:rPr>
                <w:rFonts w:hint="eastAsia"/>
                <w:color w:val="auto"/>
                <w:sz w:val="24"/>
                <w:szCs w:val="24"/>
                <w:highlight w:val="none"/>
                <w:lang w:val="en-US" w:eastAsia="zh-CN"/>
              </w:rPr>
              <w:t>等措施减小对环境的影响。</w:t>
            </w:r>
          </w:p>
          <w:p>
            <w:pPr>
              <w:spacing w:line="360" w:lineRule="auto"/>
              <w:ind w:firstLine="480" w:firstLineChars="200"/>
              <w:rPr>
                <w:color w:val="auto"/>
                <w:sz w:val="24"/>
                <w:highlight w:val="none"/>
              </w:rPr>
            </w:pPr>
            <w:r>
              <w:rPr>
                <w:color w:val="auto"/>
                <w:sz w:val="24"/>
                <w:highlight w:val="none"/>
              </w:rPr>
              <w:t>由于本项目使用的车辆和设备较少，排放的污染物与周围道路行驶车辆排放污染物相比</w:t>
            </w:r>
            <w:r>
              <w:rPr>
                <w:rFonts w:hint="eastAsia"/>
                <w:color w:val="auto"/>
                <w:sz w:val="24"/>
                <w:highlight w:val="none"/>
                <w:lang w:val="en-US" w:eastAsia="zh-CN"/>
              </w:rPr>
              <w:t>较小</w:t>
            </w:r>
            <w:r>
              <w:rPr>
                <w:rFonts w:hint="eastAsia"/>
                <w:color w:val="auto"/>
                <w:sz w:val="24"/>
                <w:highlight w:val="none"/>
                <w:lang w:eastAsia="zh-CN"/>
              </w:rPr>
              <w:t>；</w:t>
            </w:r>
            <w:r>
              <w:rPr>
                <w:rFonts w:hint="eastAsia"/>
                <w:color w:val="auto"/>
                <w:sz w:val="24"/>
                <w:highlight w:val="none"/>
                <w:lang w:val="en-US" w:eastAsia="zh-CN"/>
              </w:rPr>
              <w:t>且采取相应措施，故</w:t>
            </w:r>
            <w:r>
              <w:rPr>
                <w:color w:val="auto"/>
                <w:sz w:val="24"/>
                <w:highlight w:val="none"/>
              </w:rPr>
              <w:t>对周围环境影响轻微。</w:t>
            </w:r>
          </w:p>
          <w:p>
            <w:pPr>
              <w:spacing w:line="360" w:lineRule="auto"/>
              <w:ind w:firstLine="481" w:firstLineChars="200"/>
              <w:rPr>
                <w:color w:val="auto"/>
                <w:sz w:val="24"/>
                <w:highlight w:val="none"/>
              </w:rPr>
            </w:pPr>
            <w:r>
              <w:rPr>
                <w:b/>
                <w:bCs/>
                <w:color w:val="auto"/>
                <w:sz w:val="24"/>
                <w:highlight w:val="none"/>
              </w:rPr>
              <w:t>2、水环境影响分析</w:t>
            </w:r>
          </w:p>
          <w:p>
            <w:pPr>
              <w:spacing w:line="360" w:lineRule="auto"/>
              <w:ind w:firstLine="480" w:firstLineChars="200"/>
              <w:rPr>
                <w:rFonts w:hint="eastAsia"/>
                <w:color w:val="auto"/>
                <w:sz w:val="24"/>
                <w:highlight w:val="none"/>
              </w:rPr>
            </w:pPr>
            <w:r>
              <w:rPr>
                <w:rFonts w:hint="eastAsia"/>
                <w:color w:val="auto"/>
                <w:sz w:val="24"/>
                <w:szCs w:val="24"/>
                <w:highlight w:val="none"/>
                <w:lang w:val="en-US" w:eastAsia="zh-CN"/>
              </w:rPr>
              <w:t>本项目施工期废水主要为施工人员的生活污水。施工人员不在厂区内居住，施工期间生活污水依托厂房内办公区现有水冲卫生间。</w:t>
            </w:r>
          </w:p>
          <w:p>
            <w:pPr>
              <w:spacing w:line="360" w:lineRule="auto"/>
              <w:ind w:firstLine="481" w:firstLineChars="200"/>
              <w:rPr>
                <w:color w:val="auto"/>
                <w:sz w:val="24"/>
                <w:highlight w:val="none"/>
              </w:rPr>
            </w:pPr>
            <w:r>
              <w:rPr>
                <w:b/>
                <w:bCs/>
                <w:color w:val="auto"/>
                <w:sz w:val="24"/>
                <w:highlight w:val="none"/>
              </w:rPr>
              <w:t>3、声环境影响分析</w:t>
            </w:r>
          </w:p>
          <w:p>
            <w:pPr>
              <w:adjustRightInd w:val="0"/>
              <w:snapToGrid w:val="0"/>
              <w:spacing w:line="360" w:lineRule="auto"/>
              <w:ind w:firstLine="480" w:firstLineChars="200"/>
              <w:rPr>
                <w:rFonts w:hint="eastAsia"/>
                <w:color w:val="auto"/>
                <w:sz w:val="24"/>
                <w:szCs w:val="24"/>
                <w:highlight w:val="none"/>
              </w:rPr>
            </w:pPr>
            <w:r>
              <w:rPr>
                <w:rFonts w:hint="eastAsia"/>
                <w:color w:val="auto"/>
                <w:sz w:val="24"/>
                <w:szCs w:val="24"/>
                <w:highlight w:val="none"/>
              </w:rPr>
              <w:t>施工期间产生的</w:t>
            </w:r>
            <w:r>
              <w:rPr>
                <w:rFonts w:hint="eastAsia"/>
                <w:color w:val="auto"/>
                <w:sz w:val="24"/>
                <w:szCs w:val="24"/>
                <w:highlight w:val="none"/>
                <w:lang w:eastAsia="zh-CN"/>
              </w:rPr>
              <w:t>噪声污染源主要为施工机械噪声、车辆行驶、</w:t>
            </w:r>
            <w:r>
              <w:rPr>
                <w:rFonts w:hint="eastAsia"/>
                <w:color w:val="auto"/>
                <w:sz w:val="24"/>
                <w:szCs w:val="24"/>
                <w:highlight w:val="none"/>
                <w:lang w:val="en-US" w:eastAsia="zh-CN"/>
              </w:rPr>
              <w:t>设备安装</w:t>
            </w:r>
            <w:r>
              <w:rPr>
                <w:rFonts w:hint="eastAsia"/>
                <w:color w:val="auto"/>
                <w:sz w:val="24"/>
                <w:szCs w:val="24"/>
                <w:highlight w:val="none"/>
                <w:lang w:eastAsia="zh-CN"/>
              </w:rPr>
              <w:t>时产生</w:t>
            </w:r>
            <w:r>
              <w:rPr>
                <w:rFonts w:hint="eastAsia"/>
                <w:color w:val="auto"/>
                <w:sz w:val="24"/>
                <w:szCs w:val="24"/>
                <w:highlight w:val="none"/>
                <w:lang w:val="en-US" w:eastAsia="zh-CN"/>
              </w:rPr>
              <w:t>的噪声</w:t>
            </w:r>
            <w:r>
              <w:rPr>
                <w:rFonts w:hint="eastAsia"/>
                <w:color w:val="auto"/>
                <w:sz w:val="24"/>
                <w:szCs w:val="24"/>
                <w:highlight w:val="none"/>
              </w:rPr>
              <w:t>，</w:t>
            </w:r>
            <w:r>
              <w:rPr>
                <w:rFonts w:hint="eastAsia"/>
                <w:color w:val="auto"/>
                <w:sz w:val="24"/>
                <w:szCs w:val="24"/>
                <w:highlight w:val="none"/>
                <w:lang w:eastAsia="zh-CN"/>
              </w:rPr>
              <w:t>为了减少</w:t>
            </w:r>
            <w:r>
              <w:rPr>
                <w:rFonts w:hint="eastAsia"/>
                <w:color w:val="auto"/>
                <w:sz w:val="24"/>
                <w:szCs w:val="24"/>
                <w:highlight w:val="none"/>
              </w:rPr>
              <w:t>施工</w:t>
            </w:r>
            <w:r>
              <w:rPr>
                <w:rFonts w:hint="eastAsia"/>
                <w:color w:val="auto"/>
                <w:sz w:val="24"/>
                <w:szCs w:val="24"/>
                <w:highlight w:val="none"/>
                <w:lang w:eastAsia="zh-CN"/>
              </w:rPr>
              <w:t>期间的</w:t>
            </w:r>
            <w:r>
              <w:rPr>
                <w:rFonts w:hint="eastAsia"/>
                <w:color w:val="auto"/>
                <w:sz w:val="24"/>
                <w:szCs w:val="24"/>
                <w:highlight w:val="none"/>
              </w:rPr>
              <w:t>废气影响</w:t>
            </w:r>
            <w:r>
              <w:rPr>
                <w:rFonts w:hint="eastAsia"/>
                <w:color w:val="auto"/>
                <w:sz w:val="24"/>
                <w:szCs w:val="24"/>
                <w:highlight w:val="none"/>
                <w:lang w:eastAsia="zh-CN"/>
              </w:rPr>
              <w:t>，</w:t>
            </w:r>
            <w:r>
              <w:rPr>
                <w:rFonts w:hint="eastAsia"/>
                <w:color w:val="auto"/>
                <w:sz w:val="24"/>
                <w:szCs w:val="24"/>
                <w:highlight w:val="none"/>
              </w:rPr>
              <w:t>施工期间采取</w:t>
            </w:r>
            <w:r>
              <w:rPr>
                <w:rFonts w:hint="eastAsia"/>
                <w:color w:val="auto"/>
                <w:sz w:val="24"/>
                <w:szCs w:val="24"/>
                <w:highlight w:val="none"/>
                <w:lang w:eastAsia="zh-CN"/>
              </w:rPr>
              <w:t>以下</w:t>
            </w:r>
            <w:r>
              <w:rPr>
                <w:rFonts w:hint="eastAsia"/>
                <w:color w:val="auto"/>
                <w:sz w:val="24"/>
                <w:szCs w:val="24"/>
                <w:highlight w:val="none"/>
              </w:rPr>
              <w:t>措施：</w:t>
            </w:r>
          </w:p>
          <w:p>
            <w:pPr>
              <w:adjustRightInd w:val="0"/>
              <w:snapToGrid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①合理安排施工时间，避开夜间和昼间午休时间。</w:t>
            </w:r>
          </w:p>
          <w:p>
            <w:pPr>
              <w:adjustRightInd w:val="0"/>
              <w:snapToGrid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②施工车辆低速行驶。</w:t>
            </w:r>
          </w:p>
          <w:p>
            <w:pPr>
              <w:spacing w:line="360" w:lineRule="auto"/>
              <w:ind w:firstLine="480" w:firstLineChars="200"/>
              <w:rPr>
                <w:color w:val="auto"/>
                <w:sz w:val="24"/>
                <w:highlight w:val="none"/>
              </w:rPr>
            </w:pPr>
            <w:r>
              <w:rPr>
                <w:rFonts w:hint="eastAsia"/>
                <w:color w:val="auto"/>
                <w:sz w:val="24"/>
                <w:szCs w:val="24"/>
                <w:highlight w:val="none"/>
                <w:lang w:val="en-US" w:eastAsia="zh-CN"/>
              </w:rPr>
              <w:t>③施工人员文明施工，减少人为噪声、尽量避免工具碰撞噪声。</w:t>
            </w:r>
          </w:p>
          <w:p>
            <w:pPr>
              <w:spacing w:line="360" w:lineRule="auto"/>
              <w:ind w:firstLine="481" w:firstLineChars="200"/>
              <w:rPr>
                <w:b/>
                <w:bCs/>
                <w:color w:val="auto"/>
                <w:sz w:val="24"/>
                <w:highlight w:val="none"/>
              </w:rPr>
            </w:pPr>
            <w:r>
              <w:rPr>
                <w:b/>
                <w:bCs/>
                <w:color w:val="auto"/>
                <w:sz w:val="24"/>
                <w:highlight w:val="none"/>
              </w:rPr>
              <w:t>4、固体废弃物环境影响分析</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本项目施工期产生的固体废弃物主要为建筑废料和施工人员产生的生活垃圾。</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1 \* GB2</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⑴</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建筑垃圾</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本项目产生的建筑垃圾主要为废弃钢材、木材、</w:t>
            </w:r>
            <w:r>
              <w:rPr>
                <w:rFonts w:hint="default" w:ascii="Times New Roman" w:hAnsi="Times New Roman" w:cs="Times New Roman"/>
                <w:color w:val="auto"/>
                <w:sz w:val="24"/>
                <w:highlight w:val="none"/>
                <w:lang w:val="en-US" w:eastAsia="zh-CN"/>
              </w:rPr>
              <w:t>少量</w:t>
            </w:r>
            <w:r>
              <w:rPr>
                <w:rFonts w:hint="default" w:ascii="Times New Roman" w:hAnsi="Times New Roman" w:cs="Times New Roman"/>
                <w:color w:val="auto"/>
                <w:sz w:val="24"/>
                <w:highlight w:val="none"/>
              </w:rPr>
              <w:t>混凝土废料、含砖、石、砂的杂土等，项目施工过程中产生的建筑垃圾由施工单位运往城建部门</w:t>
            </w:r>
            <w:r>
              <w:rPr>
                <w:rFonts w:hint="default" w:ascii="Times New Roman" w:hAnsi="Times New Roman" w:cs="Times New Roman"/>
                <w:color w:val="auto"/>
                <w:sz w:val="24"/>
                <w:highlight w:val="none"/>
                <w:lang w:eastAsia="zh-CN"/>
              </w:rPr>
              <w:t>指</w:t>
            </w:r>
            <w:r>
              <w:rPr>
                <w:rFonts w:hint="default" w:ascii="Times New Roman" w:hAnsi="Times New Roman" w:cs="Times New Roman"/>
                <w:color w:val="auto"/>
                <w:sz w:val="24"/>
                <w:highlight w:val="none"/>
              </w:rPr>
              <w:t>定地点场所统一处理。</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2 \* GB2</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⑵</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生活垃圾</w:t>
            </w:r>
          </w:p>
          <w:p>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施工期生活垃圾主要来自施工人员日常生活，施工人员最大</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人，每人每天产生0.</w:t>
            </w:r>
            <w:r>
              <w:rPr>
                <w:rFonts w:hint="default" w:ascii="Times New Roman" w:hAnsi="Times New Roman" w:cs="Times New Roman"/>
                <w:color w:val="auto"/>
                <w:sz w:val="24"/>
                <w:highlight w:val="none"/>
                <w:lang w:val="en-US" w:eastAsia="zh-CN"/>
              </w:rPr>
              <w:t>25</w:t>
            </w:r>
            <w:r>
              <w:rPr>
                <w:rFonts w:hint="default" w:ascii="Times New Roman" w:hAnsi="Times New Roman" w:cs="Times New Roman"/>
                <w:color w:val="auto"/>
                <w:sz w:val="24"/>
                <w:highlight w:val="none"/>
              </w:rPr>
              <w:t>kg/d，施工期共产生生活垃圾0.</w:t>
            </w:r>
            <w:r>
              <w:rPr>
                <w:rFonts w:hint="default" w:ascii="Times New Roman" w:hAnsi="Times New Roman" w:cs="Times New Roman"/>
                <w:color w:val="auto"/>
                <w:sz w:val="24"/>
                <w:highlight w:val="none"/>
                <w:lang w:val="en-US" w:eastAsia="zh-CN"/>
              </w:rPr>
              <w:t>0</w:t>
            </w:r>
            <w:r>
              <w:rPr>
                <w:rFonts w:hint="eastAsia" w:ascii="Times New Roman" w:hAnsi="Times New Roman" w:cs="Times New Roman"/>
                <w:color w:val="auto"/>
                <w:sz w:val="24"/>
                <w:highlight w:val="none"/>
                <w:lang w:val="en-US" w:eastAsia="zh-CN"/>
              </w:rPr>
              <w:t>075</w:t>
            </w:r>
            <w:r>
              <w:rPr>
                <w:rFonts w:hint="default" w:ascii="Times New Roman" w:hAnsi="Times New Roman" w:cs="Times New Roman"/>
                <w:color w:val="auto"/>
                <w:sz w:val="24"/>
                <w:highlight w:val="none"/>
              </w:rPr>
              <w:t>t，</w:t>
            </w:r>
            <w:r>
              <w:rPr>
                <w:rFonts w:hint="default" w:ascii="Times New Roman" w:hAnsi="Times New Roman" w:cs="Times New Roman"/>
                <w:color w:val="auto"/>
                <w:sz w:val="24"/>
                <w:highlight w:val="none"/>
                <w:lang w:val="en-US" w:eastAsia="zh-CN"/>
              </w:rPr>
              <w:t>设置生活垃圾箱，生活垃圾集中收集后定期送至就近的生活垃圾处理厂统一处理</w:t>
            </w:r>
            <w:r>
              <w:rPr>
                <w:rFonts w:hint="default" w:ascii="Times New Roman" w:hAnsi="Times New Roman" w:cs="Times New Roman"/>
                <w:color w:val="auto"/>
                <w:sz w:val="24"/>
                <w:highlight w:val="none"/>
              </w:rPr>
              <w:t>，对环境影响较小。</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3 \* GB2</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⑶</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防治措施</w:t>
            </w:r>
          </w:p>
          <w:p>
            <w:pPr>
              <w:spacing w:line="360" w:lineRule="auto"/>
              <w:ind w:firstLine="480" w:firstLineChars="200"/>
              <w:rPr>
                <w:color w:val="auto"/>
                <w:sz w:val="24"/>
                <w:highlight w:val="none"/>
              </w:rPr>
            </w:pPr>
            <w:r>
              <w:rPr>
                <w:rFonts w:hint="default" w:ascii="Times New Roman" w:hAnsi="Times New Roman" w:cs="Times New Roman"/>
                <w:color w:val="auto"/>
                <w:sz w:val="24"/>
                <w:highlight w:val="none"/>
              </w:rPr>
              <w:t>施工期产生的固体废弃物主要为建</w:t>
            </w:r>
            <w:r>
              <w:rPr>
                <w:color w:val="auto"/>
                <w:sz w:val="24"/>
                <w:highlight w:val="none"/>
              </w:rPr>
              <w:t>筑垃圾及生活垃圾，本项目施工期固废防治措施具体如下：</w:t>
            </w:r>
          </w:p>
          <w:p>
            <w:pPr>
              <w:spacing w:line="360" w:lineRule="auto"/>
              <w:ind w:firstLine="480" w:firstLineChars="200"/>
              <w:rPr>
                <w:color w:val="auto"/>
                <w:sz w:val="24"/>
                <w:highlight w:val="none"/>
              </w:rPr>
            </w:pPr>
            <w:r>
              <w:rPr>
                <w:rFonts w:hint="eastAsia"/>
                <w:color w:val="auto"/>
                <w:sz w:val="24"/>
                <w:highlight w:val="none"/>
              </w:rPr>
              <w:t>①</w:t>
            </w:r>
            <w:r>
              <w:rPr>
                <w:color w:val="auto"/>
                <w:sz w:val="24"/>
                <w:highlight w:val="none"/>
              </w:rPr>
              <w:t>项目施工过程中产生的建筑垃圾可回收利用的部分应回收利用，不可回收利用的部分</w:t>
            </w:r>
            <w:r>
              <w:rPr>
                <w:rFonts w:hint="eastAsia"/>
                <w:color w:val="auto"/>
                <w:sz w:val="24"/>
                <w:highlight w:val="none"/>
                <w:lang w:val="en-US" w:eastAsia="zh-CN"/>
              </w:rPr>
              <w:t>送</w:t>
            </w:r>
            <w:r>
              <w:rPr>
                <w:rFonts w:hint="eastAsia"/>
                <w:color w:val="auto"/>
                <w:sz w:val="24"/>
                <w:highlight w:val="none"/>
              </w:rPr>
              <w:t>当地</w:t>
            </w:r>
            <w:r>
              <w:rPr>
                <w:rFonts w:hint="eastAsia"/>
                <w:color w:val="auto"/>
                <w:sz w:val="24"/>
                <w:highlight w:val="none"/>
                <w:lang w:val="en-US" w:eastAsia="zh-CN"/>
              </w:rPr>
              <w:t>主管部门指定地点统一处置</w:t>
            </w:r>
            <w:r>
              <w:rPr>
                <w:color w:val="auto"/>
                <w:sz w:val="24"/>
                <w:highlight w:val="none"/>
              </w:rPr>
              <w:t>，防止因长期堆存而产生扬尘等污染。</w:t>
            </w:r>
          </w:p>
          <w:p>
            <w:pPr>
              <w:spacing w:line="360" w:lineRule="auto"/>
              <w:ind w:firstLine="480" w:firstLineChars="200"/>
              <w:rPr>
                <w:color w:val="auto"/>
                <w:sz w:val="24"/>
                <w:highlight w:val="none"/>
              </w:rPr>
            </w:pPr>
            <w:r>
              <w:rPr>
                <w:rFonts w:hint="eastAsia"/>
                <w:color w:val="auto"/>
                <w:sz w:val="24"/>
                <w:highlight w:val="none"/>
              </w:rPr>
              <w:t>②</w:t>
            </w:r>
            <w:r>
              <w:rPr>
                <w:color w:val="auto"/>
                <w:sz w:val="24"/>
                <w:highlight w:val="none"/>
              </w:rPr>
              <w:t>项目产生的生活垃圾经垃圾桶收集后运至垃圾堆放点统一处理。</w:t>
            </w:r>
          </w:p>
          <w:p>
            <w:pPr>
              <w:pStyle w:val="49"/>
              <w:keepNext w:val="0"/>
              <w:keepLines w:val="0"/>
              <w:pageBreakBefore w:val="0"/>
              <w:widowControl w:val="0"/>
              <w:kinsoku/>
              <w:wordWrap/>
              <w:overflowPunct/>
              <w:topLinePunct w:val="0"/>
              <w:bidi w:val="0"/>
              <w:adjustRightInd w:val="0"/>
              <w:snapToGrid/>
              <w:spacing w:line="360" w:lineRule="auto"/>
              <w:textAlignment w:val="auto"/>
              <w:rPr>
                <w:rFonts w:ascii="Times New Roman" w:hAnsi="Times New Roman" w:cs="Times New Roman"/>
                <w:color w:val="auto"/>
                <w:sz w:val="24"/>
                <w:highlight w:val="none"/>
                <w:lang w:val="en-US"/>
              </w:rPr>
            </w:pPr>
            <w:r>
              <w:rPr>
                <w:rFonts w:hint="eastAsia"/>
                <w:color w:val="auto"/>
                <w:sz w:val="24"/>
                <w:szCs w:val="24"/>
                <w:highlight w:val="none"/>
              </w:rPr>
              <w:t>综上所述，项目施工期间对周围环境会产生一些不利影响，但由于施工期较短，施工期对环境所产生的不利影响会随着施工的结束而消除。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113" w:hRule="atLeast"/>
          <w:jc w:val="center"/>
        </w:trPr>
        <w:tc>
          <w:tcPr>
            <w:tcW w:w="695" w:type="dxa"/>
            <w:tcBorders>
              <w:right w:val="single" w:color="000000" w:sz="4" w:space="0"/>
            </w:tcBorders>
            <w:vAlign w:val="center"/>
          </w:tcPr>
          <w:p>
            <w:pPr>
              <w:pStyle w:val="29"/>
              <w:spacing w:line="520" w:lineRule="exact"/>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运营期环境影响和保护措施</w:t>
            </w:r>
          </w:p>
        </w:tc>
        <w:tc>
          <w:tcPr>
            <w:tcW w:w="9455" w:type="dxa"/>
            <w:tcBorders>
              <w:left w:val="single" w:color="000000" w:sz="4" w:space="0"/>
            </w:tcBorders>
            <w:vAlign w:val="center"/>
          </w:tcPr>
          <w:p>
            <w:pPr>
              <w:spacing w:line="360" w:lineRule="auto"/>
              <w:ind w:firstLine="481" w:firstLineChars="200"/>
              <w:rPr>
                <w:rFonts w:hint="eastAsia"/>
                <w:bCs/>
                <w:color w:val="auto"/>
                <w:sz w:val="24"/>
                <w:highlight w:val="none"/>
              </w:rPr>
            </w:pPr>
            <w:r>
              <w:rPr>
                <w:rFonts w:hint="default" w:ascii="Times New Roman" w:hAnsi="Times New Roman" w:cs="Times New Roman"/>
                <w:b/>
                <w:color w:val="auto"/>
                <w:sz w:val="24"/>
                <w:highlight w:val="none"/>
              </w:rPr>
              <w:t>1</w:t>
            </w:r>
            <w:r>
              <w:rPr>
                <w:rFonts w:hint="eastAsia"/>
                <w:b/>
                <w:color w:val="auto"/>
                <w:sz w:val="24"/>
                <w:highlight w:val="none"/>
              </w:rPr>
              <w:t>、</w:t>
            </w:r>
            <w:r>
              <w:rPr>
                <w:rFonts w:hint="eastAsia" w:ascii="宋体" w:hAnsi="宋体" w:cs="宋体"/>
                <w:b/>
                <w:color w:val="auto"/>
                <w:sz w:val="24"/>
                <w:highlight w:val="none"/>
              </w:rPr>
              <w:t>环境空气影响分析及防治措施</w:t>
            </w:r>
          </w:p>
          <w:p>
            <w:pPr>
              <w:pStyle w:val="11"/>
              <w:spacing w:line="360" w:lineRule="auto"/>
              <w:ind w:firstLine="480" w:firstLineChars="200"/>
              <w:rPr>
                <w:rStyle w:val="27"/>
                <w:rFonts w:hint="default" w:ascii="Times New Roman" w:hAnsi="Times New Roman" w:cs="Times New Roman"/>
                <w:color w:val="auto"/>
                <w:sz w:val="24"/>
                <w:szCs w:val="24"/>
                <w:highlight w:val="none"/>
              </w:rPr>
            </w:pPr>
            <w:r>
              <w:rPr>
                <w:rStyle w:val="27"/>
                <w:rFonts w:hint="default" w:ascii="Times New Roman" w:hAnsi="Times New Roman" w:cs="Times New Roman"/>
                <w:color w:val="auto"/>
                <w:sz w:val="24"/>
                <w:szCs w:val="24"/>
                <w:highlight w:val="none"/>
              </w:rPr>
              <w:t>营运期废气主要为废塑料堆放过程产生的恶臭废气（以臭气浓度表征）、废塑料</w:t>
            </w:r>
            <w:r>
              <w:rPr>
                <w:rStyle w:val="27"/>
                <w:rFonts w:hint="default" w:ascii="Times New Roman" w:hAnsi="Times New Roman" w:cs="Times New Roman"/>
                <w:color w:val="auto"/>
                <w:sz w:val="24"/>
                <w:szCs w:val="24"/>
                <w:highlight w:val="none"/>
                <w:lang w:val="en-US" w:eastAsia="zh-CN"/>
              </w:rPr>
              <w:t>破碎</w:t>
            </w:r>
            <w:r>
              <w:rPr>
                <w:rStyle w:val="27"/>
                <w:rFonts w:hint="default" w:ascii="Times New Roman" w:hAnsi="Times New Roman" w:cs="Times New Roman"/>
                <w:color w:val="auto"/>
                <w:sz w:val="24"/>
                <w:szCs w:val="24"/>
                <w:highlight w:val="none"/>
              </w:rPr>
              <w:t>环节产生的破碎粉尘、空气分选粉尘</w:t>
            </w:r>
            <w:r>
              <w:rPr>
                <w:rStyle w:val="27"/>
                <w:rFonts w:hint="eastAsia" w:ascii="Times New Roman" w:hAnsi="Times New Roman" w:cs="Times New Roman"/>
                <w:color w:val="auto"/>
                <w:sz w:val="24"/>
                <w:szCs w:val="24"/>
                <w:highlight w:val="none"/>
                <w:lang w:eastAsia="zh-CN"/>
              </w:rPr>
              <w:t>、</w:t>
            </w:r>
            <w:r>
              <w:rPr>
                <w:rStyle w:val="27"/>
                <w:rFonts w:hint="eastAsia" w:ascii="Times New Roman" w:hAnsi="Times New Roman" w:cs="Times New Roman"/>
                <w:color w:val="auto"/>
                <w:sz w:val="24"/>
                <w:szCs w:val="24"/>
                <w:highlight w:val="none"/>
                <w:lang w:val="en-US" w:eastAsia="zh-CN"/>
              </w:rPr>
              <w:t>筛分粉尘</w:t>
            </w:r>
            <w:r>
              <w:rPr>
                <w:rStyle w:val="27"/>
                <w:rFonts w:hint="default" w:ascii="Times New Roman" w:hAnsi="Times New Roman" w:cs="Times New Roman"/>
                <w:color w:val="auto"/>
                <w:sz w:val="24"/>
                <w:szCs w:val="24"/>
                <w:highlight w:val="none"/>
              </w:rPr>
              <w:t>、废塑料粉碎环节产生的粉尘。</w:t>
            </w:r>
          </w:p>
          <w:p>
            <w:pPr>
              <w:spacing w:line="360" w:lineRule="auto"/>
              <w:ind w:firstLine="480" w:firstLineChars="200"/>
              <w:rPr>
                <w:rStyle w:val="27"/>
                <w:rFonts w:hint="default" w:ascii="Times New Roman" w:hAnsi="Times New Roman" w:eastAsia="宋体" w:cs="Times New Roman"/>
                <w:color w:val="auto"/>
                <w:sz w:val="24"/>
                <w:szCs w:val="24"/>
                <w:highlight w:val="none"/>
                <w:lang w:val="en-US" w:eastAsia="zh-CN"/>
              </w:rPr>
            </w:pPr>
            <w:r>
              <w:rPr>
                <w:rStyle w:val="27"/>
                <w:rFonts w:hint="default" w:ascii="Times New Roman" w:hAnsi="Times New Roman" w:cs="Times New Roman"/>
                <w:color w:val="auto"/>
                <w:sz w:val="24"/>
                <w:szCs w:val="24"/>
                <w:highlight w:val="none"/>
              </w:rPr>
              <w:t>（</w:t>
            </w:r>
            <w:r>
              <w:rPr>
                <w:rStyle w:val="27"/>
                <w:rFonts w:hint="eastAsia" w:ascii="Times New Roman" w:hAnsi="Times New Roman" w:cs="Times New Roman"/>
                <w:color w:val="auto"/>
                <w:sz w:val="24"/>
                <w:szCs w:val="24"/>
                <w:highlight w:val="none"/>
                <w:lang w:val="en-US" w:eastAsia="zh-CN"/>
              </w:rPr>
              <w:t>1</w:t>
            </w:r>
            <w:r>
              <w:rPr>
                <w:rStyle w:val="27"/>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破碎粉尘</w:t>
            </w:r>
          </w:p>
          <w:p>
            <w:pPr>
              <w:spacing w:line="360" w:lineRule="auto"/>
              <w:ind w:firstLine="480" w:firstLineChars="200"/>
              <w:rPr>
                <w:rStyle w:val="27"/>
                <w:rFonts w:hint="eastAsia"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项目的废塑料原料进入破碎机破碎时，会产生一定量的粉尘。参考《排放源统计调查产排污核算方法和系数手册》（公告2021年第24号），“42废弃资源综合利用行业系数手册”，废塑料干法破碎的颗粒物产污系数为375克/吨-原料。根据工程分析，本项目回收利用的压缩块料约20000t/a。破碎过程粉尘产污系数取375克/吨-原料。经计算，项目废塑料破碎过程粉尘产生量约7.5t/a。</w:t>
            </w:r>
          </w:p>
          <w:p>
            <w:pPr>
              <w:pStyle w:val="5"/>
              <w:spacing w:line="360" w:lineRule="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（2）空气分选粉尘</w:t>
            </w:r>
          </w:p>
          <w:p>
            <w:pPr>
              <w:spacing w:line="360" w:lineRule="auto"/>
              <w:ind w:firstLine="480" w:firstLineChars="200"/>
              <w:rPr>
                <w:rStyle w:val="27"/>
                <w:rFonts w:hint="default" w:ascii="Times New Roman" w:hAnsi="Times New Roman" w:cs="Times New Roman"/>
                <w:color w:val="auto"/>
                <w:sz w:val="24"/>
                <w:szCs w:val="24"/>
                <w:highlight w:val="none"/>
                <w:lang w:val="en-US" w:eastAsia="zh-CN"/>
              </w:rPr>
            </w:pPr>
            <w:r>
              <w:rPr>
                <w:rStyle w:val="27"/>
                <w:rFonts w:hint="default" w:ascii="Times New Roman" w:hAnsi="Times New Roman" w:cs="Times New Roman"/>
                <w:color w:val="auto"/>
                <w:sz w:val="24"/>
                <w:szCs w:val="24"/>
                <w:highlight w:val="none"/>
                <w:lang w:val="en-US" w:eastAsia="zh-CN"/>
              </w:rPr>
              <w:t>项目废物料经过破碎加工后，会进入空分机进行空气分选。空分机的作用主要是通过风力作用将固废中的轻飘物吹离，以达到分离轻重物料的目的，方便接下来的分选设备对固废中的资源进行回收。废塑料经过破碎后会有较多的细碎固废或尘粒，在空分过程会有少量的粉尘产生。</w:t>
            </w:r>
          </w:p>
          <w:p>
            <w:pPr>
              <w:pStyle w:val="5"/>
              <w:spacing w:line="360" w:lineRule="auto"/>
              <w:rPr>
                <w:rFonts w:hint="default"/>
                <w:color w:val="auto"/>
                <w:highlight w:val="none"/>
                <w:lang w:val="en-US" w:eastAsia="zh-CN"/>
              </w:rPr>
            </w:pPr>
            <w:r>
              <w:rPr>
                <w:color w:val="auto"/>
                <w:spacing w:val="-1"/>
                <w:sz w:val="24"/>
                <w:szCs w:val="24"/>
                <w:highlight w:val="none"/>
              </w:rPr>
              <w:t>废塑料空</w:t>
            </w:r>
            <w:r>
              <w:rPr>
                <w:color w:val="auto"/>
                <w:sz w:val="24"/>
                <w:szCs w:val="24"/>
                <w:highlight w:val="none"/>
              </w:rPr>
              <w:t>分机属于密闭型设备</w:t>
            </w:r>
            <w:r>
              <w:rPr>
                <w:rFonts w:hint="eastAsia"/>
                <w:color w:val="auto"/>
                <w:sz w:val="24"/>
                <w:szCs w:val="24"/>
                <w:highlight w:val="none"/>
                <w:lang w:eastAsia="zh-CN"/>
              </w:rPr>
              <w:t>，</w:t>
            </w:r>
            <w:r>
              <w:rPr>
                <w:color w:val="auto"/>
                <w:sz w:val="24"/>
                <w:szCs w:val="24"/>
                <w:highlight w:val="none"/>
              </w:rPr>
              <w:t>仅有的少量粉尘排放也是随着轻</w:t>
            </w:r>
            <w:r>
              <w:rPr>
                <w:color w:val="auto"/>
                <w:spacing w:val="-1"/>
                <w:sz w:val="24"/>
                <w:szCs w:val="24"/>
                <w:highlight w:val="none"/>
              </w:rPr>
              <w:t>质物料从排料口排出，</w:t>
            </w:r>
            <w:r>
              <w:rPr>
                <w:rFonts w:hint="eastAsia"/>
                <w:color w:val="auto"/>
                <w:sz w:val="24"/>
                <w:szCs w:val="24"/>
                <w:highlight w:val="none"/>
                <w:lang w:val="en-US" w:eastAsia="zh-CN"/>
              </w:rPr>
              <w:t>参照同类型企业</w:t>
            </w:r>
            <w:r>
              <w:rPr>
                <w:color w:val="auto"/>
                <w:spacing w:val="-1"/>
                <w:sz w:val="24"/>
                <w:szCs w:val="24"/>
                <w:highlight w:val="none"/>
              </w:rPr>
              <w:t>粉尘产生</w:t>
            </w:r>
            <w:r>
              <w:rPr>
                <w:rFonts w:hint="eastAsia"/>
                <w:color w:val="auto"/>
                <w:spacing w:val="-1"/>
                <w:sz w:val="24"/>
                <w:szCs w:val="24"/>
                <w:highlight w:val="none"/>
                <w:lang w:val="en-US" w:eastAsia="zh-CN"/>
              </w:rPr>
              <w:t>系数</w:t>
            </w:r>
            <w:r>
              <w:rPr>
                <w:color w:val="auto"/>
                <w:spacing w:val="-1"/>
                <w:sz w:val="24"/>
                <w:szCs w:val="24"/>
                <w:highlight w:val="none"/>
              </w:rPr>
              <w:t>约</w:t>
            </w:r>
            <w:r>
              <w:rPr>
                <w:rFonts w:hint="eastAsia"/>
                <w:color w:val="auto"/>
                <w:spacing w:val="-1"/>
                <w:sz w:val="24"/>
                <w:szCs w:val="24"/>
                <w:highlight w:val="none"/>
                <w:lang w:val="en-US" w:eastAsia="zh-CN"/>
              </w:rPr>
              <w:t>为</w:t>
            </w:r>
            <w:r>
              <w:rPr>
                <w:rFonts w:ascii="Times New Roman" w:hAnsi="Times New Roman" w:eastAsia="Times New Roman" w:cs="Times New Roman"/>
                <w:color w:val="auto"/>
                <w:spacing w:val="-1"/>
                <w:sz w:val="24"/>
                <w:szCs w:val="24"/>
                <w:highlight w:val="none"/>
              </w:rPr>
              <w:t>10g/t-</w:t>
            </w:r>
            <w:r>
              <w:rPr>
                <w:color w:val="auto"/>
                <w:spacing w:val="-1"/>
                <w:sz w:val="24"/>
                <w:szCs w:val="24"/>
                <w:highlight w:val="none"/>
              </w:rPr>
              <w:t>原料。经计算，本项目进入空分机的物料量约</w:t>
            </w:r>
            <w:r>
              <w:rPr>
                <w:rFonts w:hint="eastAsia" w:ascii="Times New Roman" w:hAnsi="Times New Roman" w:eastAsia="宋体" w:cs="Times New Roman"/>
                <w:color w:val="auto"/>
                <w:spacing w:val="-1"/>
                <w:sz w:val="24"/>
                <w:szCs w:val="24"/>
                <w:highlight w:val="none"/>
                <w:lang w:val="en-US" w:eastAsia="zh-CN"/>
              </w:rPr>
              <w:t>19792.5</w:t>
            </w:r>
            <w:r>
              <w:rPr>
                <w:rFonts w:ascii="Times New Roman" w:hAnsi="Times New Roman" w:eastAsia="Times New Roman" w:cs="Times New Roman"/>
                <w:color w:val="auto"/>
                <w:spacing w:val="-1"/>
                <w:sz w:val="24"/>
                <w:szCs w:val="24"/>
                <w:highlight w:val="none"/>
              </w:rPr>
              <w:t>t/a</w:t>
            </w:r>
            <w:r>
              <w:rPr>
                <w:color w:val="auto"/>
                <w:spacing w:val="-1"/>
                <w:sz w:val="24"/>
                <w:szCs w:val="24"/>
                <w:highlight w:val="none"/>
              </w:rPr>
              <w:t>，则空分粉尘产生量约</w:t>
            </w:r>
            <w:r>
              <w:rPr>
                <w:rFonts w:ascii="Times New Roman" w:hAnsi="Times New Roman" w:eastAsia="Times New Roman" w:cs="Times New Roman"/>
                <w:color w:val="auto"/>
                <w:spacing w:val="-1"/>
                <w:sz w:val="24"/>
                <w:szCs w:val="24"/>
                <w:highlight w:val="none"/>
              </w:rPr>
              <w:t>0.</w:t>
            </w:r>
            <w:r>
              <w:rPr>
                <w:rFonts w:hint="eastAsia" w:ascii="Times New Roman" w:hAnsi="Times New Roman" w:eastAsia="宋体" w:cs="Times New Roman"/>
                <w:color w:val="auto"/>
                <w:spacing w:val="-1"/>
                <w:sz w:val="24"/>
                <w:szCs w:val="24"/>
                <w:highlight w:val="none"/>
                <w:lang w:val="en-US" w:eastAsia="zh-CN"/>
              </w:rPr>
              <w:t>198</w:t>
            </w:r>
            <w:r>
              <w:rPr>
                <w:rFonts w:ascii="Times New Roman" w:hAnsi="Times New Roman" w:eastAsia="Times New Roman" w:cs="Times New Roman"/>
                <w:color w:val="auto"/>
                <w:spacing w:val="-1"/>
                <w:sz w:val="24"/>
                <w:szCs w:val="24"/>
                <w:highlight w:val="none"/>
              </w:rPr>
              <w:t>t/a</w:t>
            </w:r>
            <w:r>
              <w:rPr>
                <w:color w:val="auto"/>
                <w:spacing w:val="-1"/>
                <w:sz w:val="24"/>
                <w:szCs w:val="24"/>
                <w:highlight w:val="none"/>
              </w:rPr>
              <w:t>。</w:t>
            </w:r>
          </w:p>
          <w:p>
            <w:pPr>
              <w:spacing w:line="360" w:lineRule="auto"/>
              <w:ind w:firstLine="480" w:firstLineChars="200"/>
              <w:rPr>
                <w:rStyle w:val="27"/>
                <w:rFonts w:hint="default"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（3）筛分粉尘</w:t>
            </w:r>
          </w:p>
          <w:p>
            <w:pPr>
              <w:spacing w:line="360" w:lineRule="auto"/>
              <w:ind w:firstLine="480" w:firstLineChars="200"/>
              <w:rPr>
                <w:rStyle w:val="27"/>
                <w:rFonts w:hint="default"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本项目空气风选后对物料进行筛分，由于前段进行破碎，会有粉尘带入筛分工序，产生少量筛分粉尘，粉尘产生量参照破碎工序，产污系数为375克/吨-原料。根据工程分析，本项目进入筛分工序物料量约19693.3395t/a。破碎过程粉尘产污系数取375克/吨-原料。经计算，项目废塑料破碎过程粉尘产生量约7.385t/a。</w:t>
            </w:r>
          </w:p>
          <w:p>
            <w:pPr>
              <w:spacing w:line="360" w:lineRule="auto"/>
              <w:ind w:firstLine="480" w:firstLineChars="200"/>
              <w:rPr>
                <w:rStyle w:val="27"/>
                <w:rFonts w:hint="default"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（4）粉碎粉尘</w:t>
            </w:r>
          </w:p>
          <w:p>
            <w:pPr>
              <w:spacing w:line="360" w:lineRule="auto"/>
              <w:ind w:firstLine="480" w:firstLineChars="200"/>
              <w:rPr>
                <w:rStyle w:val="27"/>
                <w:rFonts w:hint="eastAsia"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本项目的废塑料经过一次破碎后，在后续工艺环节还会采取二次粉碎，参考《排放源统计调查产排污核算方法和系数手册》（公告2021年第24号），“42废弃资源综合利用行业系数手册”，废塑料干法破碎的颗粒物产污系数为375克/吨-原料。根据工程分析，本项目进入二次粉碎工序物料约11793.8447t/a。破碎过程粉尘产污系数取375克/吨-原料。经计算，项目物料粉碎过程粉尘产生量约4.423t/a。</w:t>
            </w:r>
          </w:p>
          <w:p>
            <w:pPr>
              <w:spacing w:line="360" w:lineRule="auto"/>
              <w:ind w:firstLine="480" w:firstLineChars="200"/>
              <w:rPr>
                <w:rStyle w:val="27"/>
                <w:rFonts w:hint="default"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（5）粉尘治理措施</w:t>
            </w:r>
          </w:p>
          <w:p>
            <w:pPr>
              <w:spacing w:line="360" w:lineRule="auto"/>
              <w:ind w:firstLine="480" w:firstLineChars="200"/>
              <w:rPr>
                <w:rStyle w:val="27"/>
                <w:rFonts w:hint="eastAsia"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本项目生产线破碎机、空气风选机、筛分机及粉碎机均为密闭设备，各区域上方均设置集气罩（共3套）收集，集气罩收集效率按90%，项目位于全封闭厂房内，无组织逸散粉尘，定期清扫，根据上述分析破碎粉尘、空气风选粉尘、筛分粉尘及粉碎粉尘产生量为7.5+</w:t>
            </w:r>
            <w:r>
              <w:rPr>
                <w:rFonts w:ascii="Times New Roman" w:hAnsi="Times New Roman" w:eastAsia="Times New Roman" w:cs="Times New Roman"/>
                <w:color w:val="auto"/>
                <w:spacing w:val="-1"/>
                <w:sz w:val="24"/>
                <w:szCs w:val="24"/>
                <w:highlight w:val="none"/>
              </w:rPr>
              <w:t>0.</w:t>
            </w:r>
            <w:r>
              <w:rPr>
                <w:rFonts w:hint="eastAsia" w:ascii="Times New Roman" w:hAnsi="Times New Roman" w:eastAsia="宋体" w:cs="Times New Roman"/>
                <w:color w:val="auto"/>
                <w:spacing w:val="-1"/>
                <w:sz w:val="24"/>
                <w:szCs w:val="24"/>
                <w:highlight w:val="none"/>
                <w:lang w:val="en-US" w:eastAsia="zh-CN"/>
              </w:rPr>
              <w:t>198+</w:t>
            </w:r>
            <w:r>
              <w:rPr>
                <w:rStyle w:val="27"/>
                <w:rFonts w:hint="eastAsia" w:ascii="Times New Roman" w:hAnsi="Times New Roman" w:cs="Times New Roman"/>
                <w:color w:val="auto"/>
                <w:sz w:val="24"/>
                <w:szCs w:val="24"/>
                <w:highlight w:val="none"/>
                <w:lang w:val="en-US" w:eastAsia="zh-CN"/>
              </w:rPr>
              <w:t>7.385+4.423=19.506t/a，则集气罩收集量为17.5554t/a，未收集的部分以无组织形式逸散到车间内，逸散量为19.506t/a×10%=1.9506t/a；本项目风机风量为4000m</w:t>
            </w:r>
            <w:r>
              <w:rPr>
                <w:rStyle w:val="27"/>
                <w:rFonts w:hint="eastAsia" w:ascii="Times New Roman" w:hAnsi="Times New Roman" w:cs="Times New Roman"/>
                <w:color w:val="auto"/>
                <w:sz w:val="24"/>
                <w:szCs w:val="24"/>
                <w:highlight w:val="none"/>
                <w:vertAlign w:val="superscript"/>
                <w:lang w:val="en-US" w:eastAsia="zh-CN"/>
              </w:rPr>
              <w:t>3</w:t>
            </w:r>
            <w:r>
              <w:rPr>
                <w:rStyle w:val="27"/>
                <w:rFonts w:hint="eastAsia" w:ascii="Times New Roman" w:hAnsi="Times New Roman" w:cs="Times New Roman"/>
                <w:color w:val="auto"/>
                <w:sz w:val="24"/>
                <w:szCs w:val="24"/>
                <w:highlight w:val="none"/>
                <w:lang w:val="en-US" w:eastAsia="zh-CN"/>
              </w:rPr>
              <w:t>/h，废气经收集后通过管道引至1套布袋除尘器进行处理，布袋除尘器处理效率为95%，粉尘经除尘器净化处理后经1根15m高排气筒排放。除尘器排放量为17.5554t/a×（1%～95%）=0.87777t/a。</w:t>
            </w:r>
          </w:p>
          <w:p>
            <w:pPr>
              <w:spacing w:line="360" w:lineRule="auto"/>
              <w:ind w:firstLine="480" w:firstLineChars="200"/>
              <w:rPr>
                <w:rStyle w:val="27"/>
                <w:rFonts w:hint="eastAsia"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综上，本项目粉尘有组织排放量为0.87777t</w:t>
            </w:r>
            <w:r>
              <w:rPr>
                <w:rStyle w:val="27"/>
                <w:rFonts w:hint="default" w:ascii="Times New Roman" w:hAnsi="Times New Roman" w:cs="Times New Roman"/>
                <w:color w:val="auto"/>
                <w:sz w:val="24"/>
                <w:szCs w:val="24"/>
                <w:highlight w:val="none"/>
                <w:lang w:val="en-US" w:eastAsia="zh-CN"/>
              </w:rPr>
              <w:t>/a，排放浓度为91.5mg/m</w:t>
            </w:r>
            <w:r>
              <w:rPr>
                <w:rStyle w:val="27"/>
                <w:rFonts w:hint="default" w:ascii="Times New Roman" w:hAnsi="Times New Roman" w:cs="Times New Roman"/>
                <w:color w:val="auto"/>
                <w:sz w:val="24"/>
                <w:szCs w:val="24"/>
                <w:highlight w:val="none"/>
                <w:vertAlign w:val="superscript"/>
                <w:lang w:val="en-US" w:eastAsia="zh-CN"/>
              </w:rPr>
              <w:t>3</w:t>
            </w:r>
            <w:r>
              <w:rPr>
                <w:rStyle w:val="27"/>
                <w:rFonts w:hint="default" w:ascii="Times New Roman" w:hAnsi="Times New Roman" w:cs="Times New Roman"/>
                <w:color w:val="auto"/>
                <w:sz w:val="24"/>
                <w:szCs w:val="24"/>
                <w:highlight w:val="none"/>
                <w:lang w:val="en-US" w:eastAsia="zh-CN"/>
              </w:rPr>
              <w:t>，排放速率约为0.366kg/h</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有组织及无组织</w:t>
            </w:r>
            <w:r>
              <w:rPr>
                <w:rFonts w:hint="default" w:ascii="Times New Roman" w:hAnsi="Times New Roman" w:cs="Times New Roman"/>
                <w:color w:val="auto"/>
                <w:sz w:val="24"/>
                <w:szCs w:val="24"/>
                <w:highlight w:val="none"/>
                <w:lang w:val="en-US" w:eastAsia="zh-CN"/>
              </w:rPr>
              <w:t>颗粒物</w:t>
            </w:r>
            <w:r>
              <w:rPr>
                <w:rFonts w:hint="default" w:ascii="Times New Roman" w:hAnsi="Times New Roman" w:cs="Times New Roman"/>
                <w:color w:val="auto"/>
                <w:kern w:val="0"/>
                <w:sz w:val="24"/>
                <w:szCs w:val="24"/>
                <w:highlight w:val="none"/>
              </w:rPr>
              <w:t>排放满足《大气污染物综合排放标准》（GB16297-1996）表2中二级</w:t>
            </w:r>
            <w:r>
              <w:rPr>
                <w:rFonts w:cs="宋体"/>
                <w:color w:val="auto"/>
                <w:kern w:val="0"/>
                <w:sz w:val="24"/>
                <w:highlight w:val="none"/>
              </w:rPr>
              <w:t>标准</w:t>
            </w:r>
            <w:r>
              <w:rPr>
                <w:rStyle w:val="27"/>
                <w:rFonts w:hint="eastAsia" w:ascii="Times New Roman" w:hAnsi="Times New Roman" w:cs="Times New Roman"/>
                <w:color w:val="auto"/>
                <w:sz w:val="24"/>
                <w:szCs w:val="24"/>
                <w:highlight w:val="none"/>
                <w:lang w:val="en-US" w:eastAsia="zh-CN"/>
              </w:rPr>
              <w:t>。</w:t>
            </w:r>
          </w:p>
          <w:p>
            <w:pPr>
              <w:spacing w:line="360" w:lineRule="auto"/>
              <w:ind w:firstLine="480" w:firstLineChars="200"/>
              <w:rPr>
                <w:rStyle w:val="27"/>
                <w:rFonts w:hint="eastAsia"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（6）生产车间的恶臭</w:t>
            </w:r>
          </w:p>
          <w:p>
            <w:pPr>
              <w:spacing w:line="360" w:lineRule="auto"/>
              <w:ind w:firstLine="480" w:firstLineChars="200"/>
              <w:rPr>
                <w:rStyle w:val="27"/>
                <w:rFonts w:hint="eastAsia"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废塑料回收利用项目的恶臭排放主要源头是原料堆场。由于收购的废塑料属于工业源以及生活源废塑料，不可避免地会沾带一些有机物杂质等。当放置时间过长时，杂质中如蛋白质等有机物质在细菌的作用下腐败变质生成脂肪酸类物质而散发出恶臭，其强度与废塑料原料堆放时间以及废塑料的洁净程度有关。</w:t>
            </w:r>
          </w:p>
          <w:p>
            <w:pPr>
              <w:spacing w:line="360" w:lineRule="auto"/>
              <w:ind w:firstLine="480" w:firstLineChars="200"/>
              <w:rPr>
                <w:rStyle w:val="27"/>
                <w:rFonts w:hint="eastAsia" w:ascii="Times New Roman" w:hAnsi="Times New Roman" w:cs="Times New Roman"/>
                <w:color w:val="auto"/>
                <w:sz w:val="24"/>
                <w:szCs w:val="24"/>
                <w:highlight w:val="none"/>
                <w:lang w:val="en-US" w:eastAsia="zh-CN"/>
              </w:rPr>
            </w:pPr>
            <w:r>
              <w:rPr>
                <w:rStyle w:val="27"/>
                <w:rFonts w:hint="eastAsia" w:ascii="Times New Roman" w:hAnsi="Times New Roman" w:cs="Times New Roman"/>
                <w:color w:val="auto"/>
                <w:sz w:val="24"/>
                <w:szCs w:val="24"/>
                <w:highlight w:val="none"/>
                <w:lang w:val="en-US" w:eastAsia="zh-CN"/>
              </w:rPr>
              <w:t>（7）恶臭治理措施：</w:t>
            </w:r>
          </w:p>
          <w:p>
            <w:pPr>
              <w:spacing w:line="360" w:lineRule="auto"/>
              <w:ind w:firstLine="480" w:firstLineChars="200"/>
              <w:rPr>
                <w:rFonts w:hint="default"/>
                <w:color w:val="auto"/>
                <w:highlight w:val="none"/>
                <w:lang w:val="en-US" w:eastAsia="zh-CN"/>
              </w:rPr>
            </w:pPr>
            <w:r>
              <w:rPr>
                <w:rStyle w:val="27"/>
                <w:rFonts w:hint="default" w:ascii="Times New Roman" w:hAnsi="Times New Roman" w:cs="Times New Roman"/>
                <w:color w:val="auto"/>
                <w:sz w:val="24"/>
                <w:szCs w:val="24"/>
                <w:highlight w:val="none"/>
                <w:lang w:val="en-US" w:eastAsia="zh-CN"/>
              </w:rPr>
              <w:t>建设单位合理安排生产时间和原料周转周期，尽量避免原料堆存时间过长。定期冲洗原料堆棚地面，保持堆棚地面的洁净。原料堆场设置在封闭式厂房内</w:t>
            </w:r>
            <w:r>
              <w:rPr>
                <w:rStyle w:val="27"/>
                <w:rFonts w:hint="eastAsia" w:ascii="Times New Roman" w:hAnsi="Times New Roman" w:cs="Times New Roman"/>
                <w:color w:val="auto"/>
                <w:sz w:val="24"/>
                <w:szCs w:val="24"/>
                <w:highlight w:val="none"/>
                <w:lang w:val="en-US" w:eastAsia="zh-CN"/>
              </w:rPr>
              <w:t>，设置通风换气装置</w:t>
            </w:r>
            <w:r>
              <w:rPr>
                <w:rStyle w:val="27"/>
                <w:rFonts w:hint="default" w:ascii="Times New Roman" w:hAnsi="Times New Roman" w:cs="Times New Roman"/>
                <w:color w:val="auto"/>
                <w:sz w:val="24"/>
                <w:szCs w:val="24"/>
                <w:highlight w:val="none"/>
                <w:lang w:val="en-US" w:eastAsia="zh-CN"/>
              </w:rPr>
              <w:t>。同时，本项目废塑料原料</w:t>
            </w:r>
            <w:r>
              <w:rPr>
                <w:rStyle w:val="27"/>
                <w:rFonts w:hint="eastAsia" w:ascii="Times New Roman" w:hAnsi="Times New Roman" w:cs="Times New Roman"/>
                <w:color w:val="auto"/>
                <w:sz w:val="24"/>
                <w:szCs w:val="24"/>
                <w:highlight w:val="none"/>
                <w:lang w:val="en-US" w:eastAsia="zh-CN"/>
              </w:rPr>
              <w:t>为</w:t>
            </w:r>
            <w:r>
              <w:rPr>
                <w:rStyle w:val="27"/>
                <w:rFonts w:hint="default" w:ascii="Times New Roman" w:hAnsi="Times New Roman" w:cs="Times New Roman"/>
                <w:color w:val="auto"/>
                <w:sz w:val="24"/>
                <w:szCs w:val="24"/>
                <w:highlight w:val="none"/>
                <w:lang w:val="en-US" w:eastAsia="zh-CN"/>
              </w:rPr>
              <w:t>经过初选的压缩块料，能够从源头上降低恶臭产生源</w:t>
            </w:r>
            <w:r>
              <w:rPr>
                <w:rStyle w:val="27"/>
                <w:rFonts w:hint="eastAsia" w:ascii="Times New Roman" w:hAnsi="Times New Roman" w:cs="Times New Roman"/>
                <w:color w:val="auto"/>
                <w:sz w:val="24"/>
                <w:szCs w:val="24"/>
                <w:highlight w:val="none"/>
                <w:lang w:val="en-US" w:eastAsia="zh-CN"/>
              </w:rPr>
              <w:t>，必要时</w:t>
            </w:r>
            <w:r>
              <w:rPr>
                <w:rFonts w:hint="eastAsia"/>
                <w:color w:val="auto"/>
                <w:sz w:val="24"/>
                <w:szCs w:val="24"/>
                <w:highlight w:val="none"/>
                <w:lang w:val="en-US" w:eastAsia="zh-CN"/>
              </w:rPr>
              <w:t>喷洒微生物除臭菌剂</w:t>
            </w:r>
            <w:r>
              <w:rPr>
                <w:rStyle w:val="27"/>
                <w:rFonts w:hint="default" w:ascii="Times New Roman" w:hAnsi="Times New Roman" w:cs="Times New Roman"/>
                <w:color w:val="auto"/>
                <w:sz w:val="24"/>
                <w:szCs w:val="24"/>
                <w:highlight w:val="none"/>
                <w:lang w:val="en-US" w:eastAsia="zh-CN"/>
              </w:rPr>
              <w:t>。</w:t>
            </w:r>
          </w:p>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eastAsia"/>
                <w:color w:val="auto"/>
                <w:highlight w:val="none"/>
                <w:vertAlign w:val="baseline"/>
                <w:lang w:eastAsia="zh-CN"/>
              </w:rPr>
            </w:pPr>
            <w:r>
              <w:rPr>
                <w:rFonts w:hint="eastAsia"/>
                <w:b/>
                <w:bCs/>
                <w:color w:val="auto"/>
                <w:highlight w:val="none"/>
                <w:lang w:val="en-US" w:eastAsia="zh-CN"/>
              </w:rPr>
              <w:t xml:space="preserve">表4-1  </w:t>
            </w:r>
            <w:r>
              <w:rPr>
                <w:rFonts w:hint="eastAsia"/>
                <w:b/>
                <w:bCs/>
                <w:color w:val="auto"/>
                <w:highlight w:val="none"/>
                <w:lang w:eastAsia="zh-CN"/>
              </w:rPr>
              <w:t>本项目废气产排情况表</w:t>
            </w:r>
          </w:p>
          <w:tbl>
            <w:tblPr>
              <w:tblStyle w:val="2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626"/>
              <w:gridCol w:w="951"/>
              <w:gridCol w:w="779"/>
              <w:gridCol w:w="1085"/>
              <w:gridCol w:w="1122"/>
              <w:gridCol w:w="1123"/>
              <w:gridCol w:w="938"/>
              <w:gridCol w:w="1086"/>
              <w:gridCol w:w="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eastAsia"/>
                      <w:color w:val="auto"/>
                      <w:sz w:val="21"/>
                      <w:szCs w:val="21"/>
                      <w:highlight w:val="none"/>
                      <w:vertAlign w:val="baseline"/>
                      <w:lang w:eastAsia="zh-CN"/>
                    </w:rPr>
                  </w:pPr>
                  <w:r>
                    <w:rPr>
                      <w:rFonts w:hint="eastAsia"/>
                      <w:color w:val="auto"/>
                      <w:sz w:val="21"/>
                      <w:szCs w:val="21"/>
                      <w:highlight w:val="none"/>
                      <w:vertAlign w:val="baseline"/>
                      <w:lang w:eastAsia="zh-CN"/>
                    </w:rPr>
                    <w:t>污染源</w:t>
                  </w:r>
                </w:p>
              </w:tc>
              <w:tc>
                <w:tcPr>
                  <w:tcW w:w="343"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eastAsia"/>
                      <w:color w:val="auto"/>
                      <w:sz w:val="21"/>
                      <w:szCs w:val="21"/>
                      <w:highlight w:val="none"/>
                      <w:vertAlign w:val="baseline"/>
                      <w:lang w:eastAsia="zh-CN"/>
                    </w:rPr>
                  </w:pPr>
                  <w:r>
                    <w:rPr>
                      <w:rFonts w:hint="eastAsia"/>
                      <w:color w:val="auto"/>
                      <w:sz w:val="21"/>
                      <w:szCs w:val="21"/>
                      <w:highlight w:val="none"/>
                      <w:vertAlign w:val="baseline"/>
                      <w:lang w:eastAsia="zh-CN"/>
                    </w:rPr>
                    <w:t>污染物</w:t>
                  </w:r>
                </w:p>
              </w:tc>
              <w:tc>
                <w:tcPr>
                  <w:tcW w:w="504"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eastAsia="zh-CN"/>
                    </w:rPr>
                    <w:t>产生量</w:t>
                  </w:r>
                  <w:r>
                    <w:rPr>
                      <w:rFonts w:hint="eastAsia"/>
                      <w:color w:val="auto"/>
                      <w:sz w:val="21"/>
                      <w:szCs w:val="21"/>
                      <w:highlight w:val="none"/>
                      <w:vertAlign w:val="baseline"/>
                      <w:lang w:val="en-US" w:eastAsia="zh-CN"/>
                    </w:rPr>
                    <w:t>t/a</w:t>
                  </w:r>
                </w:p>
              </w:tc>
              <w:tc>
                <w:tcPr>
                  <w:tcW w:w="424"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eastAsia"/>
                      <w:color w:val="auto"/>
                      <w:sz w:val="21"/>
                      <w:szCs w:val="21"/>
                      <w:highlight w:val="none"/>
                      <w:vertAlign w:val="baseline"/>
                      <w:lang w:eastAsia="zh-CN"/>
                    </w:rPr>
                  </w:pPr>
                  <w:r>
                    <w:rPr>
                      <w:rFonts w:hint="eastAsia"/>
                      <w:color w:val="auto"/>
                      <w:sz w:val="21"/>
                      <w:szCs w:val="21"/>
                      <w:highlight w:val="none"/>
                      <w:vertAlign w:val="baseline"/>
                      <w:lang w:eastAsia="zh-CN"/>
                    </w:rPr>
                    <w:t>排放形式</w:t>
                  </w:r>
                </w:p>
              </w:tc>
              <w:tc>
                <w:tcPr>
                  <w:tcW w:w="514"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收集量t/a</w:t>
                  </w:r>
                </w:p>
              </w:tc>
              <w:tc>
                <w:tcPr>
                  <w:tcW w:w="606"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收集风量m</w:t>
                  </w:r>
                  <w:r>
                    <w:rPr>
                      <w:rFonts w:hint="eastAsia"/>
                      <w:color w:val="auto"/>
                      <w:sz w:val="21"/>
                      <w:szCs w:val="21"/>
                      <w:highlight w:val="none"/>
                      <w:vertAlign w:val="superscript"/>
                      <w:lang w:val="en-US" w:eastAsia="zh-CN"/>
                    </w:rPr>
                    <w:t>3</w:t>
                  </w:r>
                  <w:r>
                    <w:rPr>
                      <w:rFonts w:hint="eastAsia"/>
                      <w:color w:val="auto"/>
                      <w:sz w:val="21"/>
                      <w:szCs w:val="21"/>
                      <w:highlight w:val="none"/>
                      <w:vertAlign w:val="baseline"/>
                      <w:lang w:val="en-US" w:eastAsia="zh-CN"/>
                    </w:rPr>
                    <w:t>/h</w:t>
                  </w:r>
                </w:p>
              </w:tc>
              <w:tc>
                <w:tcPr>
                  <w:tcW w:w="606"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eastAsia="zh-CN"/>
                    </w:rPr>
                    <w:t>治理措施</w:t>
                  </w:r>
                </w:p>
              </w:tc>
              <w:tc>
                <w:tcPr>
                  <w:tcW w:w="508"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去除效率</w:t>
                  </w:r>
                </w:p>
              </w:tc>
              <w:tc>
                <w:tcPr>
                  <w:tcW w:w="560"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eastAsia="zh-CN"/>
                    </w:rPr>
                    <w:t>排放量</w:t>
                  </w:r>
                  <w:r>
                    <w:rPr>
                      <w:rFonts w:hint="eastAsia"/>
                      <w:color w:val="auto"/>
                      <w:sz w:val="21"/>
                      <w:szCs w:val="21"/>
                      <w:highlight w:val="none"/>
                      <w:vertAlign w:val="baseline"/>
                      <w:lang w:val="en-US" w:eastAsia="zh-CN"/>
                    </w:rPr>
                    <w:t>t/a</w:t>
                  </w:r>
                </w:p>
              </w:tc>
              <w:tc>
                <w:tcPr>
                  <w:tcW w:w="498"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排放速率kg/h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 w:type="pct"/>
                  <w:vMerge w:val="restar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both"/>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破碎、空分、筛分、粉碎</w:t>
                  </w:r>
                </w:p>
              </w:tc>
              <w:tc>
                <w:tcPr>
                  <w:tcW w:w="343" w:type="pct"/>
                  <w:vMerge w:val="restar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颗粒物</w:t>
                  </w:r>
                </w:p>
              </w:tc>
              <w:tc>
                <w:tcPr>
                  <w:tcW w:w="504" w:type="pct"/>
                  <w:vMerge w:val="restar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default"/>
                      <w:color w:val="auto"/>
                      <w:sz w:val="21"/>
                      <w:szCs w:val="21"/>
                      <w:highlight w:val="none"/>
                      <w:vertAlign w:val="baseline"/>
                      <w:lang w:val="en-US" w:eastAsia="zh-CN"/>
                    </w:rPr>
                    <w:t>19.50</w:t>
                  </w:r>
                  <w:r>
                    <w:rPr>
                      <w:rFonts w:hint="eastAsia"/>
                      <w:color w:val="auto"/>
                      <w:sz w:val="21"/>
                      <w:szCs w:val="21"/>
                      <w:highlight w:val="none"/>
                      <w:vertAlign w:val="baseline"/>
                      <w:lang w:val="en-US" w:eastAsia="zh-CN"/>
                    </w:rPr>
                    <w:t>6</w:t>
                  </w:r>
                </w:p>
              </w:tc>
              <w:tc>
                <w:tcPr>
                  <w:tcW w:w="424"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有组织</w:t>
                  </w:r>
                </w:p>
              </w:tc>
              <w:tc>
                <w:tcPr>
                  <w:tcW w:w="514"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default"/>
                      <w:color w:val="auto"/>
                      <w:sz w:val="21"/>
                      <w:szCs w:val="21"/>
                      <w:highlight w:val="none"/>
                      <w:vertAlign w:val="baseline"/>
                      <w:lang w:val="en-US" w:eastAsia="zh-CN"/>
                    </w:rPr>
                    <w:t>17.55</w:t>
                  </w:r>
                  <w:r>
                    <w:rPr>
                      <w:rFonts w:hint="eastAsia"/>
                      <w:color w:val="auto"/>
                      <w:sz w:val="21"/>
                      <w:szCs w:val="21"/>
                      <w:highlight w:val="none"/>
                      <w:vertAlign w:val="baseline"/>
                      <w:lang w:val="en-US" w:eastAsia="zh-CN"/>
                    </w:rPr>
                    <w:t>54</w:t>
                  </w:r>
                </w:p>
              </w:tc>
              <w:tc>
                <w:tcPr>
                  <w:tcW w:w="606"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4000</w:t>
                  </w:r>
                </w:p>
              </w:tc>
              <w:tc>
                <w:tcPr>
                  <w:tcW w:w="606"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集气罩+布袋除尘器</w:t>
                  </w:r>
                </w:p>
              </w:tc>
              <w:tc>
                <w:tcPr>
                  <w:tcW w:w="508"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95%</w:t>
                  </w:r>
                </w:p>
              </w:tc>
              <w:tc>
                <w:tcPr>
                  <w:tcW w:w="560"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0.87777</w:t>
                  </w:r>
                </w:p>
              </w:tc>
              <w:tc>
                <w:tcPr>
                  <w:tcW w:w="498"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 w:type="pct"/>
                  <w:vMerge w:val="continue"/>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both"/>
                    <w:textAlignment w:val="auto"/>
                    <w:rPr>
                      <w:rFonts w:hint="eastAsia"/>
                      <w:color w:val="auto"/>
                      <w:sz w:val="21"/>
                      <w:szCs w:val="21"/>
                      <w:highlight w:val="none"/>
                      <w:vertAlign w:val="baseline"/>
                      <w:lang w:val="en-US" w:eastAsia="zh-CN"/>
                    </w:rPr>
                  </w:pPr>
                </w:p>
              </w:tc>
              <w:tc>
                <w:tcPr>
                  <w:tcW w:w="343" w:type="pct"/>
                  <w:vMerge w:val="continue"/>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eastAsia"/>
                      <w:color w:val="auto"/>
                      <w:sz w:val="21"/>
                      <w:szCs w:val="21"/>
                      <w:highlight w:val="none"/>
                      <w:vertAlign w:val="baseline"/>
                      <w:lang w:val="en-US" w:eastAsia="zh-CN"/>
                    </w:rPr>
                  </w:pPr>
                </w:p>
              </w:tc>
              <w:tc>
                <w:tcPr>
                  <w:tcW w:w="504" w:type="pct"/>
                  <w:vMerge w:val="continue"/>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p>
              </w:tc>
              <w:tc>
                <w:tcPr>
                  <w:tcW w:w="424"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无</w:t>
                  </w:r>
                  <w:r>
                    <w:rPr>
                      <w:rFonts w:hint="eastAsia"/>
                      <w:color w:val="auto"/>
                      <w:sz w:val="21"/>
                      <w:szCs w:val="21"/>
                      <w:highlight w:val="none"/>
                      <w:vertAlign w:val="baseline"/>
                      <w:lang w:eastAsia="zh-CN"/>
                    </w:rPr>
                    <w:t>组织</w:t>
                  </w:r>
                </w:p>
              </w:tc>
              <w:tc>
                <w:tcPr>
                  <w:tcW w:w="514"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default"/>
                      <w:color w:val="auto"/>
                      <w:sz w:val="21"/>
                      <w:szCs w:val="21"/>
                      <w:highlight w:val="none"/>
                      <w:vertAlign w:val="baseline"/>
                      <w:lang w:val="en-US" w:eastAsia="zh-CN"/>
                    </w:rPr>
                    <w:t>1.9506</w:t>
                  </w:r>
                </w:p>
              </w:tc>
              <w:tc>
                <w:tcPr>
                  <w:tcW w:w="606"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c>
                <w:tcPr>
                  <w:tcW w:w="606"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c>
                <w:tcPr>
                  <w:tcW w:w="508"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c>
                <w:tcPr>
                  <w:tcW w:w="560"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default"/>
                      <w:color w:val="auto"/>
                      <w:sz w:val="21"/>
                      <w:szCs w:val="21"/>
                      <w:highlight w:val="none"/>
                      <w:vertAlign w:val="baseline"/>
                      <w:lang w:val="en-US" w:eastAsia="zh-CN"/>
                    </w:rPr>
                    <w:t>1.9506</w:t>
                  </w:r>
                </w:p>
              </w:tc>
              <w:tc>
                <w:tcPr>
                  <w:tcW w:w="498" w:type="pct"/>
                  <w:vAlign w:val="center"/>
                </w:tcPr>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r>
          </w:tbl>
          <w:p>
            <w:pPr>
              <w:spacing w:line="360" w:lineRule="auto"/>
              <w:ind w:firstLine="481" w:firstLineChars="200"/>
              <w:rPr>
                <w:rFonts w:hint="eastAsia" w:ascii="宋体" w:hAnsi="宋体" w:cs="宋体"/>
                <w:b/>
                <w:color w:val="auto"/>
                <w:sz w:val="24"/>
                <w:highlight w:val="none"/>
              </w:rPr>
            </w:pPr>
            <w:r>
              <w:rPr>
                <w:rFonts w:hint="default" w:ascii="Times New Roman" w:hAnsi="Times New Roman" w:cs="Times New Roman"/>
                <w:b/>
                <w:color w:val="auto"/>
                <w:sz w:val="24"/>
                <w:highlight w:val="none"/>
              </w:rPr>
              <w:t>2</w:t>
            </w:r>
            <w:r>
              <w:rPr>
                <w:rFonts w:hint="eastAsia" w:ascii="宋体" w:hAnsi="宋体" w:cs="宋体"/>
                <w:b/>
                <w:color w:val="auto"/>
                <w:sz w:val="24"/>
                <w:highlight w:val="none"/>
              </w:rPr>
              <w:t>、水环境影响分析及防治措施</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w:t>
            </w:r>
            <w:r>
              <w:rPr>
                <w:rFonts w:hint="eastAsia" w:ascii="Times New Roman" w:hAnsi="Times New Roman" w:cs="Times New Roman"/>
                <w:color w:val="auto"/>
                <w:sz w:val="24"/>
                <w:highlight w:val="none"/>
                <w:lang w:val="en-US" w:eastAsia="zh-CN"/>
              </w:rPr>
              <w:t>废水</w:t>
            </w:r>
            <w:r>
              <w:rPr>
                <w:rFonts w:hint="default" w:ascii="Times New Roman" w:hAnsi="Times New Roman" w:cs="Times New Roman"/>
                <w:color w:val="auto"/>
                <w:sz w:val="24"/>
                <w:highlight w:val="none"/>
              </w:rPr>
              <w:t>主要</w:t>
            </w:r>
            <w:r>
              <w:rPr>
                <w:rFonts w:hint="eastAsia" w:ascii="Times New Roman" w:hAnsi="Times New Roman" w:cs="Times New Roman"/>
                <w:color w:val="auto"/>
                <w:sz w:val="24"/>
                <w:highlight w:val="none"/>
                <w:lang w:val="en-US" w:eastAsia="zh-CN"/>
              </w:rPr>
              <w:t>生活污水、生产废水</w:t>
            </w:r>
            <w:r>
              <w:rPr>
                <w:rFonts w:hint="default" w:ascii="Times New Roman" w:hAnsi="Times New Roman" w:cs="Times New Roman"/>
                <w:color w:val="auto"/>
                <w:sz w:val="24"/>
                <w:highlight w:val="none"/>
              </w:rPr>
              <w:t>。</w:t>
            </w:r>
          </w:p>
          <w:p>
            <w:pPr>
              <w:pStyle w:val="5"/>
              <w:spacing w:line="360" w:lineRule="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bCs/>
                <w:color w:val="auto"/>
                <w:kern w:val="0"/>
                <w:sz w:val="24"/>
                <w:highlight w:val="none"/>
                <w:lang w:val="en-US" w:eastAsia="zh-CN"/>
              </w:rPr>
              <w:t>项目工</w:t>
            </w:r>
            <w:r>
              <w:rPr>
                <w:rFonts w:hint="default" w:ascii="Times New Roman" w:hAnsi="Times New Roman" w:cs="Times New Roman"/>
                <w:bCs/>
                <w:color w:val="auto"/>
                <w:kern w:val="0"/>
                <w:sz w:val="24"/>
                <w:szCs w:val="24"/>
                <w:highlight w:val="none"/>
                <w:lang w:val="en-US" w:eastAsia="zh-CN"/>
              </w:rPr>
              <w:t>作人员1</w:t>
            </w:r>
            <w:r>
              <w:rPr>
                <w:rFonts w:hint="eastAsia" w:ascii="Times New Roman" w:hAnsi="Times New Roman" w:cs="Times New Roman"/>
                <w:bCs/>
                <w:color w:val="auto"/>
                <w:kern w:val="0"/>
                <w:sz w:val="24"/>
                <w:szCs w:val="24"/>
                <w:highlight w:val="none"/>
                <w:lang w:val="en-US" w:eastAsia="zh-CN"/>
              </w:rPr>
              <w:t>5</w:t>
            </w:r>
            <w:r>
              <w:rPr>
                <w:rFonts w:hint="default" w:ascii="Times New Roman" w:hAnsi="Times New Roman" w:cs="Times New Roman"/>
                <w:bCs/>
                <w:color w:val="auto"/>
                <w:kern w:val="0"/>
                <w:sz w:val="24"/>
                <w:szCs w:val="24"/>
                <w:highlight w:val="none"/>
                <w:lang w:val="en-US" w:eastAsia="zh-CN"/>
              </w:rPr>
              <w:t>人，</w:t>
            </w:r>
            <w:r>
              <w:rPr>
                <w:rFonts w:hint="default" w:ascii="Times New Roman" w:hAnsi="Times New Roman" w:cs="Times New Roman"/>
                <w:bCs/>
                <w:color w:val="auto"/>
                <w:sz w:val="24"/>
                <w:szCs w:val="24"/>
                <w:highlight w:val="none"/>
              </w:rPr>
              <w:t>人均用水按60L/d计，</w:t>
            </w:r>
            <w:r>
              <w:rPr>
                <w:rFonts w:hint="eastAsia" w:ascii="Times New Roman" w:hAnsi="Times New Roman" w:cs="Times New Roman"/>
                <w:bCs/>
                <w:color w:val="auto"/>
                <w:sz w:val="24"/>
                <w:szCs w:val="24"/>
                <w:highlight w:val="none"/>
                <w:lang w:eastAsia="zh-CN"/>
              </w:rPr>
              <w:t>生活污水</w:t>
            </w:r>
            <w:r>
              <w:rPr>
                <w:rFonts w:hint="default" w:ascii="Times New Roman" w:hAnsi="Times New Roman" w:cs="Times New Roman"/>
                <w:bCs/>
                <w:color w:val="auto"/>
                <w:sz w:val="24"/>
                <w:szCs w:val="24"/>
                <w:highlight w:val="none"/>
              </w:rPr>
              <w:t>主要污染因子为SS、COD、BOD和氨氮</w:t>
            </w:r>
            <w:r>
              <w:rPr>
                <w:rFonts w:hint="eastAsia" w:ascii="Times New Roman" w:hAnsi="Times New Roman" w:cs="Times New Roman"/>
                <w:bCs/>
                <w:color w:val="auto"/>
                <w:sz w:val="24"/>
                <w:szCs w:val="24"/>
                <w:highlight w:val="none"/>
                <w:lang w:eastAsia="zh-CN"/>
              </w:rPr>
              <w:t>等</w:t>
            </w:r>
            <w:r>
              <w:rPr>
                <w:rFonts w:hint="default" w:ascii="Times New Roman" w:hAnsi="Times New Roman" w:cs="Times New Roman"/>
                <w:bCs/>
                <w:color w:val="auto"/>
                <w:sz w:val="24"/>
                <w:szCs w:val="24"/>
                <w:highlight w:val="none"/>
              </w:rPr>
              <w:t>，</w:t>
            </w:r>
            <w:r>
              <w:rPr>
                <w:rFonts w:hint="default" w:ascii="Times New Roman" w:hAnsi="Times New Roman" w:cs="Times New Roman"/>
                <w:color w:val="auto"/>
                <w:sz w:val="24"/>
                <w:szCs w:val="24"/>
                <w:highlight w:val="none"/>
              </w:rPr>
              <w:t>水质一般为COD 350~500mg/L，BOD</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150~250mg/L，SS</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200~300mg/L，TN 20~85mg/L，TP 4~15mg/L</w:t>
            </w:r>
            <w:r>
              <w:rPr>
                <w:rFonts w:hint="eastAsia" w:ascii="Times New Roman" w:hAnsi="Times New Roman" w:cs="Times New Roman"/>
                <w:bCs/>
                <w:color w:val="auto"/>
                <w:sz w:val="24"/>
                <w:szCs w:val="24"/>
                <w:highlight w:val="none"/>
                <w:lang w:eastAsia="zh-CN"/>
              </w:rPr>
              <w:t>，</w:t>
            </w:r>
            <w:r>
              <w:rPr>
                <w:rFonts w:hint="default" w:ascii="Times New Roman" w:hAnsi="Times New Roman" w:cs="Times New Roman"/>
                <w:bCs/>
                <w:color w:val="auto"/>
                <w:sz w:val="24"/>
                <w:szCs w:val="24"/>
                <w:highlight w:val="none"/>
              </w:rPr>
              <w:t>产生量按总用水量的80</w:t>
            </w:r>
            <w:r>
              <w:rPr>
                <w:rFonts w:hint="eastAsia" w:ascii="Times New Roman" w:hAnsi="Times New Roman" w:cs="Times New Roman"/>
                <w:bCs/>
                <w:color w:val="auto"/>
                <w:sz w:val="24"/>
                <w:szCs w:val="24"/>
                <w:highlight w:val="none"/>
                <w:lang w:val="en-US" w:eastAsia="zh-CN"/>
              </w:rPr>
              <w:t>%</w:t>
            </w:r>
            <w:r>
              <w:rPr>
                <w:rFonts w:hint="default" w:ascii="Times New Roman" w:hAnsi="Times New Roman" w:cs="Times New Roman"/>
                <w:bCs/>
                <w:color w:val="auto"/>
                <w:sz w:val="24"/>
                <w:szCs w:val="24"/>
                <w:highlight w:val="none"/>
              </w:rPr>
              <w:t>计，全年有效工作日</w:t>
            </w:r>
            <w:r>
              <w:rPr>
                <w:rFonts w:hint="eastAsia" w:ascii="Times New Roman" w:hAnsi="Times New Roman" w:cs="Times New Roman"/>
                <w:bCs/>
                <w:color w:val="auto"/>
                <w:sz w:val="24"/>
                <w:szCs w:val="24"/>
                <w:highlight w:val="none"/>
                <w:lang w:val="en-US" w:eastAsia="zh-CN"/>
              </w:rPr>
              <w:t>300</w:t>
            </w:r>
            <w:r>
              <w:rPr>
                <w:rFonts w:hint="default" w:ascii="Times New Roman" w:hAnsi="Times New Roman" w:cs="Times New Roman"/>
                <w:bCs/>
                <w:color w:val="auto"/>
                <w:sz w:val="24"/>
                <w:szCs w:val="24"/>
                <w:highlight w:val="none"/>
              </w:rPr>
              <w:t>天，产生生活污水量约</w:t>
            </w:r>
            <w:r>
              <w:rPr>
                <w:rFonts w:hint="default" w:ascii="Times New Roman" w:hAnsi="Times New Roman" w:cs="Times New Roman"/>
                <w:bCs/>
                <w:color w:val="auto"/>
                <w:sz w:val="24"/>
                <w:szCs w:val="24"/>
                <w:highlight w:val="none"/>
                <w:lang w:val="en-US" w:eastAsia="zh-CN"/>
              </w:rPr>
              <w:t>0.</w:t>
            </w:r>
            <w:r>
              <w:rPr>
                <w:rFonts w:hint="eastAsia" w:ascii="Times New Roman" w:hAnsi="Times New Roman" w:cs="Times New Roman"/>
                <w:bCs/>
                <w:color w:val="auto"/>
                <w:sz w:val="24"/>
                <w:szCs w:val="24"/>
                <w:highlight w:val="none"/>
                <w:lang w:val="en-US" w:eastAsia="zh-CN"/>
              </w:rPr>
              <w:t>72</w:t>
            </w:r>
            <w:r>
              <w:rPr>
                <w:rFonts w:hint="default" w:ascii="Times New Roman" w:hAnsi="Times New Roman" w:cs="Times New Roman"/>
                <w:bCs/>
                <w:color w:val="auto"/>
                <w:sz w:val="24"/>
                <w:szCs w:val="24"/>
                <w:highlight w:val="none"/>
                <w:lang w:val="en-US" w:eastAsia="zh-CN"/>
              </w:rPr>
              <w:t>m</w:t>
            </w:r>
            <w:r>
              <w:rPr>
                <w:rFonts w:hint="default" w:ascii="Times New Roman" w:hAnsi="Times New Roman" w:cs="Times New Roman"/>
                <w:bCs/>
                <w:color w:val="auto"/>
                <w:sz w:val="24"/>
                <w:szCs w:val="24"/>
                <w:highlight w:val="none"/>
                <w:vertAlign w:val="superscript"/>
                <w:lang w:val="en-US" w:eastAsia="zh-CN"/>
              </w:rPr>
              <w:t>3</w:t>
            </w:r>
            <w:r>
              <w:rPr>
                <w:rFonts w:hint="default" w:ascii="Times New Roman" w:hAnsi="Times New Roman" w:cs="Times New Roman"/>
                <w:bCs/>
                <w:color w:val="auto"/>
                <w:sz w:val="24"/>
                <w:szCs w:val="24"/>
                <w:highlight w:val="none"/>
                <w:lang w:val="en-US" w:eastAsia="zh-CN"/>
              </w:rPr>
              <w:t>/d（</w:t>
            </w:r>
            <w:r>
              <w:rPr>
                <w:rFonts w:hint="eastAsia" w:ascii="Times New Roman" w:hAnsi="Times New Roman" w:cs="Times New Roman"/>
                <w:bCs/>
                <w:color w:val="auto"/>
                <w:sz w:val="24"/>
                <w:szCs w:val="24"/>
                <w:highlight w:val="none"/>
                <w:lang w:val="en-US" w:eastAsia="zh-CN"/>
              </w:rPr>
              <w:t>216</w:t>
            </w:r>
            <w:r>
              <w:rPr>
                <w:rFonts w:hint="default" w:ascii="Times New Roman" w:hAnsi="Times New Roman" w:cs="Times New Roman"/>
                <w:bCs/>
                <w:color w:val="auto"/>
                <w:sz w:val="24"/>
                <w:szCs w:val="24"/>
                <w:highlight w:val="none"/>
              </w:rPr>
              <w:t>m</w:t>
            </w:r>
            <w:r>
              <w:rPr>
                <w:rFonts w:hint="default" w:ascii="Times New Roman" w:hAnsi="Times New Roman" w:cs="Times New Roman"/>
                <w:bCs/>
                <w:color w:val="auto"/>
                <w:sz w:val="24"/>
                <w:szCs w:val="24"/>
                <w:highlight w:val="none"/>
                <w:vertAlign w:val="superscript"/>
              </w:rPr>
              <w:t>3</w:t>
            </w:r>
            <w:r>
              <w:rPr>
                <w:rFonts w:hint="default" w:ascii="Times New Roman" w:hAnsi="Times New Roman" w:cs="Times New Roman"/>
                <w:bCs/>
                <w:color w:val="auto"/>
                <w:sz w:val="24"/>
                <w:szCs w:val="24"/>
                <w:highlight w:val="none"/>
              </w:rPr>
              <w:t>/a</w:t>
            </w:r>
            <w:r>
              <w:rPr>
                <w:rFonts w:hint="default" w:ascii="Times New Roman" w:hAnsi="Times New Roman" w:cs="Times New Roman"/>
                <w:bCs/>
                <w:color w:val="auto"/>
                <w:sz w:val="24"/>
                <w:szCs w:val="24"/>
                <w:highlight w:val="none"/>
                <w:lang w:val="en-US" w:eastAsia="zh-CN"/>
              </w:rPr>
              <w:t>）</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办公区设置水冲卫生间，</w:t>
            </w:r>
            <w:r>
              <w:rPr>
                <w:rFonts w:hint="default" w:ascii="Times New Roman" w:hAnsi="Times New Roman" w:cs="Times New Roman"/>
                <w:color w:val="auto"/>
                <w:sz w:val="24"/>
                <w:szCs w:val="24"/>
                <w:highlight w:val="none"/>
              </w:rPr>
              <w:t>产生的生活污水</w:t>
            </w:r>
            <w:r>
              <w:rPr>
                <w:rFonts w:hint="eastAsia" w:ascii="Times New Roman" w:hAnsi="Times New Roman" w:cs="Times New Roman"/>
                <w:color w:val="auto"/>
                <w:sz w:val="24"/>
                <w:szCs w:val="24"/>
                <w:highlight w:val="none"/>
                <w:lang w:val="en-US" w:eastAsia="zh-CN"/>
              </w:rPr>
              <w:t>接管园区生活污水管网，最终进入伊金霍洛旗污</w:t>
            </w:r>
            <w:r>
              <w:rPr>
                <w:rFonts w:hint="eastAsia"/>
                <w:color w:val="auto"/>
                <w:sz w:val="24"/>
                <w:highlight w:val="none"/>
                <w:lang w:val="en-US" w:eastAsia="zh-CN"/>
              </w:rPr>
              <w:t>水处理厂</w:t>
            </w:r>
            <w:r>
              <w:rPr>
                <w:rFonts w:hint="eastAsia" w:ascii="Times New Roman" w:hAnsi="Times New Roman" w:cs="Times New Roman"/>
                <w:color w:val="auto"/>
                <w:sz w:val="24"/>
                <w:szCs w:val="24"/>
                <w:highlight w:val="none"/>
                <w:lang w:val="en-US" w:eastAsia="zh-CN"/>
              </w:rPr>
              <w:t>处理，不外排；生产废水经沉淀池收集后，循环回用，不外排</w:t>
            </w:r>
            <w:r>
              <w:rPr>
                <w:rFonts w:hint="default" w:ascii="Times New Roman" w:hAnsi="Times New Roman" w:cs="Times New Roman"/>
                <w:bCs/>
                <w:color w:val="auto"/>
                <w:kern w:val="0"/>
                <w:sz w:val="24"/>
                <w:szCs w:val="24"/>
                <w:highlight w:val="none"/>
                <w:lang w:val="en-US" w:eastAsia="zh-CN"/>
              </w:rPr>
              <w:t>。</w:t>
            </w:r>
          </w:p>
          <w:p>
            <w:pPr>
              <w:spacing w:line="360" w:lineRule="auto"/>
              <w:ind w:firstLine="481"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3、声环境影响分析及防治措施</w:t>
            </w:r>
          </w:p>
          <w:p>
            <w:pPr>
              <w:spacing w:line="360" w:lineRule="auto"/>
              <w:ind w:firstLine="480" w:firstLineChars="200"/>
              <w:rPr>
                <w:rFonts w:hint="eastAsia" w:eastAsia="宋体"/>
                <w:bCs/>
                <w:color w:val="auto"/>
                <w:sz w:val="24"/>
                <w:highlight w:val="none"/>
                <w:lang w:eastAsia="zh-CN"/>
              </w:rPr>
            </w:pPr>
            <w:r>
              <w:rPr>
                <w:bCs/>
                <w:color w:val="auto"/>
                <w:sz w:val="24"/>
                <w:highlight w:val="none"/>
              </w:rPr>
              <w:t>本项目运营期噪声主要来源于</w:t>
            </w:r>
            <w:r>
              <w:rPr>
                <w:rFonts w:hint="eastAsia"/>
                <w:bCs/>
                <w:color w:val="auto"/>
                <w:sz w:val="24"/>
                <w:highlight w:val="none"/>
              </w:rPr>
              <w:t>机械设备</w:t>
            </w:r>
            <w:r>
              <w:rPr>
                <w:bCs/>
                <w:color w:val="auto"/>
                <w:sz w:val="24"/>
                <w:highlight w:val="none"/>
              </w:rPr>
              <w:t>生产过程中</w:t>
            </w:r>
            <w:r>
              <w:rPr>
                <w:rFonts w:hint="eastAsia"/>
                <w:bCs/>
                <w:color w:val="auto"/>
                <w:sz w:val="24"/>
                <w:highlight w:val="none"/>
                <w:lang w:eastAsia="zh-CN"/>
              </w:rPr>
              <w:t>产生</w:t>
            </w:r>
            <w:r>
              <w:rPr>
                <w:bCs/>
                <w:color w:val="auto"/>
                <w:sz w:val="24"/>
                <w:highlight w:val="none"/>
              </w:rPr>
              <w:t>的噪声</w:t>
            </w:r>
            <w:r>
              <w:rPr>
                <w:rFonts w:hint="eastAsia"/>
                <w:bCs/>
                <w:color w:val="auto"/>
                <w:sz w:val="24"/>
                <w:highlight w:val="none"/>
                <w:lang w:eastAsia="zh-CN"/>
              </w:rPr>
              <w:t>。</w:t>
            </w:r>
          </w:p>
          <w:p>
            <w:pPr>
              <w:spacing w:line="360" w:lineRule="auto"/>
              <w:ind w:firstLine="480" w:firstLineChars="200"/>
              <w:rPr>
                <w:bCs/>
                <w:color w:val="auto"/>
                <w:sz w:val="24"/>
                <w:highlight w:val="none"/>
              </w:rPr>
            </w:pPr>
            <w:r>
              <w:rPr>
                <w:rFonts w:hint="eastAsia"/>
                <w:bCs/>
                <w:color w:val="auto"/>
                <w:sz w:val="24"/>
                <w:highlight w:val="none"/>
                <w:lang w:val="en-US" w:eastAsia="zh-CN"/>
              </w:rPr>
              <w:t>项目主要噪声设备见下表</w:t>
            </w:r>
            <w:r>
              <w:rPr>
                <w:bCs/>
                <w:color w:val="auto"/>
                <w:sz w:val="24"/>
                <w:highlight w:val="none"/>
              </w:rPr>
              <w:t>。</w:t>
            </w:r>
          </w:p>
          <w:p>
            <w:pPr>
              <w:spacing w:line="240" w:lineRule="auto"/>
              <w:jc w:val="center"/>
              <w:rPr>
                <w:rFonts w:hint="default" w:eastAsia="宋体"/>
                <w:bCs/>
                <w:color w:val="auto"/>
                <w:sz w:val="24"/>
                <w:highlight w:val="none"/>
                <w:lang w:val="en-US" w:eastAsia="zh-CN"/>
              </w:rPr>
            </w:pPr>
            <w:r>
              <w:rPr>
                <w:rFonts w:hint="eastAsia"/>
                <w:b/>
                <w:bCs w:val="0"/>
                <w:color w:val="auto"/>
                <w:sz w:val="24"/>
                <w:highlight w:val="none"/>
                <w:lang w:val="en-US" w:eastAsia="zh-CN"/>
              </w:rPr>
              <w:t>表</w:t>
            </w:r>
            <w:r>
              <w:rPr>
                <w:rFonts w:hint="default" w:ascii="Times New Roman" w:hAnsi="Times New Roman" w:cs="Times New Roman"/>
                <w:b/>
                <w:bCs w:val="0"/>
                <w:color w:val="auto"/>
                <w:sz w:val="24"/>
                <w:highlight w:val="none"/>
                <w:lang w:val="en-US" w:eastAsia="zh-CN"/>
              </w:rPr>
              <w:t>4-2</w:t>
            </w:r>
            <w:r>
              <w:rPr>
                <w:rFonts w:hint="eastAsia" w:ascii="Times New Roman" w:hAnsi="Times New Roman" w:cs="Times New Roman"/>
                <w:b/>
                <w:bCs w:val="0"/>
                <w:color w:val="auto"/>
                <w:sz w:val="24"/>
                <w:highlight w:val="none"/>
                <w:lang w:val="en-US" w:eastAsia="zh-CN"/>
              </w:rPr>
              <w:t xml:space="preserve">  </w:t>
            </w:r>
            <w:r>
              <w:rPr>
                <w:rFonts w:hint="eastAsia"/>
                <w:b/>
                <w:bCs w:val="0"/>
                <w:color w:val="auto"/>
                <w:sz w:val="24"/>
                <w:highlight w:val="none"/>
                <w:lang w:val="en-US" w:eastAsia="zh-CN"/>
              </w:rPr>
              <w:t>项目主要产造设备一览表</w:t>
            </w:r>
          </w:p>
          <w:tbl>
            <w:tblPr>
              <w:tblStyle w:val="2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1719"/>
              <w:gridCol w:w="948"/>
              <w:gridCol w:w="1052"/>
              <w:gridCol w:w="1084"/>
              <w:gridCol w:w="2374"/>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912" w:type="pct"/>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设备名称</w:t>
                  </w:r>
                </w:p>
              </w:tc>
              <w:tc>
                <w:tcPr>
                  <w:tcW w:w="503" w:type="pct"/>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单位</w:t>
                  </w:r>
                </w:p>
              </w:tc>
              <w:tc>
                <w:tcPr>
                  <w:tcW w:w="558" w:type="pct"/>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数量</w:t>
                  </w:r>
                </w:p>
              </w:tc>
              <w:tc>
                <w:tcPr>
                  <w:tcW w:w="575" w:type="pct"/>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噪声源</w:t>
                  </w:r>
                </w:p>
              </w:tc>
              <w:tc>
                <w:tcPr>
                  <w:tcW w:w="1259" w:type="pct"/>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措施</w:t>
                  </w:r>
                </w:p>
              </w:tc>
              <w:tc>
                <w:tcPr>
                  <w:tcW w:w="660" w:type="pct"/>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持续</w:t>
                  </w:r>
                </w:p>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30" w:type="pct"/>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912" w:type="pct"/>
                  <w:vAlign w:val="center"/>
                </w:tcPr>
                <w:p>
                  <w:pPr>
                    <w:jc w:val="center"/>
                    <w:rPr>
                      <w:rFonts w:hint="eastAsia" w:ascii="Times New Roman" w:hAnsi="Times New Roman" w:eastAsia="宋体" w:cs="Times New Roman"/>
                      <w:bCs/>
                      <w:color w:val="auto"/>
                      <w:sz w:val="21"/>
                      <w:szCs w:val="21"/>
                      <w:highlight w:val="none"/>
                      <w:lang w:eastAsia="zh-CN"/>
                    </w:rPr>
                  </w:pPr>
                  <w:r>
                    <w:rPr>
                      <w:rFonts w:hint="eastAsia" w:ascii="Times New Roman" w:hAnsi="Times New Roman" w:cs="Times New Roman"/>
                      <w:bCs/>
                      <w:color w:val="auto"/>
                      <w:sz w:val="21"/>
                      <w:szCs w:val="21"/>
                      <w:highlight w:val="none"/>
                      <w:lang w:val="en-US" w:eastAsia="zh-CN"/>
                    </w:rPr>
                    <w:t>粉碎机</w:t>
                  </w:r>
                </w:p>
              </w:tc>
              <w:tc>
                <w:tcPr>
                  <w:tcW w:w="503" w:type="pct"/>
                  <w:vAlign w:val="center"/>
                </w:tcPr>
                <w:p>
                  <w:pPr>
                    <w:jc w:val="center"/>
                    <w:rPr>
                      <w:rFonts w:hint="eastAsia" w:ascii="Times New Roman" w:hAnsi="Times New Roman" w:eastAsia="宋体" w:cs="Times New Roman"/>
                      <w:b/>
                      <w:bCs/>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台</w:t>
                  </w:r>
                </w:p>
              </w:tc>
              <w:tc>
                <w:tcPr>
                  <w:tcW w:w="558" w:type="pct"/>
                  <w:vAlign w:val="center"/>
                </w:tcPr>
                <w:p>
                  <w:pPr>
                    <w:jc w:val="center"/>
                    <w:rPr>
                      <w:rFonts w:hint="eastAsia" w:ascii="Times New Roman" w:hAnsi="Times New Roman" w:eastAsia="宋体" w:cs="Times New Roman"/>
                      <w:bCs/>
                      <w:color w:val="auto"/>
                      <w:sz w:val="21"/>
                      <w:szCs w:val="21"/>
                      <w:highlight w:val="none"/>
                      <w:lang w:eastAsia="zh-CN"/>
                    </w:rPr>
                  </w:pPr>
                  <w:r>
                    <w:rPr>
                      <w:rFonts w:hint="eastAsia" w:ascii="Times New Roman" w:hAnsi="Times New Roman" w:cs="Times New Roman"/>
                      <w:bCs/>
                      <w:color w:val="auto"/>
                      <w:sz w:val="21"/>
                      <w:szCs w:val="21"/>
                      <w:highlight w:val="none"/>
                      <w:lang w:val="en-US" w:eastAsia="zh-CN"/>
                    </w:rPr>
                    <w:t>5</w:t>
                  </w:r>
                </w:p>
              </w:tc>
              <w:tc>
                <w:tcPr>
                  <w:tcW w:w="575" w:type="pct"/>
                  <w:vAlign w:val="center"/>
                </w:tcPr>
                <w:p>
                  <w:pPr>
                    <w:jc w:val="center"/>
                    <w:rPr>
                      <w:rFonts w:hint="eastAsia" w:ascii="Times New Roman" w:hAnsi="Times New Roman" w:eastAsia="宋体" w:cs="Times New Roman"/>
                      <w:bCs/>
                      <w:color w:val="auto"/>
                      <w:sz w:val="21"/>
                      <w:szCs w:val="21"/>
                      <w:highlight w:val="none"/>
                      <w:lang w:eastAsia="zh-CN"/>
                    </w:rPr>
                  </w:pPr>
                  <w:r>
                    <w:rPr>
                      <w:rFonts w:hint="eastAsia" w:ascii="Times New Roman" w:hAnsi="Times New Roman" w:cs="Times New Roman"/>
                      <w:bCs/>
                      <w:color w:val="auto"/>
                      <w:sz w:val="21"/>
                      <w:szCs w:val="21"/>
                      <w:highlight w:val="none"/>
                      <w:lang w:val="en-US" w:eastAsia="zh-CN"/>
                    </w:rPr>
                    <w:t>85</w:t>
                  </w:r>
                </w:p>
              </w:tc>
              <w:tc>
                <w:tcPr>
                  <w:tcW w:w="1259" w:type="pct"/>
                  <w:vMerge w:val="restart"/>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低噪声设备、基础减振、厂房隔声</w:t>
                  </w:r>
                </w:p>
              </w:tc>
              <w:tc>
                <w:tcPr>
                  <w:tcW w:w="660" w:type="pct"/>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912" w:type="pct"/>
                  <w:vAlign w:val="center"/>
                </w:tcPr>
                <w:p>
                  <w:pPr>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空分机</w:t>
                  </w:r>
                </w:p>
              </w:tc>
              <w:tc>
                <w:tcPr>
                  <w:tcW w:w="503" w:type="pct"/>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台</w:t>
                  </w:r>
                </w:p>
              </w:tc>
              <w:tc>
                <w:tcPr>
                  <w:tcW w:w="558" w:type="pct"/>
                  <w:vAlign w:val="center"/>
                </w:tcPr>
                <w:p>
                  <w:pPr>
                    <w:jc w:val="center"/>
                    <w:rPr>
                      <w:rFonts w:hint="eastAsia" w:ascii="Times New Roman" w:hAnsi="Times New Roman" w:eastAsia="宋体" w:cs="Times New Roman"/>
                      <w:bCs/>
                      <w:color w:val="auto"/>
                      <w:sz w:val="21"/>
                      <w:szCs w:val="21"/>
                      <w:highlight w:val="none"/>
                      <w:lang w:eastAsia="zh-CN"/>
                    </w:rPr>
                  </w:pPr>
                  <w:r>
                    <w:rPr>
                      <w:rFonts w:hint="eastAsia" w:ascii="Times New Roman" w:hAnsi="Times New Roman" w:cs="Times New Roman"/>
                      <w:bCs/>
                      <w:color w:val="auto"/>
                      <w:sz w:val="21"/>
                      <w:szCs w:val="21"/>
                      <w:highlight w:val="none"/>
                      <w:lang w:val="en-US" w:eastAsia="zh-CN"/>
                    </w:rPr>
                    <w:t>3</w:t>
                  </w:r>
                </w:p>
              </w:tc>
              <w:tc>
                <w:tcPr>
                  <w:tcW w:w="575" w:type="pct"/>
                  <w:vAlign w:val="center"/>
                </w:tcPr>
                <w:p>
                  <w:pPr>
                    <w:jc w:val="center"/>
                    <w:rPr>
                      <w:rFonts w:hint="eastAsia"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rPr>
                    <w:t>8</w:t>
                  </w:r>
                  <w:r>
                    <w:rPr>
                      <w:rFonts w:hint="eastAsia" w:ascii="Times New Roman" w:hAnsi="Times New Roman" w:cs="Times New Roman"/>
                      <w:bCs/>
                      <w:color w:val="auto"/>
                      <w:sz w:val="21"/>
                      <w:szCs w:val="21"/>
                      <w:highlight w:val="none"/>
                      <w:lang w:val="en-US" w:eastAsia="zh-CN"/>
                    </w:rPr>
                    <w:t>0</w:t>
                  </w:r>
                </w:p>
              </w:tc>
              <w:tc>
                <w:tcPr>
                  <w:tcW w:w="1259" w:type="pct"/>
                  <w:vMerge w:val="continue"/>
                  <w:vAlign w:val="center"/>
                </w:tcPr>
                <w:p>
                  <w:pPr>
                    <w:jc w:val="center"/>
                    <w:rPr>
                      <w:rFonts w:hint="default" w:ascii="Times New Roman" w:hAnsi="Times New Roman" w:cs="Times New Roman"/>
                      <w:color w:val="auto"/>
                      <w:sz w:val="21"/>
                      <w:szCs w:val="21"/>
                      <w:highlight w:val="none"/>
                    </w:rPr>
                  </w:pPr>
                </w:p>
              </w:tc>
              <w:tc>
                <w:tcPr>
                  <w:tcW w:w="660" w:type="pct"/>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530" w:type="pct"/>
                  <w:vAlign w:val="center"/>
                </w:tcPr>
                <w:p>
                  <w:pP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912" w:type="pct"/>
                  <w:vAlign w:val="center"/>
                </w:tcPr>
                <w:p>
                  <w:pPr>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滚筒筛</w:t>
                  </w:r>
                </w:p>
              </w:tc>
              <w:tc>
                <w:tcPr>
                  <w:tcW w:w="503" w:type="pct"/>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台</w:t>
                  </w:r>
                </w:p>
              </w:tc>
              <w:tc>
                <w:tcPr>
                  <w:tcW w:w="558" w:type="pct"/>
                  <w:vAlign w:val="center"/>
                </w:tcPr>
                <w:p>
                  <w:pPr>
                    <w:jc w:val="center"/>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575" w:type="pct"/>
                  <w:vAlign w:val="center"/>
                </w:tcPr>
                <w:p>
                  <w:pPr>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80</w:t>
                  </w:r>
                </w:p>
              </w:tc>
              <w:tc>
                <w:tcPr>
                  <w:tcW w:w="1259" w:type="pct"/>
                  <w:vMerge w:val="continue"/>
                  <w:vAlign w:val="center"/>
                </w:tcPr>
                <w:p>
                  <w:pPr>
                    <w:jc w:val="center"/>
                    <w:rPr>
                      <w:rFonts w:hint="default" w:ascii="Times New Roman" w:hAnsi="Times New Roman" w:cs="Times New Roman"/>
                      <w:color w:val="auto"/>
                      <w:sz w:val="21"/>
                      <w:szCs w:val="21"/>
                      <w:highlight w:val="none"/>
                    </w:rPr>
                  </w:pPr>
                </w:p>
              </w:tc>
              <w:tc>
                <w:tcPr>
                  <w:tcW w:w="660" w:type="pct"/>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p>
              </w:tc>
              <w:tc>
                <w:tcPr>
                  <w:tcW w:w="912" w:type="pct"/>
                  <w:vAlign w:val="center"/>
                </w:tcPr>
                <w:p>
                  <w:pPr>
                    <w:jc w:val="center"/>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风选机</w:t>
                  </w:r>
                </w:p>
              </w:tc>
              <w:tc>
                <w:tcPr>
                  <w:tcW w:w="503" w:type="pct"/>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台</w:t>
                  </w:r>
                </w:p>
              </w:tc>
              <w:tc>
                <w:tcPr>
                  <w:tcW w:w="558" w:type="pct"/>
                  <w:vAlign w:val="center"/>
                </w:tcPr>
                <w:p>
                  <w:pPr>
                    <w:jc w:val="center"/>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3</w:t>
                  </w:r>
                </w:p>
              </w:tc>
              <w:tc>
                <w:tcPr>
                  <w:tcW w:w="575" w:type="pct"/>
                  <w:vAlign w:val="center"/>
                </w:tcPr>
                <w:p>
                  <w:pPr>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75</w:t>
                  </w:r>
                </w:p>
              </w:tc>
              <w:tc>
                <w:tcPr>
                  <w:tcW w:w="1259" w:type="pct"/>
                  <w:vMerge w:val="continue"/>
                  <w:vAlign w:val="center"/>
                </w:tcPr>
                <w:p>
                  <w:pPr>
                    <w:jc w:val="center"/>
                    <w:rPr>
                      <w:rFonts w:hint="default" w:ascii="Times New Roman" w:hAnsi="Times New Roman" w:cs="Times New Roman"/>
                      <w:color w:val="auto"/>
                      <w:sz w:val="21"/>
                      <w:szCs w:val="21"/>
                      <w:highlight w:val="none"/>
                    </w:rPr>
                  </w:pPr>
                </w:p>
              </w:tc>
              <w:tc>
                <w:tcPr>
                  <w:tcW w:w="660" w:type="pct"/>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p>
              </w:tc>
              <w:tc>
                <w:tcPr>
                  <w:tcW w:w="912" w:type="pct"/>
                  <w:vAlign w:val="center"/>
                </w:tcPr>
                <w:p>
                  <w:pPr>
                    <w:jc w:val="center"/>
                    <w:rPr>
                      <w:rFonts w:hint="eastAsia" w:ascii="Times New Roman" w:hAnsi="Times New Roman" w:cs="Times New Roman"/>
                      <w:bCs/>
                      <w:color w:val="auto"/>
                      <w:sz w:val="21"/>
                      <w:szCs w:val="21"/>
                      <w:highlight w:val="none"/>
                      <w:lang w:val="en-US" w:eastAsia="zh-CN"/>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高速摩擦机</w:t>
                  </w:r>
                </w:p>
              </w:tc>
              <w:tc>
                <w:tcPr>
                  <w:tcW w:w="503" w:type="pct"/>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台</w:t>
                  </w:r>
                </w:p>
              </w:tc>
              <w:tc>
                <w:tcPr>
                  <w:tcW w:w="558" w:type="pct"/>
                  <w:vAlign w:val="center"/>
                </w:tcPr>
                <w:p>
                  <w:pPr>
                    <w:jc w:val="center"/>
                    <w:rPr>
                      <w:rFonts w:hint="eastAsia" w:ascii="Times New Roman" w:hAnsi="Times New Roman" w:cs="Times New Roman"/>
                      <w:bCs/>
                      <w:color w:val="auto"/>
                      <w:sz w:val="21"/>
                      <w:szCs w:val="21"/>
                      <w:highlight w:val="none"/>
                      <w:lang w:val="en-US" w:eastAsia="zh-CN"/>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1</w:t>
                  </w:r>
                </w:p>
              </w:tc>
              <w:tc>
                <w:tcPr>
                  <w:tcW w:w="575" w:type="pct"/>
                  <w:vAlign w:val="center"/>
                </w:tcPr>
                <w:p>
                  <w:pPr>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75</w:t>
                  </w:r>
                </w:p>
              </w:tc>
              <w:tc>
                <w:tcPr>
                  <w:tcW w:w="1259" w:type="pct"/>
                  <w:vMerge w:val="continue"/>
                  <w:vAlign w:val="center"/>
                </w:tcPr>
                <w:p>
                  <w:pPr>
                    <w:jc w:val="center"/>
                    <w:rPr>
                      <w:rFonts w:hint="default" w:ascii="Times New Roman" w:hAnsi="Times New Roman" w:cs="Times New Roman"/>
                      <w:color w:val="auto"/>
                      <w:sz w:val="21"/>
                      <w:szCs w:val="21"/>
                      <w:highlight w:val="none"/>
                    </w:rPr>
                  </w:pPr>
                </w:p>
              </w:tc>
              <w:tc>
                <w:tcPr>
                  <w:tcW w:w="660" w:type="pct"/>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p>
              </w:tc>
              <w:tc>
                <w:tcPr>
                  <w:tcW w:w="912" w:type="pct"/>
                  <w:vAlign w:val="center"/>
                </w:tcPr>
                <w:p>
                  <w:pPr>
                    <w:jc w:val="center"/>
                    <w:rPr>
                      <w:rFonts w:hint="eastAsia" w:ascii="Times New Roman" w:hAnsi="Times New Roman" w:cs="Times New Roman"/>
                      <w:bCs/>
                      <w:color w:val="auto"/>
                      <w:sz w:val="21"/>
                      <w:szCs w:val="21"/>
                      <w:highlight w:val="none"/>
                      <w:lang w:val="en-US" w:eastAsia="zh-CN"/>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甩干机</w:t>
                  </w:r>
                </w:p>
              </w:tc>
              <w:tc>
                <w:tcPr>
                  <w:tcW w:w="503" w:type="pct"/>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台</w:t>
                  </w:r>
                </w:p>
              </w:tc>
              <w:tc>
                <w:tcPr>
                  <w:tcW w:w="558" w:type="pct"/>
                  <w:vAlign w:val="center"/>
                </w:tcPr>
                <w:p>
                  <w:pPr>
                    <w:jc w:val="center"/>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6</w:t>
                  </w:r>
                </w:p>
              </w:tc>
              <w:tc>
                <w:tcPr>
                  <w:tcW w:w="575" w:type="pct"/>
                  <w:vAlign w:val="center"/>
                </w:tcPr>
                <w:p>
                  <w:pPr>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75</w:t>
                  </w:r>
                </w:p>
              </w:tc>
              <w:tc>
                <w:tcPr>
                  <w:tcW w:w="1259" w:type="pct"/>
                  <w:vMerge w:val="continue"/>
                  <w:vAlign w:val="center"/>
                </w:tcPr>
                <w:p>
                  <w:pPr>
                    <w:jc w:val="center"/>
                    <w:rPr>
                      <w:rFonts w:hint="default" w:ascii="Times New Roman" w:hAnsi="Times New Roman" w:cs="Times New Roman"/>
                      <w:color w:val="auto"/>
                      <w:sz w:val="21"/>
                      <w:szCs w:val="21"/>
                      <w:highlight w:val="none"/>
                    </w:rPr>
                  </w:pPr>
                </w:p>
              </w:tc>
              <w:tc>
                <w:tcPr>
                  <w:tcW w:w="660" w:type="pct"/>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7</w:t>
                  </w:r>
                </w:p>
              </w:tc>
              <w:tc>
                <w:tcPr>
                  <w:tcW w:w="912" w:type="pct"/>
                  <w:vAlign w:val="center"/>
                </w:tcPr>
                <w:p>
                  <w:pPr>
                    <w:jc w:val="cente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pPr>
                  <w:r>
                    <w:rPr>
                      <w:rFonts w:hint="eastAsia" w:ascii="Times New Roman" w:hAnsi="Times New Roman" w:cs="Times New Roman" w:eastAsiaTheme="minorEastAsia"/>
                      <w:b w:val="0"/>
                      <w:bCs w:val="0"/>
                      <w:i w:val="0"/>
                      <w:iCs w:val="0"/>
                      <w:color w:val="auto"/>
                      <w:kern w:val="0"/>
                      <w:sz w:val="21"/>
                      <w:szCs w:val="21"/>
                      <w:highlight w:val="none"/>
                      <w:u w:val="none"/>
                      <w:lang w:val="en-US" w:eastAsia="zh-CN" w:bidi="ar"/>
                    </w:rPr>
                    <w:t>提升机</w:t>
                  </w:r>
                </w:p>
              </w:tc>
              <w:tc>
                <w:tcPr>
                  <w:tcW w:w="503" w:type="pct"/>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台</w:t>
                  </w:r>
                </w:p>
              </w:tc>
              <w:tc>
                <w:tcPr>
                  <w:tcW w:w="558" w:type="pct"/>
                  <w:vAlign w:val="center"/>
                </w:tcPr>
                <w:p>
                  <w:pPr>
                    <w:jc w:val="center"/>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24</w:t>
                  </w:r>
                </w:p>
              </w:tc>
              <w:tc>
                <w:tcPr>
                  <w:tcW w:w="575" w:type="pct"/>
                  <w:vAlign w:val="center"/>
                </w:tcPr>
                <w:p>
                  <w:pPr>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75</w:t>
                  </w:r>
                </w:p>
              </w:tc>
              <w:tc>
                <w:tcPr>
                  <w:tcW w:w="1259" w:type="pct"/>
                  <w:vMerge w:val="continue"/>
                  <w:vAlign w:val="center"/>
                </w:tcPr>
                <w:p>
                  <w:pPr>
                    <w:jc w:val="center"/>
                    <w:rPr>
                      <w:rFonts w:hint="default" w:ascii="Times New Roman" w:hAnsi="Times New Roman" w:cs="Times New Roman"/>
                      <w:color w:val="auto"/>
                      <w:sz w:val="21"/>
                      <w:szCs w:val="21"/>
                      <w:highlight w:val="none"/>
                    </w:rPr>
                  </w:pPr>
                </w:p>
              </w:tc>
              <w:tc>
                <w:tcPr>
                  <w:tcW w:w="660" w:type="pct"/>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8</w:t>
                  </w:r>
                </w:p>
              </w:tc>
              <w:tc>
                <w:tcPr>
                  <w:tcW w:w="912" w:type="pct"/>
                  <w:vAlign w:val="center"/>
                </w:tcPr>
                <w:p>
                  <w:pPr>
                    <w:jc w:val="cente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pPr>
                  <w:r>
                    <w:rPr>
                      <w:rFonts w:hint="eastAsia" w:ascii="Times New Roman" w:hAnsi="Times New Roman" w:cs="Times New Roman" w:eastAsiaTheme="minorEastAsia"/>
                      <w:b w:val="0"/>
                      <w:bCs w:val="0"/>
                      <w:i w:val="0"/>
                      <w:iCs w:val="0"/>
                      <w:color w:val="auto"/>
                      <w:kern w:val="0"/>
                      <w:sz w:val="21"/>
                      <w:szCs w:val="21"/>
                      <w:highlight w:val="none"/>
                      <w:u w:val="none"/>
                      <w:lang w:val="en-US" w:eastAsia="zh-CN" w:bidi="ar"/>
                    </w:rPr>
                    <w:t>色选机</w:t>
                  </w:r>
                </w:p>
              </w:tc>
              <w:tc>
                <w:tcPr>
                  <w:tcW w:w="503" w:type="pct"/>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台</w:t>
                  </w:r>
                </w:p>
              </w:tc>
              <w:tc>
                <w:tcPr>
                  <w:tcW w:w="558" w:type="pct"/>
                  <w:vAlign w:val="center"/>
                </w:tcPr>
                <w:p>
                  <w:pPr>
                    <w:jc w:val="center"/>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p>
              </w:tc>
              <w:tc>
                <w:tcPr>
                  <w:tcW w:w="575" w:type="pct"/>
                  <w:vAlign w:val="center"/>
                </w:tcPr>
                <w:p>
                  <w:pPr>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75</w:t>
                  </w:r>
                </w:p>
              </w:tc>
              <w:tc>
                <w:tcPr>
                  <w:tcW w:w="1259" w:type="pct"/>
                  <w:vMerge w:val="continue"/>
                  <w:vAlign w:val="center"/>
                </w:tcPr>
                <w:p>
                  <w:pPr>
                    <w:jc w:val="center"/>
                    <w:rPr>
                      <w:rFonts w:hint="default" w:ascii="Times New Roman" w:hAnsi="Times New Roman" w:cs="Times New Roman"/>
                      <w:color w:val="auto"/>
                      <w:sz w:val="21"/>
                      <w:szCs w:val="21"/>
                      <w:highlight w:val="none"/>
                    </w:rPr>
                  </w:pPr>
                </w:p>
              </w:tc>
              <w:tc>
                <w:tcPr>
                  <w:tcW w:w="660" w:type="pct"/>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9</w:t>
                  </w:r>
                </w:p>
              </w:tc>
              <w:tc>
                <w:tcPr>
                  <w:tcW w:w="912" w:type="pct"/>
                  <w:vAlign w:val="center"/>
                </w:tcPr>
                <w:p>
                  <w:pPr>
                    <w:jc w:val="cente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pPr>
                  <w: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t>除铁风送</w:t>
                  </w:r>
                  <w:r>
                    <w:rPr>
                      <w:rFonts w:hint="eastAsia" w:ascii="Times New Roman" w:hAnsi="Times New Roman" w:cs="Times New Roman" w:eastAsiaTheme="minorEastAsia"/>
                      <w:b w:val="0"/>
                      <w:bCs w:val="0"/>
                      <w:i w:val="0"/>
                      <w:iCs w:val="0"/>
                      <w:color w:val="auto"/>
                      <w:kern w:val="0"/>
                      <w:sz w:val="21"/>
                      <w:szCs w:val="21"/>
                      <w:highlight w:val="none"/>
                      <w:u w:val="none"/>
                      <w:lang w:val="en-US" w:eastAsia="zh-CN" w:bidi="ar"/>
                    </w:rPr>
                    <w:t>机</w:t>
                  </w:r>
                </w:p>
              </w:tc>
              <w:tc>
                <w:tcPr>
                  <w:tcW w:w="503" w:type="pct"/>
                  <w:vAlign w:val="center"/>
                </w:tcPr>
                <w:p>
                  <w:pPr>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台</w:t>
                  </w:r>
                </w:p>
              </w:tc>
              <w:tc>
                <w:tcPr>
                  <w:tcW w:w="558" w:type="pct"/>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575" w:type="pct"/>
                  <w:vAlign w:val="center"/>
                </w:tcPr>
                <w:p>
                  <w:pPr>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80</w:t>
                  </w:r>
                </w:p>
              </w:tc>
              <w:tc>
                <w:tcPr>
                  <w:tcW w:w="1259" w:type="pct"/>
                  <w:vMerge w:val="continue"/>
                  <w:vAlign w:val="center"/>
                </w:tcPr>
                <w:p>
                  <w:pPr>
                    <w:jc w:val="center"/>
                    <w:rPr>
                      <w:rFonts w:hint="default" w:ascii="Times New Roman" w:hAnsi="Times New Roman" w:cs="Times New Roman"/>
                      <w:color w:val="auto"/>
                      <w:sz w:val="21"/>
                      <w:szCs w:val="21"/>
                      <w:highlight w:val="none"/>
                    </w:rPr>
                  </w:pPr>
                </w:p>
              </w:tc>
              <w:tc>
                <w:tcPr>
                  <w:tcW w:w="660" w:type="pct"/>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530" w:type="pct"/>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w:t>
                  </w:r>
                </w:p>
              </w:tc>
              <w:tc>
                <w:tcPr>
                  <w:tcW w:w="912" w:type="pct"/>
                  <w:vAlign w:val="center"/>
                </w:tcPr>
                <w:p>
                  <w:pPr>
                    <w:jc w:val="center"/>
                    <w:rPr>
                      <w:rFonts w:hint="default" w:ascii="Times New Roman" w:hAnsi="Times New Roman" w:cs="Times New Roman" w:eastAsiaTheme="minorEastAsia"/>
                      <w:b w:val="0"/>
                      <w:bCs w:val="0"/>
                      <w:i w:val="0"/>
                      <w:iCs w:val="0"/>
                      <w:color w:val="auto"/>
                      <w:kern w:val="0"/>
                      <w:sz w:val="21"/>
                      <w:szCs w:val="21"/>
                      <w:highlight w:val="none"/>
                      <w:u w:val="none"/>
                      <w:lang w:val="en-US" w:eastAsia="zh-CN" w:bidi="ar"/>
                    </w:rPr>
                  </w:pPr>
                  <w:r>
                    <w:rPr>
                      <w:rFonts w:hint="eastAsia" w:ascii="Times New Roman" w:hAnsi="Times New Roman" w:cs="Times New Roman" w:eastAsiaTheme="minorEastAsia"/>
                      <w:b w:val="0"/>
                      <w:bCs w:val="0"/>
                      <w:i w:val="0"/>
                      <w:iCs w:val="0"/>
                      <w:color w:val="auto"/>
                      <w:kern w:val="0"/>
                      <w:sz w:val="21"/>
                      <w:szCs w:val="21"/>
                      <w:highlight w:val="none"/>
                      <w:u w:val="none"/>
                      <w:lang w:val="en-US" w:eastAsia="zh-CN" w:bidi="ar"/>
                    </w:rPr>
                    <w:t>除尘器风机</w:t>
                  </w:r>
                </w:p>
              </w:tc>
              <w:tc>
                <w:tcPr>
                  <w:tcW w:w="503" w:type="pct"/>
                  <w:vAlign w:val="center"/>
                </w:tcPr>
                <w:p>
                  <w:pPr>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台</w:t>
                  </w:r>
                </w:p>
              </w:tc>
              <w:tc>
                <w:tcPr>
                  <w:tcW w:w="558" w:type="pct"/>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575" w:type="pct"/>
                  <w:vAlign w:val="center"/>
                </w:tcPr>
                <w:p>
                  <w:pPr>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80</w:t>
                  </w:r>
                </w:p>
              </w:tc>
              <w:tc>
                <w:tcPr>
                  <w:tcW w:w="1259" w:type="pct"/>
                  <w:vMerge w:val="continue"/>
                  <w:vAlign w:val="center"/>
                </w:tcPr>
                <w:p>
                  <w:pPr>
                    <w:jc w:val="center"/>
                    <w:rPr>
                      <w:rFonts w:hint="default" w:ascii="Times New Roman" w:hAnsi="Times New Roman" w:cs="Times New Roman"/>
                      <w:color w:val="auto"/>
                      <w:sz w:val="21"/>
                      <w:szCs w:val="21"/>
                      <w:highlight w:val="none"/>
                    </w:rPr>
                  </w:pPr>
                </w:p>
              </w:tc>
              <w:tc>
                <w:tcPr>
                  <w:tcW w:w="660" w:type="pct"/>
                  <w:vAlign w:val="center"/>
                </w:tcPr>
                <w:p>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8h/d</w:t>
                  </w:r>
                </w:p>
              </w:tc>
            </w:tr>
          </w:tbl>
          <w:p>
            <w:pPr>
              <w:spacing w:line="360" w:lineRule="auto"/>
              <w:ind w:firstLine="480" w:firstLineChars="200"/>
              <w:rPr>
                <w:rFonts w:hint="default" w:ascii="Times New Roman" w:hAnsi="Times New Roman" w:cs="Times New Roman"/>
                <w:bCs/>
                <w:color w:val="auto"/>
                <w:sz w:val="24"/>
                <w:highlight w:val="none"/>
                <w:lang w:eastAsia="zh-CN"/>
              </w:rPr>
            </w:pPr>
            <w:r>
              <w:rPr>
                <w:rFonts w:hint="default" w:ascii="Times New Roman" w:hAnsi="Times New Roman" w:cs="Times New Roman"/>
                <w:bCs/>
                <w:color w:val="auto"/>
                <w:sz w:val="24"/>
                <w:highlight w:val="none"/>
                <w:lang w:eastAsia="zh-CN"/>
              </w:rPr>
              <w:t>这些设备的</w:t>
            </w:r>
            <w:r>
              <w:rPr>
                <w:rFonts w:hint="default" w:ascii="Times New Roman" w:hAnsi="Times New Roman" w:cs="Times New Roman"/>
                <w:bCs/>
                <w:color w:val="auto"/>
                <w:sz w:val="24"/>
                <w:highlight w:val="none"/>
              </w:rPr>
              <w:t>声源声压级为</w:t>
            </w:r>
            <w:r>
              <w:rPr>
                <w:rFonts w:hint="eastAsia" w:ascii="Times New Roman" w:hAnsi="Times New Roman" w:cs="Times New Roman"/>
                <w:bCs/>
                <w:color w:val="auto"/>
                <w:sz w:val="24"/>
                <w:highlight w:val="none"/>
                <w:lang w:val="en-US" w:eastAsia="zh-CN"/>
              </w:rPr>
              <w:t>75</w:t>
            </w:r>
            <w:r>
              <w:rPr>
                <w:rFonts w:hint="default" w:ascii="Times New Roman" w:hAnsi="Times New Roman" w:cs="Times New Roman"/>
                <w:bCs/>
                <w:color w:val="auto"/>
                <w:sz w:val="24"/>
                <w:highlight w:val="none"/>
              </w:rPr>
              <w:t xml:space="preserve">dB(A)~ </w:t>
            </w:r>
            <w:r>
              <w:rPr>
                <w:rFonts w:hint="eastAsia" w:ascii="Times New Roman" w:hAnsi="Times New Roman" w:cs="Times New Roman"/>
                <w:bCs/>
                <w:color w:val="auto"/>
                <w:sz w:val="24"/>
                <w:highlight w:val="none"/>
                <w:lang w:val="en-US" w:eastAsia="zh-CN"/>
              </w:rPr>
              <w:t>8</w:t>
            </w:r>
            <w:r>
              <w:rPr>
                <w:rFonts w:hint="default" w:ascii="Times New Roman" w:hAnsi="Times New Roman" w:cs="Times New Roman"/>
                <w:bCs/>
                <w:color w:val="auto"/>
                <w:sz w:val="24"/>
                <w:highlight w:val="none"/>
              </w:rPr>
              <w:t>5dB(A)，采取消声、隔声、减</w:t>
            </w:r>
            <w:r>
              <w:rPr>
                <w:rFonts w:hint="default" w:ascii="Times New Roman" w:hAnsi="Times New Roman" w:cs="Times New Roman"/>
                <w:bCs/>
                <w:color w:val="auto"/>
                <w:sz w:val="24"/>
                <w:highlight w:val="none"/>
                <w:lang w:val="en-US" w:eastAsia="zh-CN"/>
              </w:rPr>
              <w:t>振</w:t>
            </w:r>
            <w:r>
              <w:rPr>
                <w:rFonts w:hint="default" w:ascii="Times New Roman" w:hAnsi="Times New Roman" w:cs="Times New Roman"/>
                <w:bCs/>
                <w:color w:val="auto"/>
                <w:sz w:val="24"/>
                <w:highlight w:val="none"/>
              </w:rPr>
              <w:t>措施后，源强可削减至</w:t>
            </w:r>
            <w:r>
              <w:rPr>
                <w:rFonts w:hint="eastAsia" w:ascii="Times New Roman" w:hAnsi="Times New Roman" w:cs="Times New Roman"/>
                <w:bCs/>
                <w:color w:val="auto"/>
                <w:sz w:val="24"/>
                <w:highlight w:val="none"/>
                <w:lang w:val="en-US" w:eastAsia="zh-CN"/>
              </w:rPr>
              <w:t>50</w:t>
            </w:r>
            <w:r>
              <w:rPr>
                <w:rFonts w:hint="default" w:ascii="Times New Roman" w:hAnsi="Times New Roman" w:cs="Times New Roman"/>
                <w:bCs/>
                <w:color w:val="auto"/>
                <w:sz w:val="24"/>
                <w:highlight w:val="none"/>
              </w:rPr>
              <w:t xml:space="preserve">dB(A)~ </w:t>
            </w:r>
            <w:r>
              <w:rPr>
                <w:rFonts w:hint="eastAsia" w:ascii="Times New Roman" w:hAnsi="Times New Roman" w:cs="Times New Roman"/>
                <w:bCs/>
                <w:color w:val="auto"/>
                <w:sz w:val="24"/>
                <w:highlight w:val="none"/>
                <w:lang w:val="en-US" w:eastAsia="zh-CN"/>
              </w:rPr>
              <w:t>60</w:t>
            </w:r>
            <w:r>
              <w:rPr>
                <w:rFonts w:hint="default" w:ascii="Times New Roman" w:hAnsi="Times New Roman" w:cs="Times New Roman"/>
                <w:bCs/>
                <w:color w:val="auto"/>
                <w:sz w:val="24"/>
                <w:highlight w:val="none"/>
              </w:rPr>
              <w:t>dB(A)</w:t>
            </w:r>
            <w:r>
              <w:rPr>
                <w:rFonts w:hint="default" w:ascii="Times New Roman" w:hAnsi="Times New Roman" w:cs="Times New Roman"/>
                <w:bCs/>
                <w:color w:val="auto"/>
                <w:sz w:val="24"/>
                <w:highlight w:val="none"/>
                <w:lang w:eastAsia="zh-CN"/>
              </w:rPr>
              <w:t>。</w:t>
            </w:r>
          </w:p>
          <w:p>
            <w:pPr>
              <w:spacing w:line="360" w:lineRule="auto"/>
              <w:ind w:firstLine="480" w:firstLineChars="200"/>
              <w:rPr>
                <w:rFonts w:hint="eastAsia" w:ascii="Times New Roman" w:hAnsi="Times New Roman" w:cs="Times New Roman"/>
                <w:b w:val="0"/>
                <w:bCs/>
                <w:color w:val="auto"/>
                <w:sz w:val="24"/>
                <w:highlight w:val="none"/>
                <w:lang w:eastAsia="zh-CN"/>
              </w:rPr>
            </w:pPr>
            <w:r>
              <w:rPr>
                <w:rFonts w:hint="default" w:ascii="Times New Roman" w:hAnsi="Times New Roman" w:cs="Times New Roman"/>
                <w:b w:val="0"/>
                <w:bCs/>
                <w:color w:val="auto"/>
                <w:sz w:val="24"/>
                <w:highlight w:val="none"/>
              </w:rPr>
              <w:t>为了预防运营期噪声可能对附近居民及环境的影响，环评建议</w:t>
            </w:r>
            <w:r>
              <w:rPr>
                <w:rFonts w:hint="eastAsia" w:ascii="Times New Roman" w:hAnsi="Times New Roman" w:cs="Times New Roman"/>
                <w:b w:val="0"/>
                <w:bCs/>
                <w:color w:val="auto"/>
                <w:sz w:val="24"/>
                <w:highlight w:val="none"/>
                <w:lang w:eastAsia="zh-CN"/>
              </w:rPr>
              <w:t>进行以下噪声防治措施：</w:t>
            </w:r>
          </w:p>
          <w:p>
            <w:pPr>
              <w:pStyle w:val="5"/>
              <w:spacing w:line="360" w:lineRule="auto"/>
              <w:rPr>
                <w:rFonts w:hint="eastAsia"/>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a</w:t>
            </w:r>
            <w:r>
              <w:rPr>
                <w:rFonts w:hint="eastAsia"/>
                <w:color w:val="auto"/>
                <w:sz w:val="24"/>
                <w:szCs w:val="24"/>
                <w:highlight w:val="none"/>
                <w:lang w:val="en-US" w:eastAsia="zh-CN"/>
              </w:rPr>
              <w:t xml:space="preserve"> ：选用低噪声设备，合理布局；</w:t>
            </w:r>
          </w:p>
          <w:p>
            <w:pPr>
              <w:pStyle w:val="6"/>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b ：噪声设备设置减振、隔声措施；</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c</w:t>
            </w:r>
            <w:r>
              <w:rPr>
                <w:rFonts w:hint="eastAsia"/>
                <w:color w:val="auto"/>
                <w:sz w:val="24"/>
                <w:szCs w:val="24"/>
                <w:highlight w:val="none"/>
                <w:lang w:val="en-US" w:eastAsia="zh-CN"/>
              </w:rPr>
              <w:t>：除尘器风机设置消音设施。</w:t>
            </w:r>
          </w:p>
          <w:p>
            <w:pPr>
              <w:spacing w:line="360" w:lineRule="auto"/>
              <w:ind w:firstLine="480" w:firstLineChars="200"/>
              <w:rPr>
                <w:color w:val="auto"/>
                <w:sz w:val="24"/>
                <w:highlight w:val="none"/>
              </w:rPr>
            </w:pPr>
            <w:r>
              <w:rPr>
                <w:color w:val="auto"/>
                <w:sz w:val="24"/>
                <w:highlight w:val="none"/>
              </w:rPr>
              <w:t>本次环境噪声预测，采用《环境影响评价技术导则声环境》</w:t>
            </w:r>
            <w:r>
              <w:rPr>
                <w:rFonts w:hint="default" w:ascii="Times New Roman" w:hAnsi="Times New Roman" w:cs="Times New Roman"/>
                <w:color w:val="auto"/>
                <w:sz w:val="24"/>
                <w:highlight w:val="none"/>
              </w:rPr>
              <w:t>（HJ2.4-20</w:t>
            </w:r>
            <w:r>
              <w:rPr>
                <w:rFonts w:hint="default" w:ascii="Times New Roman" w:hAnsi="Times New Roman" w:cs="Times New Roman"/>
                <w:color w:val="auto"/>
                <w:sz w:val="24"/>
                <w:highlight w:val="none"/>
                <w:lang w:val="en-US" w:eastAsia="zh-CN"/>
              </w:rPr>
              <w:t>21</w:t>
            </w:r>
            <w:r>
              <w:rPr>
                <w:rFonts w:hint="default" w:ascii="Times New Roman" w:hAnsi="Times New Roman" w:cs="Times New Roman"/>
                <w:color w:val="auto"/>
                <w:sz w:val="24"/>
                <w:highlight w:val="none"/>
              </w:rPr>
              <w:t>）</w:t>
            </w:r>
            <w:r>
              <w:rPr>
                <w:color w:val="auto"/>
                <w:sz w:val="24"/>
                <w:highlight w:val="none"/>
              </w:rPr>
              <w:t>中的预测模式，主要是对拟建项目噪声源厂界进行预测。预测模式如下：</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声波随距离衰减的计算公式为：</w:t>
            </w:r>
          </w:p>
          <w:p>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1341120" cy="266700"/>
                  <wp:effectExtent l="0" t="0" r="1143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6" cstate="print"/>
                          <a:srcRect/>
                          <a:stretch>
                            <a:fillRect/>
                          </a:stretch>
                        </pic:blipFill>
                        <pic:spPr>
                          <a:xfrm>
                            <a:off x="0" y="0"/>
                            <a:ext cx="1341120" cy="266700"/>
                          </a:xfrm>
                          <a:prstGeom prst="rect">
                            <a:avLst/>
                          </a:prstGeom>
                          <a:noFill/>
                          <a:ln w="9525">
                            <a:noFill/>
                            <a:miter lim="800000"/>
                            <a:headEnd/>
                            <a:tailEnd/>
                          </a:ln>
                        </pic:spPr>
                      </pic:pic>
                    </a:graphicData>
                  </a:graphic>
                </wp:inline>
              </w:drawing>
            </w:r>
          </w:p>
          <w:p>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2316480" cy="281940"/>
                  <wp:effectExtent l="0" t="0" r="7620" b="317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27" cstate="print"/>
                          <a:srcRect/>
                          <a:stretch>
                            <a:fillRect/>
                          </a:stretch>
                        </pic:blipFill>
                        <pic:spPr>
                          <a:xfrm>
                            <a:off x="0" y="0"/>
                            <a:ext cx="2316480" cy="281940"/>
                          </a:xfrm>
                          <a:prstGeom prst="rect">
                            <a:avLst/>
                          </a:prstGeom>
                          <a:noFill/>
                          <a:ln w="9525">
                            <a:noFill/>
                            <a:miter lim="800000"/>
                            <a:headEnd/>
                            <a:tailEnd/>
                          </a:ln>
                        </pic:spPr>
                      </pic:pic>
                    </a:graphicData>
                  </a:graphic>
                </wp:inline>
              </w:drawing>
            </w:r>
          </w:p>
          <w:p>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w:t>
            </w:r>
            <w:r>
              <w:rPr>
                <w:rFonts w:hint="default" w:ascii="Times New Roman" w:hAnsi="Times New Roman" w:cs="Times New Roman"/>
                <w:color w:val="auto"/>
                <w:sz w:val="24"/>
                <w:highlight w:val="none"/>
              </w:rPr>
              <w:drawing>
                <wp:inline distT="0" distB="0" distL="0" distR="0">
                  <wp:extent cx="449580" cy="26670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8" cstate="print"/>
                          <a:srcRect/>
                          <a:stretch>
                            <a:fillRect/>
                          </a:stretch>
                        </pic:blipFill>
                        <pic:spPr>
                          <a:xfrm>
                            <a:off x="0" y="0"/>
                            <a:ext cx="449580" cy="26670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——距声源r处的A声级，dB（A）；</w:t>
            </w:r>
          </w:p>
          <w:p>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487680" cy="274320"/>
                  <wp:effectExtent l="0" t="0" r="7620" b="1270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29" cstate="print"/>
                          <a:srcRect/>
                          <a:stretch>
                            <a:fillRect/>
                          </a:stretch>
                        </pic:blipFill>
                        <pic:spPr>
                          <a:xfrm>
                            <a:off x="0" y="0"/>
                            <a:ext cx="487680" cy="27432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——参考位置（rO）处的A声级，dB（A）；</w:t>
            </w:r>
          </w:p>
          <w:p>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190500" cy="205740"/>
                  <wp:effectExtent l="0" t="0" r="0" b="317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30" cstate="print"/>
                          <a:srcRect/>
                          <a:stretch>
                            <a:fillRect/>
                          </a:stretch>
                        </pic:blipFill>
                        <pic:spPr>
                          <a:xfrm>
                            <a:off x="0" y="0"/>
                            <a:ext cx="190500" cy="20574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——倍频带衰减；</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312420" cy="281940"/>
                  <wp:effectExtent l="0" t="0" r="11430" b="317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31" cstate="print"/>
                          <a:srcRect/>
                          <a:stretch>
                            <a:fillRect/>
                          </a:stretch>
                        </pic:blipFill>
                        <pic:spPr>
                          <a:xfrm>
                            <a:off x="0" y="0"/>
                            <a:ext cx="312420" cy="28194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——几何发散引起的倍频带衰减；</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320040" cy="2667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32" cstate="print"/>
                          <a:srcRect/>
                          <a:stretch>
                            <a:fillRect/>
                          </a:stretch>
                        </pic:blipFill>
                        <pic:spPr>
                          <a:xfrm>
                            <a:off x="0" y="0"/>
                            <a:ext cx="320040" cy="26670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——大气吸收引起的倍频带衰减；</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266700" cy="274320"/>
                  <wp:effectExtent l="0" t="0" r="0"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3" cstate="print"/>
                          <a:srcRect/>
                          <a:stretch>
                            <a:fillRect/>
                          </a:stretch>
                        </pic:blipFill>
                        <pic:spPr>
                          <a:xfrm>
                            <a:off x="0" y="0"/>
                            <a:ext cx="266700" cy="27432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——地面效应引起的倍频带衰减；</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297180" cy="274320"/>
                  <wp:effectExtent l="0" t="0" r="0"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4" cstate="print"/>
                          <a:srcRect/>
                          <a:stretch>
                            <a:fillRect/>
                          </a:stretch>
                        </pic:blipFill>
                        <pic:spPr>
                          <a:xfrm>
                            <a:off x="0" y="0"/>
                            <a:ext cx="297180" cy="27432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——声屏障引起的倍频带衰减；</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350520" cy="274320"/>
                  <wp:effectExtent l="0" t="0" r="11430"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5" cstate="print"/>
                          <a:srcRect/>
                          <a:stretch>
                            <a:fillRect/>
                          </a:stretch>
                        </pic:blipFill>
                        <pic:spPr>
                          <a:xfrm>
                            <a:off x="0" y="0"/>
                            <a:ext cx="350520" cy="27432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——其他多方面效应引起的倍频带衰减；</w:t>
            </w:r>
          </w:p>
          <w:p>
            <w:pPr>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其中：</w:t>
            </w:r>
            <w:r>
              <w:rPr>
                <w:rFonts w:hint="default" w:ascii="Times New Roman" w:hAnsi="Times New Roman" w:cs="Times New Roman"/>
                <w:color w:val="auto"/>
                <w:sz w:val="24"/>
                <w:highlight w:val="none"/>
              </w:rPr>
              <w:drawing>
                <wp:inline distT="0" distB="0" distL="0" distR="0">
                  <wp:extent cx="1074420" cy="228600"/>
                  <wp:effectExtent l="0" t="0" r="1143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6" cstate="print"/>
                          <a:srcRect/>
                          <a:stretch>
                            <a:fillRect/>
                          </a:stretch>
                        </pic:blipFill>
                        <pic:spPr>
                          <a:xfrm>
                            <a:off x="0" y="0"/>
                            <a:ext cx="1074420" cy="22860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rPr>
              <w:drawing>
                <wp:inline distT="0" distB="0" distL="0" distR="0">
                  <wp:extent cx="1005840" cy="411480"/>
                  <wp:effectExtent l="0" t="0" r="0" b="698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37" cstate="print"/>
                          <a:srcRect/>
                          <a:stretch>
                            <a:fillRect/>
                          </a:stretch>
                        </pic:blipFill>
                        <pic:spPr>
                          <a:xfrm>
                            <a:off x="0" y="0"/>
                            <a:ext cx="1005840" cy="41148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lang w:eastAsia="zh-CN"/>
              </w:rPr>
              <w:t>；</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w:t>
            </w:r>
            <w:r>
              <w:rPr>
                <w:rFonts w:hint="default" w:ascii="Times New Roman" w:hAnsi="Times New Roman" w:cs="Times New Roman"/>
                <w:color w:val="auto"/>
                <w:sz w:val="24"/>
                <w:highlight w:val="none"/>
              </w:rPr>
              <w:drawing>
                <wp:inline distT="0" distB="0" distL="0" distR="0">
                  <wp:extent cx="152400" cy="160020"/>
                  <wp:effectExtent l="0" t="0" r="0" b="1270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38" cstate="print"/>
                          <a:srcRect/>
                          <a:stretch>
                            <a:fillRect/>
                          </a:stretch>
                        </pic:blipFill>
                        <pic:spPr>
                          <a:xfrm>
                            <a:off x="0" y="0"/>
                            <a:ext cx="152400" cy="16002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——预测点距声源的距离（m）；</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152400" cy="243840"/>
                  <wp:effectExtent l="0" t="0" r="0" b="254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39" cstate="print"/>
                          <a:srcRect/>
                          <a:stretch>
                            <a:fillRect/>
                          </a:stretch>
                        </pic:blipFill>
                        <pic:spPr>
                          <a:xfrm>
                            <a:off x="0" y="0"/>
                            <a:ext cx="152400" cy="24384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——参考位置</w:t>
            </w:r>
            <w:r>
              <w:rPr>
                <w:rFonts w:hint="default" w:ascii="Times New Roman" w:hAnsi="Times New Roman" w:cs="Times New Roman"/>
                <w:color w:val="auto"/>
                <w:sz w:val="24"/>
                <w:highlight w:val="none"/>
                <w:lang w:val="en-US" w:eastAsia="zh-CN"/>
              </w:rPr>
              <w:t>和</w:t>
            </w:r>
            <w:r>
              <w:rPr>
                <w:rFonts w:hint="default" w:ascii="Times New Roman" w:hAnsi="Times New Roman" w:cs="Times New Roman"/>
                <w:color w:val="auto"/>
                <w:sz w:val="24"/>
                <w:highlight w:val="none"/>
              </w:rPr>
              <w:t>距离（m）；</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175260" cy="175260"/>
                  <wp:effectExtent l="0" t="0" r="15240" b="1587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40" cstate="print"/>
                          <a:srcRect/>
                          <a:stretch>
                            <a:fillRect/>
                          </a:stretch>
                        </pic:blipFill>
                        <pic:spPr>
                          <a:xfrm>
                            <a:off x="0" y="0"/>
                            <a:ext cx="175260" cy="17526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——大气吸收衰减系数（dB/km）；</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建设项目声源在预测点的等效声级贡献值计算公式：</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1859280" cy="502920"/>
                  <wp:effectExtent l="0" t="0" r="0" b="1206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41" cstate="print"/>
                          <a:srcRect/>
                          <a:stretch>
                            <a:fillRect/>
                          </a:stretch>
                        </pic:blipFill>
                        <pic:spPr>
                          <a:xfrm>
                            <a:off x="0" y="0"/>
                            <a:ext cx="1859280" cy="502920"/>
                          </a:xfrm>
                          <a:prstGeom prst="rect">
                            <a:avLst/>
                          </a:prstGeom>
                          <a:noFill/>
                          <a:ln w="9525">
                            <a:noFill/>
                            <a:miter lim="800000"/>
                            <a:headEnd/>
                            <a:tailEnd/>
                          </a:ln>
                        </pic:spPr>
                      </pic:pic>
                    </a:graphicData>
                  </a:graphic>
                </wp:inline>
              </w:drawing>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w:t>
            </w:r>
            <w:r>
              <w:rPr>
                <w:rFonts w:hint="default" w:ascii="Times New Roman" w:hAnsi="Times New Roman" w:cs="Times New Roman"/>
                <w:color w:val="auto"/>
                <w:sz w:val="24"/>
                <w:highlight w:val="none"/>
              </w:rPr>
              <w:drawing>
                <wp:inline distT="0" distB="0" distL="0" distR="0">
                  <wp:extent cx="297180" cy="281940"/>
                  <wp:effectExtent l="0" t="0" r="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42" cstate="print"/>
                          <a:srcRect/>
                          <a:stretch>
                            <a:fillRect/>
                          </a:stretch>
                        </pic:blipFill>
                        <pic:spPr>
                          <a:xfrm>
                            <a:off x="0" y="0"/>
                            <a:ext cx="297180" cy="28194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——建设项目声源在预测点的等效声级贡献值，dB（A）；</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243840" cy="266700"/>
                  <wp:effectExtent l="0" t="0" r="381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43" cstate="print"/>
                          <a:srcRect/>
                          <a:stretch>
                            <a:fillRect/>
                          </a:stretch>
                        </pic:blipFill>
                        <pic:spPr>
                          <a:xfrm>
                            <a:off x="0" y="0"/>
                            <a:ext cx="243840" cy="26670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——i声源在预测点产生的A声级，dB（A）；</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0" distR="0">
                  <wp:extent cx="160020" cy="190500"/>
                  <wp:effectExtent l="0" t="0" r="1143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44" cstate="print"/>
                          <a:srcRect/>
                          <a:stretch>
                            <a:fillRect/>
                          </a:stretch>
                        </pic:blipFill>
                        <pic:spPr>
                          <a:xfrm>
                            <a:off x="0" y="0"/>
                            <a:ext cx="160020" cy="19050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——预测计算的时间段，s；</w:t>
            </w:r>
          </w:p>
          <w:p>
            <w:pPr>
              <w:spacing w:line="360" w:lineRule="auto"/>
              <w:ind w:firstLine="480" w:firstLineChars="200"/>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drawing>
                <wp:inline distT="0" distB="0" distL="0" distR="0">
                  <wp:extent cx="137160" cy="266700"/>
                  <wp:effectExtent l="0" t="0" r="152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45" cstate="print"/>
                          <a:srcRect/>
                          <a:stretch>
                            <a:fillRect/>
                          </a:stretch>
                        </pic:blipFill>
                        <pic:spPr>
                          <a:xfrm>
                            <a:off x="0" y="0"/>
                            <a:ext cx="137160" cy="266700"/>
                          </a:xfrm>
                          <a:prstGeom prst="rect">
                            <a:avLst/>
                          </a:prstGeom>
                          <a:noFill/>
                          <a:ln w="9525">
                            <a:noFill/>
                            <a:miter lim="800000"/>
                            <a:headEnd/>
                            <a:tailEnd/>
                          </a:ln>
                        </pic:spPr>
                      </pic:pic>
                    </a:graphicData>
                  </a:graphic>
                </wp:inline>
              </w:drawing>
            </w:r>
            <w:r>
              <w:rPr>
                <w:rFonts w:hint="default" w:ascii="Times New Roman" w:hAnsi="Times New Roman" w:cs="Times New Roman"/>
                <w:color w:val="auto"/>
                <w:sz w:val="24"/>
                <w:highlight w:val="none"/>
              </w:rPr>
              <w:t>——i声源在T时段内的运行时间，s</w:t>
            </w:r>
            <w:r>
              <w:rPr>
                <w:rFonts w:hint="eastAsia" w:ascii="Times New Roman" w:hAnsi="Times New Roman" w:cs="Times New Roman"/>
                <w:color w:val="auto"/>
                <w:sz w:val="24"/>
                <w:highlight w:val="none"/>
                <w:lang w:eastAsia="zh-CN"/>
              </w:rPr>
              <w:t>。</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）噪声预测结果及影响分析</w:t>
            </w:r>
          </w:p>
          <w:p>
            <w:pPr>
              <w:pStyle w:val="6"/>
              <w:keepNext w:val="0"/>
              <w:keepLines w:val="0"/>
              <w:pageBreakBefore w:val="0"/>
              <w:widowControl w:val="0"/>
              <w:kinsoku/>
              <w:wordWrap/>
              <w:overflowPunct/>
              <w:topLinePunct w:val="0"/>
              <w:autoSpaceDE w:val="0"/>
              <w:autoSpaceDN w:val="0"/>
              <w:bidi w:val="0"/>
              <w:adjustRightInd/>
              <w:snapToGrid/>
              <w:spacing w:after="0" w:line="240" w:lineRule="auto"/>
              <w:ind w:left="0" w:leftChars="0" w:firstLine="0" w:firstLineChars="0"/>
              <w:jc w:val="center"/>
              <w:textAlignment w:val="auto"/>
              <w:rPr>
                <w:rFonts w:hint="default"/>
                <w:b/>
                <w:bCs w:val="0"/>
                <w:color w:val="auto"/>
                <w:highlight w:val="none"/>
                <w:lang w:val="en-US" w:eastAsia="zh-CN"/>
              </w:rPr>
            </w:pPr>
            <w:r>
              <w:rPr>
                <w:rFonts w:hint="eastAsia" w:cs="宋体"/>
                <w:b/>
                <w:bCs w:val="0"/>
                <w:color w:val="auto"/>
                <w:sz w:val="24"/>
                <w:highlight w:val="none"/>
                <w:lang w:val="en-US" w:eastAsia="zh-CN"/>
              </w:rPr>
              <w:t xml:space="preserve">表4-3  </w:t>
            </w:r>
            <w:r>
              <w:rPr>
                <w:b/>
                <w:bCs w:val="0"/>
                <w:color w:val="auto"/>
                <w:highlight w:val="none"/>
              </w:rPr>
              <w:t>厂界噪声贡献值预测结果</w:t>
            </w:r>
            <w:r>
              <w:rPr>
                <w:rFonts w:hint="eastAsia" w:cs="宋体"/>
                <w:b/>
                <w:bCs w:val="0"/>
                <w:color w:val="auto"/>
                <w:sz w:val="24"/>
                <w:highlight w:val="none"/>
                <w:lang w:val="en-US" w:eastAsia="zh-CN"/>
              </w:rPr>
              <w:t xml:space="preserve"> 单位：dB（A）</w:t>
            </w:r>
          </w:p>
          <w:tbl>
            <w:tblPr>
              <w:tblStyle w:val="22"/>
              <w:tblW w:w="4998"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465"/>
              <w:gridCol w:w="1875"/>
              <w:gridCol w:w="1600"/>
              <w:gridCol w:w="1678"/>
              <w:gridCol w:w="1907"/>
              <w:gridCol w:w="1100"/>
              <w:gridCol w:w="781"/>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jc w:val="center"/>
              </w:trPr>
              <w:tc>
                <w:tcPr>
                  <w:tcW w:w="247" w:type="pct"/>
                  <w:tcBorders>
                    <w:left w:val="nil"/>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序号</w:t>
                  </w:r>
                </w:p>
              </w:tc>
              <w:tc>
                <w:tcPr>
                  <w:tcW w:w="996" w:type="pct"/>
                  <w:tcBorders>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预测点</w:t>
                  </w:r>
                </w:p>
              </w:tc>
              <w:tc>
                <w:tcPr>
                  <w:tcW w:w="850" w:type="pct"/>
                  <w:tcBorders>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昼间</w:t>
                  </w:r>
                  <w:r>
                    <w:rPr>
                      <w:rFonts w:hint="default" w:ascii="Times New Roman" w:hAnsi="Times New Roman" w:eastAsia="宋体" w:cs="Times New Roman"/>
                      <w:color w:val="auto"/>
                      <w:sz w:val="21"/>
                      <w:szCs w:val="21"/>
                      <w:highlight w:val="none"/>
                      <w:lang w:eastAsia="zh-CN"/>
                    </w:rPr>
                    <w:t>贡献值</w:t>
                  </w:r>
                </w:p>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dB（A）</w:t>
                  </w:r>
                </w:p>
              </w:tc>
              <w:tc>
                <w:tcPr>
                  <w:tcW w:w="891" w:type="pct"/>
                  <w:tcBorders>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夜间</w:t>
                  </w:r>
                  <w:r>
                    <w:rPr>
                      <w:rFonts w:hint="default" w:ascii="Times New Roman" w:hAnsi="Times New Roman" w:eastAsia="宋体" w:cs="Times New Roman"/>
                      <w:color w:val="auto"/>
                      <w:sz w:val="21"/>
                      <w:szCs w:val="21"/>
                      <w:highlight w:val="none"/>
                      <w:lang w:eastAsia="zh-CN"/>
                    </w:rPr>
                    <w:t>贡献值</w:t>
                  </w:r>
                </w:p>
                <w:p>
                  <w:pPr>
                    <w:jc w:val="center"/>
                    <w:rPr>
                      <w:rFonts w:hint="eastAsia"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dB（A）</w:t>
                  </w:r>
                </w:p>
              </w:tc>
              <w:tc>
                <w:tcPr>
                  <w:tcW w:w="1013" w:type="pct"/>
                  <w:tcBorders>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标准值dB（A）</w:t>
                  </w:r>
                </w:p>
              </w:tc>
              <w:tc>
                <w:tcPr>
                  <w:tcW w:w="584" w:type="pct"/>
                  <w:tcBorders>
                    <w:left w:val="single" w:color="000000" w:sz="4" w:space="0"/>
                    <w:bottom w:val="single" w:color="000000" w:sz="4" w:space="0"/>
                    <w:right w:val="nil"/>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是否达标</w:t>
                  </w:r>
                </w:p>
              </w:tc>
              <w:tc>
                <w:tcPr>
                  <w:tcW w:w="415" w:type="pct"/>
                  <w:tcBorders>
                    <w:left w:val="single" w:color="000000" w:sz="4" w:space="0"/>
                    <w:bottom w:val="single" w:color="000000" w:sz="4" w:space="0"/>
                    <w:right w:val="nil"/>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备注</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jc w:val="center"/>
              </w:trPr>
              <w:tc>
                <w:tcPr>
                  <w:tcW w:w="247" w:type="pct"/>
                  <w:tcBorders>
                    <w:top w:val="single" w:color="000000" w:sz="4" w:space="0"/>
                    <w:left w:val="nil"/>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1</w:t>
                  </w:r>
                </w:p>
              </w:tc>
              <w:tc>
                <w:tcPr>
                  <w:tcW w:w="996"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西</w:t>
                  </w:r>
                  <w:r>
                    <w:rPr>
                      <w:rFonts w:hint="default" w:ascii="Times New Roman" w:hAnsi="Times New Roman" w:eastAsia="宋体" w:cs="Times New Roman"/>
                      <w:color w:val="auto"/>
                      <w:sz w:val="21"/>
                      <w:szCs w:val="21"/>
                      <w:highlight w:val="none"/>
                      <w:lang w:eastAsia="zh-CN"/>
                    </w:rPr>
                    <w:t>厂界最大值</w:t>
                  </w:r>
                </w:p>
              </w:tc>
              <w:tc>
                <w:tcPr>
                  <w:tcW w:w="850"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51.36</w:t>
                  </w:r>
                </w:p>
              </w:tc>
              <w:tc>
                <w:tcPr>
                  <w:tcW w:w="891"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1013"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昼</w:t>
                  </w:r>
                  <w:r>
                    <w:rPr>
                      <w:rFonts w:hint="default" w:ascii="Times New Roman" w:hAnsi="Times New Roman"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夜55</w:t>
                  </w:r>
                </w:p>
              </w:tc>
              <w:tc>
                <w:tcPr>
                  <w:tcW w:w="584" w:type="pct"/>
                  <w:tcBorders>
                    <w:top w:val="single" w:color="000000" w:sz="4" w:space="0"/>
                    <w:left w:val="single" w:color="000000" w:sz="4" w:space="0"/>
                    <w:bottom w:val="single" w:color="000000" w:sz="4" w:space="0"/>
                    <w:right w:val="nil"/>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达标</w:t>
                  </w:r>
                </w:p>
              </w:tc>
              <w:tc>
                <w:tcPr>
                  <w:tcW w:w="415" w:type="pct"/>
                  <w:vMerge w:val="restart"/>
                  <w:tcBorders>
                    <w:top w:val="single" w:color="000000" w:sz="4" w:space="0"/>
                    <w:left w:val="single" w:color="000000" w:sz="4" w:space="0"/>
                    <w:right w:val="nil"/>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本项目夜间不生产</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jc w:val="center"/>
              </w:trPr>
              <w:tc>
                <w:tcPr>
                  <w:tcW w:w="247" w:type="pct"/>
                  <w:tcBorders>
                    <w:top w:val="single" w:color="000000" w:sz="4" w:space="0"/>
                    <w:left w:val="nil"/>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2</w:t>
                  </w:r>
                </w:p>
              </w:tc>
              <w:tc>
                <w:tcPr>
                  <w:tcW w:w="996"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北</w:t>
                  </w:r>
                  <w:r>
                    <w:rPr>
                      <w:rFonts w:hint="default" w:ascii="Times New Roman" w:hAnsi="Times New Roman" w:eastAsia="宋体" w:cs="Times New Roman"/>
                      <w:color w:val="auto"/>
                      <w:sz w:val="21"/>
                      <w:szCs w:val="21"/>
                      <w:highlight w:val="none"/>
                      <w:lang w:eastAsia="zh-CN"/>
                    </w:rPr>
                    <w:t>厂界最大值</w:t>
                  </w:r>
                </w:p>
              </w:tc>
              <w:tc>
                <w:tcPr>
                  <w:tcW w:w="850"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56.55</w:t>
                  </w:r>
                </w:p>
              </w:tc>
              <w:tc>
                <w:tcPr>
                  <w:tcW w:w="891"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1013"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昼</w:t>
                  </w:r>
                  <w:r>
                    <w:rPr>
                      <w:rFonts w:hint="default" w:ascii="Times New Roman" w:hAnsi="Times New Roman"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夜55</w:t>
                  </w:r>
                </w:p>
              </w:tc>
              <w:tc>
                <w:tcPr>
                  <w:tcW w:w="584" w:type="pct"/>
                  <w:tcBorders>
                    <w:top w:val="single" w:color="000000" w:sz="4" w:space="0"/>
                    <w:left w:val="single" w:color="000000" w:sz="4" w:space="0"/>
                    <w:bottom w:val="single" w:color="000000" w:sz="4" w:space="0"/>
                    <w:right w:val="nil"/>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达标</w:t>
                  </w:r>
                </w:p>
              </w:tc>
              <w:tc>
                <w:tcPr>
                  <w:tcW w:w="415" w:type="pct"/>
                  <w:vMerge w:val="continue"/>
                  <w:tcBorders>
                    <w:left w:val="single" w:color="000000" w:sz="4" w:space="0"/>
                    <w:right w:val="nil"/>
                  </w:tcBorders>
                  <w:vAlign w:val="center"/>
                </w:tcPr>
                <w:p>
                  <w:pPr>
                    <w:jc w:val="center"/>
                    <w:rPr>
                      <w:rFonts w:hint="default" w:ascii="Times New Roman" w:hAnsi="Times New Roman" w:eastAsia="宋体" w:cs="Times New Roman"/>
                      <w:color w:val="auto"/>
                      <w:sz w:val="21"/>
                      <w:szCs w:val="21"/>
                      <w:highlight w:val="none"/>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jc w:val="center"/>
              </w:trPr>
              <w:tc>
                <w:tcPr>
                  <w:tcW w:w="247" w:type="pct"/>
                  <w:tcBorders>
                    <w:top w:val="single" w:color="000000" w:sz="4" w:space="0"/>
                    <w:left w:val="nil"/>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3</w:t>
                  </w:r>
                </w:p>
              </w:tc>
              <w:tc>
                <w:tcPr>
                  <w:tcW w:w="996"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东</w:t>
                  </w:r>
                  <w:r>
                    <w:rPr>
                      <w:rFonts w:hint="default" w:ascii="Times New Roman" w:hAnsi="Times New Roman" w:eastAsia="宋体" w:cs="Times New Roman"/>
                      <w:color w:val="auto"/>
                      <w:sz w:val="21"/>
                      <w:szCs w:val="21"/>
                      <w:highlight w:val="none"/>
                      <w:lang w:eastAsia="zh-CN"/>
                    </w:rPr>
                    <w:t>厂界最大值</w:t>
                  </w:r>
                </w:p>
              </w:tc>
              <w:tc>
                <w:tcPr>
                  <w:tcW w:w="850"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53.03</w:t>
                  </w:r>
                </w:p>
              </w:tc>
              <w:tc>
                <w:tcPr>
                  <w:tcW w:w="891"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1013"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昼</w:t>
                  </w:r>
                  <w:r>
                    <w:rPr>
                      <w:rFonts w:hint="default" w:ascii="Times New Roman" w:hAnsi="Times New Roman"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夜55</w:t>
                  </w:r>
                </w:p>
              </w:tc>
              <w:tc>
                <w:tcPr>
                  <w:tcW w:w="584" w:type="pct"/>
                  <w:tcBorders>
                    <w:top w:val="single" w:color="000000" w:sz="4" w:space="0"/>
                    <w:left w:val="single" w:color="000000" w:sz="4" w:space="0"/>
                    <w:bottom w:val="single" w:color="000000" w:sz="4" w:space="0"/>
                    <w:right w:val="nil"/>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达标</w:t>
                  </w:r>
                </w:p>
              </w:tc>
              <w:tc>
                <w:tcPr>
                  <w:tcW w:w="415" w:type="pct"/>
                  <w:vMerge w:val="continue"/>
                  <w:tcBorders>
                    <w:left w:val="single" w:color="000000" w:sz="4" w:space="0"/>
                    <w:right w:val="nil"/>
                  </w:tcBorders>
                  <w:vAlign w:val="center"/>
                </w:tcPr>
                <w:p>
                  <w:pPr>
                    <w:jc w:val="center"/>
                    <w:rPr>
                      <w:rFonts w:hint="default" w:ascii="Times New Roman" w:hAnsi="Times New Roman" w:eastAsia="宋体" w:cs="Times New Roman"/>
                      <w:color w:val="auto"/>
                      <w:sz w:val="21"/>
                      <w:szCs w:val="21"/>
                      <w:highlight w:val="none"/>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jc w:val="center"/>
              </w:trPr>
              <w:tc>
                <w:tcPr>
                  <w:tcW w:w="247" w:type="pct"/>
                  <w:tcBorders>
                    <w:top w:val="single" w:color="000000" w:sz="4" w:space="0"/>
                    <w:left w:val="nil"/>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4</w:t>
                  </w:r>
                </w:p>
              </w:tc>
              <w:tc>
                <w:tcPr>
                  <w:tcW w:w="996" w:type="pct"/>
                  <w:tcBorders>
                    <w:top w:val="single" w:color="000000" w:sz="4" w:space="0"/>
                    <w:left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南</w:t>
                  </w:r>
                  <w:r>
                    <w:rPr>
                      <w:rFonts w:hint="default" w:ascii="Times New Roman" w:hAnsi="Times New Roman" w:eastAsia="宋体" w:cs="Times New Roman"/>
                      <w:color w:val="auto"/>
                      <w:sz w:val="21"/>
                      <w:szCs w:val="21"/>
                      <w:highlight w:val="none"/>
                      <w:lang w:eastAsia="zh-CN"/>
                    </w:rPr>
                    <w:t>厂界最大值</w:t>
                  </w:r>
                </w:p>
              </w:tc>
              <w:tc>
                <w:tcPr>
                  <w:tcW w:w="850" w:type="pct"/>
                  <w:tcBorders>
                    <w:top w:val="single" w:color="000000" w:sz="4" w:space="0"/>
                    <w:left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67.14</w:t>
                  </w:r>
                </w:p>
              </w:tc>
              <w:tc>
                <w:tcPr>
                  <w:tcW w:w="891" w:type="pct"/>
                  <w:tcBorders>
                    <w:top w:val="single" w:color="000000" w:sz="4" w:space="0"/>
                    <w:left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1013" w:type="pct"/>
                  <w:tcBorders>
                    <w:top w:val="single" w:color="000000" w:sz="4" w:space="0"/>
                    <w:left w:val="single" w:color="000000" w:sz="4" w:space="0"/>
                    <w:right w:val="single" w:color="000000" w:sz="4" w:space="0"/>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昼</w:t>
                  </w:r>
                  <w:r>
                    <w:rPr>
                      <w:rFonts w:hint="default" w:ascii="Times New Roman" w:hAnsi="Times New Roman"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夜55</w:t>
                  </w:r>
                </w:p>
              </w:tc>
              <w:tc>
                <w:tcPr>
                  <w:tcW w:w="584" w:type="pct"/>
                  <w:tcBorders>
                    <w:top w:val="single" w:color="000000" w:sz="4" w:space="0"/>
                    <w:left w:val="single" w:color="000000" w:sz="4" w:space="0"/>
                    <w:right w:val="nil"/>
                  </w:tcBorders>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达标</w:t>
                  </w:r>
                </w:p>
              </w:tc>
              <w:tc>
                <w:tcPr>
                  <w:tcW w:w="415" w:type="pct"/>
                  <w:vMerge w:val="continue"/>
                  <w:tcBorders>
                    <w:left w:val="single" w:color="000000" w:sz="4" w:space="0"/>
                    <w:right w:val="nil"/>
                  </w:tcBorders>
                  <w:vAlign w:val="center"/>
                </w:tcPr>
                <w:p>
                  <w:pPr>
                    <w:jc w:val="center"/>
                    <w:rPr>
                      <w:rFonts w:hint="default" w:ascii="Times New Roman" w:hAnsi="Times New Roman" w:eastAsia="宋体" w:cs="Times New Roman"/>
                      <w:color w:val="auto"/>
                      <w:sz w:val="21"/>
                      <w:szCs w:val="21"/>
                      <w:highlight w:val="none"/>
                      <w:lang w:eastAsia="zh-CN"/>
                    </w:rPr>
                  </w:pPr>
                </w:p>
              </w:tc>
            </w:tr>
          </w:tbl>
          <w:p>
            <w:pPr>
              <w:spacing w:line="360" w:lineRule="auto"/>
              <w:ind w:firstLine="480" w:firstLineChars="200"/>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rPr>
              <w:t>根据</w:t>
            </w:r>
            <w:r>
              <w:rPr>
                <w:rFonts w:hint="eastAsia" w:ascii="Times New Roman" w:hAnsi="Times New Roman" w:cs="Times New Roman"/>
                <w:b w:val="0"/>
                <w:bCs/>
                <w:color w:val="auto"/>
                <w:sz w:val="24"/>
                <w:highlight w:val="none"/>
                <w:lang w:val="en-US" w:eastAsia="zh-CN"/>
              </w:rPr>
              <w:t>表4-3预测结果</w:t>
            </w:r>
            <w:r>
              <w:rPr>
                <w:rFonts w:hint="default" w:ascii="Times New Roman" w:hAnsi="Times New Roman" w:cs="Times New Roman"/>
                <w:b w:val="0"/>
                <w:bCs/>
                <w:color w:val="auto"/>
                <w:sz w:val="24"/>
                <w:highlight w:val="none"/>
              </w:rPr>
              <w:t>，项目厂界</w:t>
            </w:r>
            <w:r>
              <w:rPr>
                <w:rFonts w:hint="eastAsia" w:ascii="Times New Roman" w:hAnsi="Times New Roman" w:cs="Times New Roman"/>
                <w:b w:val="0"/>
                <w:bCs/>
                <w:color w:val="auto"/>
                <w:sz w:val="24"/>
                <w:highlight w:val="none"/>
                <w:lang w:val="en-US" w:eastAsia="zh-CN"/>
              </w:rPr>
              <w:t>昼间</w:t>
            </w:r>
            <w:r>
              <w:rPr>
                <w:rFonts w:hint="default" w:ascii="Times New Roman" w:hAnsi="Times New Roman" w:cs="Times New Roman"/>
                <w:b w:val="0"/>
                <w:bCs/>
                <w:color w:val="auto"/>
                <w:sz w:val="24"/>
                <w:highlight w:val="none"/>
              </w:rPr>
              <w:t>噪声</w:t>
            </w:r>
            <w:r>
              <w:rPr>
                <w:rFonts w:hint="eastAsia" w:ascii="Times New Roman" w:hAnsi="Times New Roman" w:cs="Times New Roman"/>
                <w:b w:val="0"/>
                <w:bCs/>
                <w:color w:val="auto"/>
                <w:sz w:val="24"/>
                <w:highlight w:val="none"/>
                <w:lang w:val="en-US" w:eastAsia="zh-CN"/>
              </w:rPr>
              <w:t>贡献值在36.49-50.12dB（A）之间，厂界噪声</w:t>
            </w:r>
            <w:r>
              <w:rPr>
                <w:rFonts w:hint="default" w:ascii="Times New Roman" w:hAnsi="Times New Roman" w:cs="Times New Roman"/>
                <w:b w:val="0"/>
                <w:bCs/>
                <w:color w:val="auto"/>
                <w:sz w:val="24"/>
                <w:highlight w:val="none"/>
              </w:rPr>
              <w:t>满足《工业企业厂界环境噪声排放标准》（GB12348-2008）</w:t>
            </w:r>
            <w:r>
              <w:rPr>
                <w:rFonts w:hint="eastAsia" w:ascii="Times New Roman" w:hAnsi="Times New Roman" w:cs="Times New Roman"/>
                <w:b w:val="0"/>
                <w:bCs/>
                <w:color w:val="auto"/>
                <w:sz w:val="24"/>
                <w:highlight w:val="none"/>
                <w:lang w:val="en-US" w:eastAsia="zh-CN"/>
              </w:rPr>
              <w:t>3</w:t>
            </w:r>
            <w:r>
              <w:rPr>
                <w:rFonts w:hint="default" w:ascii="Times New Roman" w:hAnsi="Times New Roman" w:cs="Times New Roman"/>
                <w:b w:val="0"/>
                <w:bCs/>
                <w:color w:val="auto"/>
                <w:sz w:val="24"/>
                <w:highlight w:val="none"/>
              </w:rPr>
              <w:t>类排放限值。</w:t>
            </w:r>
          </w:p>
          <w:p>
            <w:pPr>
              <w:spacing w:line="360" w:lineRule="auto"/>
              <w:ind w:firstLine="480" w:firstLineChars="200"/>
              <w:rPr>
                <w:rFonts w:hint="eastAsia" w:ascii="Times New Roman" w:hAnsi="Times New Roman" w:eastAsia="宋体" w:cs="Times New Roman"/>
                <w:b w:val="0"/>
                <w:bCs/>
                <w:color w:val="auto"/>
                <w:sz w:val="24"/>
                <w:highlight w:val="none"/>
                <w:lang w:eastAsia="zh-CN"/>
              </w:rPr>
            </w:pPr>
            <w:r>
              <w:rPr>
                <w:rFonts w:hint="eastAsia" w:ascii="Times New Roman" w:hAnsi="Times New Roman" w:cs="Times New Roman"/>
                <w:b w:val="0"/>
                <w:bCs/>
                <w:color w:val="auto"/>
                <w:sz w:val="24"/>
                <w:highlight w:val="none"/>
                <w:lang w:eastAsia="zh-CN"/>
              </w:rPr>
              <w:t>综上，本项目对周边声环境影响较小。</w:t>
            </w:r>
          </w:p>
          <w:p>
            <w:pPr>
              <w:spacing w:line="360" w:lineRule="auto"/>
              <w:ind w:firstLine="481" w:firstLineChars="200"/>
              <w:rPr>
                <w:rFonts w:hint="eastAsia" w:ascii="宋体" w:hAnsi="宋体" w:cs="宋体"/>
                <w:b/>
                <w:color w:val="auto"/>
                <w:sz w:val="24"/>
                <w:highlight w:val="none"/>
              </w:rPr>
            </w:pPr>
            <w:r>
              <w:rPr>
                <w:rFonts w:hint="default" w:ascii="Times New Roman" w:hAnsi="Times New Roman" w:cs="Times New Roman"/>
                <w:b/>
                <w:color w:val="auto"/>
                <w:sz w:val="24"/>
                <w:highlight w:val="none"/>
              </w:rPr>
              <w:t>4</w:t>
            </w:r>
            <w:r>
              <w:rPr>
                <w:rFonts w:hint="eastAsia" w:ascii="宋体" w:hAnsi="宋体" w:cs="宋体"/>
                <w:b/>
                <w:color w:val="auto"/>
                <w:sz w:val="24"/>
                <w:highlight w:val="none"/>
              </w:rPr>
              <w:t>、固体废物影响分析及防治措施</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本项目产生的固废为</w:t>
            </w:r>
            <w:r>
              <w:rPr>
                <w:bCs/>
                <w:color w:val="auto"/>
                <w:sz w:val="24"/>
                <w:szCs w:val="24"/>
                <w:highlight w:val="none"/>
              </w:rPr>
              <w:t>生活垃圾</w:t>
            </w:r>
            <w:r>
              <w:rPr>
                <w:rFonts w:hint="eastAsia"/>
                <w:bCs/>
                <w:color w:val="auto"/>
                <w:sz w:val="24"/>
                <w:szCs w:val="24"/>
                <w:highlight w:val="none"/>
                <w:lang w:eastAsia="zh-CN"/>
              </w:rPr>
              <w:t>、</w:t>
            </w:r>
            <w:r>
              <w:rPr>
                <w:rFonts w:hint="eastAsia"/>
                <w:bCs/>
                <w:color w:val="auto"/>
                <w:sz w:val="24"/>
                <w:szCs w:val="24"/>
                <w:highlight w:val="none"/>
                <w:lang w:val="en-US" w:eastAsia="zh-CN"/>
              </w:rPr>
              <w:t>金属杂质、废料（纸片、沙子、木屑）、废硅胶、</w:t>
            </w:r>
            <w:r>
              <w:rPr>
                <w:color w:val="auto"/>
                <w:spacing w:val="-1"/>
                <w:sz w:val="24"/>
                <w:szCs w:val="24"/>
                <w:highlight w:val="none"/>
              </w:rPr>
              <w:t>除尘器的</w:t>
            </w:r>
            <w:r>
              <w:rPr>
                <w:rFonts w:hint="eastAsia"/>
                <w:bCs/>
                <w:color w:val="auto"/>
                <w:sz w:val="24"/>
                <w:highlight w:val="none"/>
                <w:lang w:val="en-US"/>
              </w:rPr>
              <w:t>除尘</w:t>
            </w:r>
            <w:r>
              <w:rPr>
                <w:rFonts w:hint="eastAsia"/>
                <w:bCs/>
                <w:color w:val="auto"/>
                <w:sz w:val="24"/>
                <w:highlight w:val="none"/>
                <w:lang w:val="en-US" w:eastAsia="zh-CN"/>
              </w:rPr>
              <w:t>灰</w:t>
            </w:r>
            <w:r>
              <w:rPr>
                <w:rFonts w:hint="eastAsia"/>
                <w:color w:val="auto"/>
                <w:spacing w:val="-1"/>
                <w:sz w:val="24"/>
                <w:szCs w:val="24"/>
                <w:highlight w:val="none"/>
                <w:lang w:eastAsia="zh-CN"/>
              </w:rPr>
              <w:t>、</w:t>
            </w:r>
            <w:r>
              <w:rPr>
                <w:rFonts w:hint="eastAsia"/>
                <w:color w:val="auto"/>
                <w:spacing w:val="-1"/>
                <w:sz w:val="24"/>
                <w:szCs w:val="24"/>
                <w:highlight w:val="none"/>
                <w:lang w:val="en-US" w:eastAsia="zh-CN"/>
              </w:rPr>
              <w:t>废布袋</w:t>
            </w:r>
            <w:r>
              <w:rPr>
                <w:color w:val="auto"/>
                <w:spacing w:val="-1"/>
                <w:sz w:val="24"/>
                <w:szCs w:val="24"/>
                <w:highlight w:val="none"/>
              </w:rPr>
              <w:t>、</w:t>
            </w:r>
            <w:r>
              <w:rPr>
                <w:rFonts w:hint="eastAsia"/>
                <w:color w:val="auto"/>
                <w:spacing w:val="-1"/>
                <w:sz w:val="24"/>
                <w:szCs w:val="24"/>
                <w:highlight w:val="none"/>
                <w:lang w:val="en-US" w:eastAsia="zh-CN"/>
              </w:rPr>
              <w:t>废机油及废油桶</w:t>
            </w:r>
            <w:r>
              <w:rPr>
                <w:bCs/>
                <w:color w:val="auto"/>
                <w:sz w:val="24"/>
                <w:szCs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 1 \* GB3 \* MERGEFORMAT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①</w:t>
            </w:r>
            <w:r>
              <w:rPr>
                <w:rFonts w:hint="eastAsia" w:ascii="宋体" w:hAnsi="宋体" w:cs="宋体"/>
                <w:color w:val="auto"/>
                <w:sz w:val="24"/>
                <w:highlight w:val="none"/>
              </w:rPr>
              <w:fldChar w:fldCharType="end"/>
            </w:r>
            <w:r>
              <w:rPr>
                <w:rFonts w:hint="eastAsia" w:ascii="宋体" w:hAnsi="宋体" w:cs="宋体"/>
                <w:color w:val="auto"/>
                <w:sz w:val="24"/>
                <w:highlight w:val="none"/>
              </w:rPr>
              <w:t>生活垃圾</w:t>
            </w:r>
          </w:p>
          <w:p>
            <w:pPr>
              <w:pStyle w:val="59"/>
              <w:snapToGrid/>
              <w:ind w:firstLine="496" w:firstLineChars="200"/>
              <w:rPr>
                <w:rFonts w:ascii="Times New Roman"/>
                <w:bCs/>
                <w:color w:val="auto"/>
                <w:sz w:val="24"/>
                <w:highlight w:val="none"/>
              </w:rPr>
            </w:pPr>
            <w:r>
              <w:rPr>
                <w:rFonts w:ascii="Times New Roman"/>
                <w:bCs/>
                <w:color w:val="auto"/>
                <w:sz w:val="24"/>
                <w:highlight w:val="none"/>
              </w:rPr>
              <w:t>生活垃圾产生量为0.5kg/人</w:t>
            </w:r>
            <w:r>
              <w:rPr>
                <w:rFonts w:hint="eastAsia" w:ascii="Times New Roman"/>
                <w:b/>
                <w:bCs w:val="0"/>
                <w:color w:val="auto"/>
                <w:sz w:val="24"/>
                <w:highlight w:val="none"/>
                <w:vertAlign w:val="baseline"/>
                <w:lang w:val="en-US" w:eastAsia="zh-CN"/>
              </w:rPr>
              <w:t>·</w:t>
            </w:r>
            <w:r>
              <w:rPr>
                <w:rFonts w:ascii="Times New Roman"/>
                <w:bCs/>
                <w:color w:val="auto"/>
                <w:sz w:val="24"/>
                <w:highlight w:val="none"/>
              </w:rPr>
              <w:t>d，项目有</w:t>
            </w:r>
            <w:r>
              <w:rPr>
                <w:rFonts w:hint="eastAsia" w:ascii="Times New Roman"/>
                <w:bCs/>
                <w:color w:val="auto"/>
                <w:sz w:val="24"/>
                <w:highlight w:val="none"/>
                <w:lang w:val="en-US" w:eastAsia="zh-CN"/>
              </w:rPr>
              <w:t>15</w:t>
            </w:r>
            <w:r>
              <w:rPr>
                <w:rFonts w:ascii="Times New Roman"/>
                <w:bCs/>
                <w:color w:val="auto"/>
                <w:sz w:val="24"/>
                <w:highlight w:val="none"/>
              </w:rPr>
              <w:t>名</w:t>
            </w:r>
            <w:r>
              <w:rPr>
                <w:rFonts w:hint="eastAsia" w:ascii="Times New Roman"/>
                <w:bCs/>
                <w:color w:val="auto"/>
                <w:sz w:val="24"/>
                <w:highlight w:val="none"/>
                <w:lang w:val="en-US" w:eastAsia="zh-CN"/>
              </w:rPr>
              <w:t>工作</w:t>
            </w:r>
            <w:r>
              <w:rPr>
                <w:rFonts w:ascii="Times New Roman"/>
                <w:bCs/>
                <w:color w:val="auto"/>
                <w:sz w:val="24"/>
                <w:highlight w:val="none"/>
              </w:rPr>
              <w:t>人员，年工作</w:t>
            </w:r>
            <w:r>
              <w:rPr>
                <w:rFonts w:hint="eastAsia" w:ascii="Times New Roman"/>
                <w:bCs/>
                <w:color w:val="auto"/>
                <w:sz w:val="24"/>
                <w:highlight w:val="none"/>
                <w:lang w:val="en-US" w:eastAsia="zh-CN"/>
              </w:rPr>
              <w:t>300</w:t>
            </w:r>
            <w:r>
              <w:rPr>
                <w:rFonts w:ascii="Times New Roman"/>
                <w:bCs/>
                <w:color w:val="auto"/>
                <w:sz w:val="24"/>
                <w:highlight w:val="none"/>
              </w:rPr>
              <w:t>天，则生活垃圾产生</w:t>
            </w:r>
            <w:r>
              <w:rPr>
                <w:rFonts w:hint="eastAsia" w:ascii="Times New Roman"/>
                <w:bCs/>
                <w:color w:val="auto"/>
                <w:sz w:val="24"/>
                <w:highlight w:val="none"/>
                <w:lang w:val="en-US" w:eastAsia="zh-CN"/>
              </w:rPr>
              <w:t>7.5</w:t>
            </w:r>
            <w:r>
              <w:rPr>
                <w:rFonts w:ascii="Times New Roman"/>
                <w:bCs/>
                <w:color w:val="auto"/>
                <w:sz w:val="24"/>
                <w:highlight w:val="none"/>
              </w:rPr>
              <w:t>kg/d（</w:t>
            </w:r>
            <w:r>
              <w:rPr>
                <w:rFonts w:hint="eastAsia" w:ascii="Times New Roman"/>
                <w:bCs/>
                <w:color w:val="auto"/>
                <w:sz w:val="24"/>
                <w:highlight w:val="none"/>
                <w:lang w:val="en-US" w:eastAsia="zh-CN"/>
              </w:rPr>
              <w:t>约2.25</w:t>
            </w:r>
            <w:r>
              <w:rPr>
                <w:rFonts w:ascii="Times New Roman"/>
                <w:bCs/>
                <w:color w:val="auto"/>
                <w:sz w:val="24"/>
                <w:highlight w:val="none"/>
              </w:rPr>
              <w:t>t/a）；本项目</w:t>
            </w:r>
            <w:r>
              <w:rPr>
                <w:rFonts w:ascii="Times New Roman"/>
                <w:color w:val="auto"/>
                <w:sz w:val="24"/>
                <w:highlight w:val="none"/>
              </w:rPr>
              <w:t>设置垃圾收集箱</w:t>
            </w:r>
            <w:r>
              <w:rPr>
                <w:rFonts w:hint="eastAsia" w:ascii="Times New Roman"/>
                <w:color w:val="auto"/>
                <w:sz w:val="24"/>
                <w:highlight w:val="none"/>
                <w:lang w:val="en-US" w:eastAsia="zh-CN"/>
              </w:rPr>
              <w:t>，生活垃圾集中收集后定期有环卫部门统一拉运处理</w:t>
            </w:r>
            <w:r>
              <w:rPr>
                <w:rFonts w:ascii="Times New Roman"/>
                <w:color w:val="auto"/>
                <w:sz w:val="24"/>
                <w:highlight w:val="none"/>
              </w:rPr>
              <w:t>。</w:t>
            </w:r>
          </w:p>
          <w:p>
            <w:pPr>
              <w:pStyle w:val="59"/>
              <w:snapToGrid/>
              <w:ind w:firstLine="496" w:firstLineChars="200"/>
              <w:rPr>
                <w:rFonts w:hint="default" w:ascii="Times New Roman" w:hAnsi="Times New Roman" w:eastAsia="宋体" w:cs="Times New Roman"/>
                <w:bCs/>
                <w:color w:val="auto"/>
                <w:sz w:val="24"/>
                <w:highlight w:val="none"/>
                <w:lang w:eastAsia="zh-CN"/>
              </w:rPr>
            </w:pPr>
            <w:r>
              <w:rPr>
                <w:rFonts w:ascii="Times New Roman"/>
                <w:bCs/>
                <w:color w:val="auto"/>
                <w:sz w:val="24"/>
                <w:highlight w:val="none"/>
              </w:rPr>
              <w:fldChar w:fldCharType="begin"/>
            </w:r>
            <w:r>
              <w:rPr>
                <w:rFonts w:ascii="Times New Roman"/>
                <w:bCs/>
                <w:color w:val="auto"/>
                <w:sz w:val="24"/>
                <w:highlight w:val="none"/>
              </w:rPr>
              <w:instrText xml:space="preserve"> = 2 \* GB3 \* MERGEFORMAT </w:instrText>
            </w:r>
            <w:r>
              <w:rPr>
                <w:rFonts w:ascii="Times New Roman"/>
                <w:bCs/>
                <w:color w:val="auto"/>
                <w:sz w:val="24"/>
                <w:highlight w:val="none"/>
              </w:rPr>
              <w:fldChar w:fldCharType="separate"/>
            </w:r>
            <w:r>
              <w:rPr>
                <w:rFonts w:ascii="Times New Roman"/>
                <w:color w:val="auto"/>
                <w:sz w:val="24"/>
                <w:highlight w:val="none"/>
              </w:rPr>
              <w:t>②</w:t>
            </w:r>
            <w:r>
              <w:rPr>
                <w:rFonts w:ascii="Times New Roman"/>
                <w:bCs/>
                <w:color w:val="auto"/>
                <w:sz w:val="24"/>
                <w:highlight w:val="none"/>
              </w:rPr>
              <w:fldChar w:fldCharType="end"/>
            </w:r>
            <w:r>
              <w:rPr>
                <w:rFonts w:hint="eastAsia"/>
                <w:bCs/>
                <w:color w:val="auto"/>
                <w:sz w:val="24"/>
                <w:highlight w:val="none"/>
                <w:lang w:val="en-US" w:eastAsia="zh-CN"/>
              </w:rPr>
              <w:t>金属杂质</w:t>
            </w:r>
          </w:p>
          <w:p>
            <w:pPr>
              <w:pStyle w:val="59"/>
              <w:snapToGrid/>
              <w:ind w:firstLine="496" w:firstLineChars="200"/>
              <w:rPr>
                <w:rFonts w:hint="default" w:ascii="Times New Roman" w:hAnsi="Times New Roman" w:cs="Times New Roman"/>
                <w:color w:val="auto"/>
                <w:sz w:val="24"/>
                <w:highlight w:val="none"/>
              </w:rPr>
            </w:pPr>
            <w:r>
              <w:rPr>
                <w:rFonts w:hint="default" w:ascii="Times New Roman" w:hAnsi="Times New Roman" w:cs="Times New Roman"/>
                <w:bCs/>
                <w:color w:val="auto"/>
                <w:sz w:val="24"/>
                <w:highlight w:val="none"/>
              </w:rPr>
              <w:t>本项目</w:t>
            </w:r>
            <w:r>
              <w:rPr>
                <w:rFonts w:hint="eastAsia" w:ascii="Times New Roman" w:hAnsi="Times New Roman" w:cs="Times New Roman"/>
                <w:bCs/>
                <w:color w:val="auto"/>
                <w:sz w:val="24"/>
                <w:highlight w:val="none"/>
                <w:lang w:val="en-US" w:eastAsia="zh-CN"/>
              </w:rPr>
              <w:t>生产过程中分选出的金属杂质，产生量约204.936t/a，收集后暂存于一般固废暂存区，定期外售废品收购站</w:t>
            </w:r>
            <w:r>
              <w:rPr>
                <w:rFonts w:hint="default" w:ascii="Times New Roman" w:hAnsi="Times New Roman" w:cs="Times New Roman"/>
                <w:color w:val="auto"/>
                <w:sz w:val="24"/>
                <w:highlight w:val="none"/>
              </w:rPr>
              <w:t>。</w:t>
            </w:r>
          </w:p>
          <w:p>
            <w:pPr>
              <w:pStyle w:val="59"/>
              <w:snapToGrid/>
              <w:ind w:firstLine="496" w:firstLineChars="200"/>
              <w:rPr>
                <w:rFonts w:hint="eastAsia" w:ascii="Times New Roman" w:hAnsi="Times New Roman" w:eastAsia="宋体" w:cs="Times New Roman"/>
                <w:bCs/>
                <w:color w:val="auto"/>
                <w:sz w:val="24"/>
                <w:highlight w:val="none"/>
                <w:lang w:val="en-US" w:eastAsia="zh-CN"/>
              </w:rPr>
            </w:pPr>
            <w:r>
              <w:rPr>
                <w:rFonts w:hint="default" w:ascii="Times New Roman" w:hAnsi="Times New Roman" w:cs="Times New Roman"/>
                <w:bCs/>
                <w:color w:val="auto"/>
                <w:sz w:val="24"/>
                <w:highlight w:val="none"/>
              </w:rPr>
              <w:fldChar w:fldCharType="begin"/>
            </w:r>
            <w:r>
              <w:rPr>
                <w:rFonts w:hint="default" w:ascii="Times New Roman" w:hAnsi="Times New Roman" w:cs="Times New Roman"/>
                <w:bCs/>
                <w:color w:val="auto"/>
                <w:sz w:val="24"/>
                <w:highlight w:val="none"/>
              </w:rPr>
              <w:instrText xml:space="preserve"> = 3 \* GB3 \* MERGEFORMAT </w:instrText>
            </w:r>
            <w:r>
              <w:rPr>
                <w:rFonts w:hint="default" w:ascii="Times New Roman" w:hAnsi="Times New Roman" w:cs="Times New Roman"/>
                <w:bCs/>
                <w:color w:val="auto"/>
                <w:sz w:val="24"/>
                <w:highlight w:val="none"/>
              </w:rPr>
              <w:fldChar w:fldCharType="separate"/>
            </w:r>
            <w:r>
              <w:rPr>
                <w:rFonts w:hint="default" w:ascii="Times New Roman" w:hAnsi="Times New Roman" w:cs="Times New Roman"/>
                <w:color w:val="auto"/>
                <w:sz w:val="24"/>
                <w:highlight w:val="none"/>
              </w:rPr>
              <w:t>③</w:t>
            </w:r>
            <w:r>
              <w:rPr>
                <w:rFonts w:hint="default" w:ascii="Times New Roman" w:hAnsi="Times New Roman" w:cs="Times New Roman"/>
                <w:bCs/>
                <w:color w:val="auto"/>
                <w:sz w:val="24"/>
                <w:highlight w:val="none"/>
              </w:rPr>
              <w:fldChar w:fldCharType="end"/>
            </w:r>
            <w:r>
              <w:rPr>
                <w:rFonts w:hint="eastAsia" w:ascii="Times New Roman" w:hAnsi="Times New Roman" w:cs="Times New Roman"/>
                <w:bCs/>
                <w:color w:val="auto"/>
                <w:sz w:val="24"/>
                <w:highlight w:val="none"/>
                <w:lang w:val="en-US" w:eastAsia="zh-CN"/>
              </w:rPr>
              <w:t>废料（</w:t>
            </w:r>
            <w:r>
              <w:rPr>
                <w:rFonts w:hint="eastAsia"/>
                <w:bCs/>
                <w:color w:val="auto"/>
                <w:sz w:val="24"/>
                <w:szCs w:val="24"/>
                <w:highlight w:val="none"/>
                <w:lang w:val="en-US" w:eastAsia="zh-CN"/>
              </w:rPr>
              <w:t>纸片、沙子、木屑</w:t>
            </w:r>
            <w:r>
              <w:rPr>
                <w:rFonts w:hint="eastAsia" w:ascii="Times New Roman" w:hAnsi="Times New Roman" w:cs="Times New Roman"/>
                <w:bCs/>
                <w:color w:val="auto"/>
                <w:sz w:val="24"/>
                <w:highlight w:val="none"/>
                <w:lang w:val="en-US" w:eastAsia="zh-CN"/>
              </w:rPr>
              <w:t>）</w:t>
            </w:r>
          </w:p>
          <w:p>
            <w:pPr>
              <w:pStyle w:val="59"/>
              <w:snapToGrid/>
              <w:ind w:firstLine="496" w:firstLineChars="200"/>
              <w:rPr>
                <w:rFonts w:hint="eastAsia" w:ascii="Times New Roman" w:hAnsi="Times New Roman" w:cs="Times New Roman"/>
                <w:bCs/>
                <w:color w:val="auto"/>
                <w:sz w:val="24"/>
                <w:highlight w:val="none"/>
                <w:lang w:val="en-US" w:eastAsia="zh-CN"/>
              </w:rPr>
            </w:pPr>
            <w:r>
              <w:rPr>
                <w:rFonts w:hint="default" w:ascii="Times New Roman" w:hAnsi="Times New Roman" w:cs="Times New Roman"/>
                <w:bCs/>
                <w:color w:val="auto"/>
                <w:sz w:val="24"/>
                <w:highlight w:val="none"/>
              </w:rPr>
              <w:t>本项目</w:t>
            </w:r>
            <w:r>
              <w:rPr>
                <w:rFonts w:hint="eastAsia" w:ascii="Times New Roman" w:hAnsi="Times New Roman" w:cs="Times New Roman"/>
                <w:bCs/>
                <w:color w:val="auto"/>
                <w:sz w:val="24"/>
                <w:highlight w:val="none"/>
                <w:lang w:val="en-US" w:eastAsia="zh-CN"/>
              </w:rPr>
              <w:t>生产过程中分选出的废料（</w:t>
            </w:r>
            <w:r>
              <w:rPr>
                <w:rFonts w:hint="eastAsia"/>
                <w:bCs/>
                <w:color w:val="auto"/>
                <w:sz w:val="24"/>
                <w:szCs w:val="24"/>
                <w:highlight w:val="none"/>
                <w:lang w:val="en-US" w:eastAsia="zh-CN"/>
              </w:rPr>
              <w:t>纸片、沙子、木屑</w:t>
            </w:r>
            <w:r>
              <w:rPr>
                <w:rFonts w:hint="eastAsia" w:ascii="Times New Roman" w:hAnsi="Times New Roman" w:cs="Times New Roman"/>
                <w:bCs/>
                <w:color w:val="auto"/>
                <w:sz w:val="24"/>
                <w:highlight w:val="none"/>
                <w:lang w:val="en-US" w:eastAsia="zh-CN"/>
              </w:rPr>
              <w:t>），属性同生活垃圾，产生量约99.1625t/a，收集后暂存于一般固废暂存区，定期交由环卫部门统一拉运处置</w:t>
            </w:r>
            <w:r>
              <w:rPr>
                <w:rFonts w:hint="default" w:ascii="Times New Roman" w:hAnsi="Times New Roman" w:cs="Times New Roman"/>
                <w:color w:val="auto"/>
                <w:sz w:val="24"/>
                <w:highlight w:val="none"/>
              </w:rPr>
              <w:t>。</w:t>
            </w:r>
          </w:p>
          <w:p>
            <w:pPr>
              <w:pStyle w:val="59"/>
              <w:snapToGrid/>
              <w:ind w:firstLine="496" w:firstLineChars="200"/>
              <w:rPr>
                <w:rFonts w:hint="default" w:ascii="Times New Roman" w:hAnsi="Times New Roman" w:cs="Times New Roman"/>
                <w:bCs/>
                <w:color w:val="auto"/>
                <w:sz w:val="24"/>
                <w:highlight w:val="none"/>
                <w:lang w:val="en-US" w:eastAsia="zh-CN"/>
              </w:rPr>
            </w:pPr>
            <w:r>
              <w:rPr>
                <w:rFonts w:hint="eastAsia" w:ascii="Times New Roman" w:hAnsi="Times New Roman" w:cs="Times New Roman"/>
                <w:bCs/>
                <w:color w:val="auto"/>
                <w:sz w:val="24"/>
                <w:highlight w:val="none"/>
                <w:lang w:val="en-US" w:eastAsia="zh-CN"/>
              </w:rPr>
              <w:t>④废硅胶</w:t>
            </w:r>
          </w:p>
          <w:p>
            <w:pPr>
              <w:pStyle w:val="59"/>
              <w:snapToGrid/>
              <w:ind w:firstLine="496" w:firstLineChars="200"/>
              <w:rPr>
                <w:rFonts w:hint="eastAsia" w:ascii="Times New Roman" w:hAnsi="Times New Roman" w:cs="Times New Roman"/>
                <w:bCs/>
                <w:color w:val="auto"/>
                <w:sz w:val="24"/>
                <w:highlight w:val="none"/>
                <w:lang w:val="en-US" w:eastAsia="zh-CN"/>
              </w:rPr>
            </w:pPr>
            <w:r>
              <w:rPr>
                <w:rFonts w:hint="default" w:ascii="Times New Roman" w:hAnsi="Times New Roman" w:cs="Times New Roman"/>
                <w:bCs/>
                <w:color w:val="auto"/>
                <w:sz w:val="24"/>
                <w:highlight w:val="none"/>
              </w:rPr>
              <w:t>本项目</w:t>
            </w:r>
            <w:r>
              <w:rPr>
                <w:rFonts w:hint="eastAsia" w:ascii="Times New Roman" w:hAnsi="Times New Roman" w:cs="Times New Roman"/>
                <w:bCs/>
                <w:color w:val="auto"/>
                <w:sz w:val="24"/>
                <w:highlight w:val="none"/>
                <w:lang w:val="en-US" w:eastAsia="zh-CN"/>
              </w:rPr>
              <w:t>生产过程中分选出的废硅胶，产生量约1.2t/a，收集后暂存于一般固废暂存区，定期外售废硅胶回收单位回收利用</w:t>
            </w:r>
            <w:r>
              <w:rPr>
                <w:rFonts w:hint="default" w:ascii="Times New Roman" w:hAnsi="Times New Roman" w:cs="Times New Roman"/>
                <w:color w:val="auto"/>
                <w:sz w:val="24"/>
                <w:highlight w:val="none"/>
              </w:rPr>
              <w:t>。</w:t>
            </w:r>
          </w:p>
          <w:p>
            <w:pPr>
              <w:pStyle w:val="59"/>
              <w:snapToGrid/>
              <w:ind w:firstLine="496" w:firstLineChars="200"/>
              <w:rPr>
                <w:rFonts w:hint="default" w:ascii="Times New Roman" w:hAnsi="Times New Roman" w:eastAsia="宋体" w:cs="Times New Roman"/>
                <w:bCs/>
                <w:color w:val="auto"/>
                <w:sz w:val="24"/>
                <w:highlight w:val="none"/>
                <w:lang w:val="en-US" w:eastAsia="zh-CN"/>
              </w:rPr>
            </w:pPr>
            <w:r>
              <w:rPr>
                <w:rFonts w:hint="eastAsia" w:ascii="Times New Roman" w:hAnsi="Times New Roman" w:cs="Times New Roman"/>
                <w:bCs/>
                <w:color w:val="auto"/>
                <w:sz w:val="24"/>
                <w:highlight w:val="none"/>
                <w:lang w:val="en-US" w:eastAsia="zh-CN"/>
              </w:rPr>
              <w:t>⑤沉淀池底泥</w:t>
            </w:r>
          </w:p>
          <w:p>
            <w:pPr>
              <w:spacing w:line="360" w:lineRule="auto"/>
              <w:ind w:firstLine="480" w:firstLineChars="200"/>
              <w:rPr>
                <w:rFonts w:hint="default"/>
                <w:bCs/>
                <w:color w:val="auto"/>
                <w:sz w:val="24"/>
                <w:highlight w:val="none"/>
                <w:lang w:val="en-US"/>
              </w:rPr>
            </w:pPr>
            <w:r>
              <w:rPr>
                <w:rFonts w:hint="eastAsia"/>
                <w:bCs/>
                <w:color w:val="auto"/>
                <w:sz w:val="24"/>
                <w:highlight w:val="none"/>
                <w:lang w:val="en-US" w:eastAsia="zh-CN"/>
              </w:rPr>
              <w:t>本项目沉淀池会产生少量沉淀底泥，产生量约</w:t>
            </w:r>
            <w:r>
              <w:rPr>
                <w:rFonts w:hint="default" w:ascii="Times New Roman" w:hAnsi="Times New Roman" w:cs="Times New Roman"/>
                <w:bCs/>
                <w:color w:val="auto"/>
                <w:sz w:val="24"/>
                <w:highlight w:val="none"/>
                <w:lang w:val="en-US" w:eastAsia="zh-CN"/>
              </w:rPr>
              <w:t>0.</w:t>
            </w:r>
            <w:r>
              <w:rPr>
                <w:rFonts w:hint="eastAsia" w:ascii="Times New Roman" w:hAnsi="Times New Roman" w:cs="Times New Roman"/>
                <w:bCs/>
                <w:color w:val="auto"/>
                <w:sz w:val="24"/>
                <w:highlight w:val="none"/>
                <w:lang w:val="en-US" w:eastAsia="zh-CN"/>
              </w:rPr>
              <w:t>01</w:t>
            </w:r>
            <w:r>
              <w:rPr>
                <w:rFonts w:hint="default" w:ascii="Times New Roman" w:hAnsi="Times New Roman" w:cs="Times New Roman"/>
                <w:bCs/>
                <w:color w:val="auto"/>
                <w:sz w:val="24"/>
                <w:highlight w:val="none"/>
                <w:lang w:val="en-US" w:eastAsia="zh-CN"/>
              </w:rPr>
              <w:t>t/a</w:t>
            </w:r>
            <w:r>
              <w:rPr>
                <w:rFonts w:hint="eastAsia" w:ascii="Times New Roman" w:hAnsi="Times New Roman" w:cs="Times New Roman"/>
                <w:bCs/>
                <w:color w:val="auto"/>
                <w:sz w:val="24"/>
                <w:highlight w:val="none"/>
                <w:lang w:val="en-US" w:eastAsia="zh-CN"/>
              </w:rPr>
              <w:t>，沉淀池底泥产生量较少，成分较简单，主要为泥沙及粉尘，清掏周期较长，约1次/年，定期清掏</w:t>
            </w:r>
            <w:r>
              <w:rPr>
                <w:rFonts w:hint="eastAsia" w:ascii="Times New Roman" w:hAnsi="Times New Roman" w:cs="Times New Roman"/>
                <w:bCs/>
                <w:color w:val="auto"/>
                <w:sz w:val="24"/>
                <w:highlight w:val="none"/>
                <w:vertAlign w:val="baseline"/>
                <w:lang w:val="en-US" w:eastAsia="zh-CN"/>
              </w:rPr>
              <w:t>送就近建筑垃圾消纳场所处置。</w:t>
            </w:r>
          </w:p>
          <w:p>
            <w:pPr>
              <w:spacing w:line="360" w:lineRule="auto"/>
              <w:ind w:firstLine="480" w:firstLineChars="200"/>
              <w:rPr>
                <w:rFonts w:hint="eastAsia"/>
                <w:bCs/>
                <w:color w:val="auto"/>
                <w:sz w:val="24"/>
                <w:highlight w:val="none"/>
                <w:lang w:val="en-US" w:eastAsia="zh-CN"/>
              </w:rPr>
            </w:pPr>
            <w:r>
              <w:rPr>
                <w:rFonts w:hint="eastAsia"/>
                <w:bCs/>
                <w:color w:val="auto"/>
                <w:sz w:val="24"/>
                <w:highlight w:val="none"/>
                <w:lang w:val="en-US" w:eastAsia="zh-CN"/>
              </w:rPr>
              <w:t>⑥</w:t>
            </w:r>
            <w:r>
              <w:rPr>
                <w:rFonts w:hint="eastAsia"/>
                <w:bCs/>
                <w:color w:val="auto"/>
                <w:sz w:val="24"/>
                <w:highlight w:val="none"/>
                <w:lang w:val="en-US"/>
              </w:rPr>
              <w:t>除尘</w:t>
            </w:r>
            <w:r>
              <w:rPr>
                <w:rFonts w:hint="eastAsia"/>
                <w:bCs/>
                <w:color w:val="auto"/>
                <w:sz w:val="24"/>
                <w:highlight w:val="none"/>
                <w:lang w:val="en-US" w:eastAsia="zh-CN"/>
              </w:rPr>
              <w:t>灰</w:t>
            </w:r>
          </w:p>
          <w:p>
            <w:pPr>
              <w:spacing w:line="360" w:lineRule="auto"/>
              <w:ind w:firstLine="480" w:firstLineChars="200"/>
              <w:rPr>
                <w:rFonts w:hint="default"/>
                <w:bCs/>
                <w:color w:val="auto"/>
                <w:sz w:val="24"/>
                <w:highlight w:val="none"/>
                <w:lang w:val="en-US" w:eastAsia="zh-CN"/>
              </w:rPr>
            </w:pPr>
            <w:r>
              <w:rPr>
                <w:rFonts w:hint="eastAsia"/>
                <w:bCs/>
                <w:color w:val="auto"/>
                <w:sz w:val="24"/>
                <w:highlight w:val="none"/>
                <w:lang w:val="en-US" w:eastAsia="zh-CN"/>
              </w:rPr>
              <w:t>项目除尘器产生的粉尘，产生量约为</w:t>
            </w:r>
            <w:r>
              <w:rPr>
                <w:rFonts w:hint="eastAsia" w:ascii="Times New Roman" w:hAnsi="Times New Roman" w:cs="Times New Roman"/>
                <w:bCs/>
                <w:color w:val="auto"/>
                <w:sz w:val="24"/>
                <w:highlight w:val="none"/>
                <w:lang w:val="en-US" w:eastAsia="zh-CN"/>
              </w:rPr>
              <w:t>16.67763</w:t>
            </w:r>
            <w:r>
              <w:rPr>
                <w:rFonts w:hint="default" w:ascii="Times New Roman" w:hAnsi="Times New Roman" w:cs="Times New Roman"/>
                <w:bCs/>
                <w:color w:val="auto"/>
                <w:sz w:val="24"/>
                <w:highlight w:val="none"/>
                <w:lang w:val="en-US" w:eastAsia="zh-CN"/>
              </w:rPr>
              <w:t>t/a</w:t>
            </w:r>
            <w:r>
              <w:rPr>
                <w:rFonts w:hint="eastAsia"/>
                <w:bCs/>
                <w:color w:val="auto"/>
                <w:sz w:val="24"/>
                <w:highlight w:val="none"/>
                <w:lang w:val="en-US" w:eastAsia="zh-CN"/>
              </w:rPr>
              <w:t>，收集后暂存于一般固废暂存区，</w:t>
            </w:r>
            <w:r>
              <w:rPr>
                <w:rFonts w:hint="eastAsia" w:ascii="Times New Roman" w:hAnsi="Times New Roman" w:cs="Times New Roman"/>
                <w:bCs/>
                <w:color w:val="auto"/>
                <w:sz w:val="24"/>
                <w:highlight w:val="none"/>
                <w:lang w:val="en-US" w:eastAsia="zh-CN"/>
              </w:rPr>
              <w:t>定期交由环卫部门统一拉运处置</w:t>
            </w:r>
            <w:r>
              <w:rPr>
                <w:rFonts w:hint="eastAsia"/>
                <w:bCs/>
                <w:color w:val="auto"/>
                <w:sz w:val="24"/>
                <w:highlight w:val="none"/>
                <w:lang w:val="en-US" w:eastAsia="zh-CN"/>
              </w:rPr>
              <w:t>。</w:t>
            </w:r>
          </w:p>
          <w:p>
            <w:pPr>
              <w:spacing w:line="360" w:lineRule="auto"/>
              <w:ind w:firstLine="480" w:firstLineChars="200"/>
              <w:rPr>
                <w:rFonts w:hint="default" w:eastAsia="宋体"/>
                <w:bCs/>
                <w:color w:val="auto"/>
                <w:sz w:val="24"/>
                <w:highlight w:val="none"/>
                <w:lang w:val="en-US" w:eastAsia="zh-CN"/>
              </w:rPr>
            </w:pPr>
            <w:r>
              <w:rPr>
                <w:rFonts w:hint="eastAsia"/>
                <w:bCs/>
                <w:color w:val="auto"/>
                <w:sz w:val="24"/>
                <w:highlight w:val="none"/>
                <w:lang w:val="en-US" w:eastAsia="zh-CN"/>
              </w:rPr>
              <w:t>⑦危险废物</w:t>
            </w:r>
          </w:p>
          <w:p>
            <w:pPr>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本项目维修设备产生的废机油及废油桶为危险废物。</w:t>
            </w:r>
          </w:p>
          <w:p>
            <w:pPr>
              <w:spacing w:line="360" w:lineRule="auto"/>
              <w:ind w:firstLine="480" w:firstLineChars="20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本项目设备维修会产生废机油（HW08  900-214-08），产生量约0.1t/a，</w:t>
            </w:r>
            <w:r>
              <w:rPr>
                <w:rFonts w:hint="eastAsia" w:ascii="Times New Roman" w:hAnsi="Times New Roman" w:cs="Times New Roman"/>
                <w:color w:val="auto"/>
                <w:sz w:val="24"/>
                <w:szCs w:val="24"/>
                <w:highlight w:val="none"/>
                <w:lang w:val="en-US" w:eastAsia="zh-CN"/>
              </w:rPr>
              <w:t>暂存至本项目危险废物暂存间，定期交由有资质单位处置；废油桶（HW49  900-041-49）</w:t>
            </w:r>
            <w:r>
              <w:rPr>
                <w:rFonts w:hint="eastAsia" w:ascii="Times New Roman" w:hAnsi="Times New Roman" w:cs="Times New Roman"/>
                <w:color w:val="auto"/>
                <w:sz w:val="24"/>
                <w:highlight w:val="none"/>
                <w:lang w:val="en-US" w:eastAsia="zh-CN"/>
              </w:rPr>
              <w:t>产生量约1个/a，</w:t>
            </w:r>
            <w:r>
              <w:rPr>
                <w:rFonts w:hint="eastAsia" w:ascii="Times New Roman" w:hAnsi="Times New Roman" w:cs="Times New Roman"/>
                <w:color w:val="auto"/>
                <w:sz w:val="24"/>
                <w:szCs w:val="24"/>
                <w:highlight w:val="none"/>
                <w:lang w:val="en-US" w:eastAsia="zh-CN"/>
              </w:rPr>
              <w:t>存至本项目危险废物暂存间，定期交由有资质单位处置</w:t>
            </w:r>
            <w:r>
              <w:rPr>
                <w:rFonts w:hint="eastAsia" w:ascii="Times New Roman" w:hAnsi="Times New Roman" w:cs="Times New Roman"/>
                <w:color w:val="auto"/>
                <w:sz w:val="24"/>
                <w:highlight w:val="none"/>
                <w:lang w:val="en-US" w:eastAsia="zh-CN"/>
              </w:rPr>
              <w:t>。</w:t>
            </w:r>
          </w:p>
          <w:p>
            <w:pPr>
              <w:adjustRightInd w:val="0"/>
              <w:snapToGrid w:val="0"/>
              <w:spacing w:line="360" w:lineRule="auto"/>
              <w:ind w:firstLine="481" w:firstLineChars="200"/>
              <w:rPr>
                <w:rFonts w:ascii="Times New Roman" w:hAnsi="Times New Roman" w:cs="Times New Roman"/>
                <w:b/>
                <w:color w:val="auto"/>
                <w:sz w:val="24"/>
                <w:highlight w:val="none"/>
              </w:rPr>
            </w:pPr>
            <w:r>
              <w:rPr>
                <w:rFonts w:hint="eastAsia" w:ascii="Times New Roman" w:hAnsi="Times New Roman" w:cs="Times New Roman"/>
                <w:b/>
                <w:color w:val="auto"/>
                <w:sz w:val="24"/>
                <w:highlight w:val="none"/>
                <w:lang w:val="en-US" w:eastAsia="zh-CN"/>
              </w:rPr>
              <w:t>5</w:t>
            </w:r>
            <w:r>
              <w:rPr>
                <w:rFonts w:ascii="Times New Roman" w:hAnsi="Times New Roman" w:cs="Times New Roman"/>
                <w:b/>
                <w:color w:val="auto"/>
                <w:sz w:val="24"/>
                <w:highlight w:val="none"/>
              </w:rPr>
              <w:t>、环境管理与监测计划</w:t>
            </w:r>
          </w:p>
          <w:p>
            <w:pPr>
              <w:numPr>
                <w:ilvl w:val="0"/>
                <w:numId w:val="0"/>
              </w:numPr>
              <w:adjustRightInd w:val="0"/>
              <w:snapToGrid w:val="0"/>
              <w:spacing w:line="360" w:lineRule="auto"/>
              <w:ind w:left="360" w:leftChars="0"/>
              <w:rPr>
                <w:rFonts w:hint="default" w:ascii="Times New Roman" w:hAnsi="Times New Roman" w:cs="Times New Roman"/>
                <w:color w:val="auto"/>
                <w:sz w:val="24"/>
                <w:szCs w:val="24"/>
                <w:highlight w:val="none"/>
                <w:lang w:val="en-US" w:eastAsia="zh-CN"/>
              </w:rPr>
            </w:pPr>
            <w:r>
              <w:rPr>
                <w:rFonts w:hint="eastAsia"/>
                <w:color w:val="auto"/>
                <w:sz w:val="24"/>
                <w:szCs w:val="24"/>
                <w:highlight w:val="none"/>
                <w:lang w:val="en-US" w:eastAsia="zh-CN"/>
              </w:rPr>
              <w:t>（1）风</w:t>
            </w:r>
            <w:r>
              <w:rPr>
                <w:rFonts w:hint="default" w:ascii="Times New Roman" w:hAnsi="Times New Roman" w:cs="Times New Roman"/>
                <w:color w:val="auto"/>
                <w:sz w:val="24"/>
                <w:szCs w:val="24"/>
                <w:highlight w:val="none"/>
                <w:lang w:val="en-US" w:eastAsia="zh-CN"/>
              </w:rPr>
              <w:t>险识别</w:t>
            </w:r>
          </w:p>
          <w:p>
            <w:pPr>
              <w:numPr>
                <w:ilvl w:val="0"/>
                <w:numId w:val="0"/>
              </w:numPr>
              <w:adjustRightInd w:val="0"/>
              <w:snapToGrid w:val="0"/>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对照《建设项目环境风险评价技术导则》（HJ169-2018）附录中B，本项目</w:t>
            </w:r>
            <w:r>
              <w:rPr>
                <w:rFonts w:hint="eastAsia" w:ascii="Times New Roman" w:hAnsi="Times New Roman" w:cs="Times New Roman"/>
                <w:color w:val="auto"/>
                <w:sz w:val="24"/>
                <w:szCs w:val="24"/>
                <w:highlight w:val="none"/>
                <w:lang w:val="en-US" w:eastAsia="zh-CN"/>
              </w:rPr>
              <w:t>不</w:t>
            </w:r>
            <w:r>
              <w:rPr>
                <w:rFonts w:hint="default" w:ascii="Times New Roman" w:hAnsi="Times New Roman" w:cs="Times New Roman"/>
                <w:color w:val="auto"/>
                <w:sz w:val="24"/>
                <w:szCs w:val="24"/>
                <w:highlight w:val="none"/>
                <w:lang w:val="en-US" w:eastAsia="zh-CN"/>
              </w:rPr>
              <w:t>涉及风险物质</w:t>
            </w:r>
            <w:r>
              <w:rPr>
                <w:rFonts w:hint="eastAsia" w:ascii="Times New Roman" w:hAnsi="Times New Roman" w:cs="Times New Roman"/>
                <w:color w:val="auto"/>
                <w:sz w:val="24"/>
                <w:szCs w:val="24"/>
                <w:highlight w:val="none"/>
                <w:lang w:val="en-US" w:eastAsia="zh-CN"/>
              </w:rPr>
              <w:t>存放</w:t>
            </w:r>
            <w:r>
              <w:rPr>
                <w:rFonts w:hint="default" w:ascii="Times New Roman" w:hAnsi="Times New Roman" w:cs="Times New Roman"/>
                <w:color w:val="auto"/>
                <w:sz w:val="24"/>
                <w:szCs w:val="24"/>
                <w:highlight w:val="none"/>
                <w:lang w:val="en-US" w:eastAsia="zh-CN"/>
              </w:rPr>
              <w:t>。</w:t>
            </w:r>
          </w:p>
          <w:p>
            <w:pPr>
              <w:numPr>
                <w:ilvl w:val="0"/>
                <w:numId w:val="0"/>
              </w:numPr>
              <w:adjustRightInd w:val="0"/>
              <w:snapToGrid w:val="0"/>
              <w:spacing w:line="360" w:lineRule="auto"/>
              <w:ind w:left="360" w:leftChars="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 （2）环境风险辨识</w:t>
            </w:r>
          </w:p>
          <w:p>
            <w:pPr>
              <w:numPr>
                <w:ilvl w:val="0"/>
                <w:numId w:val="0"/>
              </w:numPr>
              <w:adjustRightInd w:val="0"/>
              <w:snapToGrid w:val="0"/>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计算所涉及的每种危险物质在厂界内的最大存在总量与其在《建设项目环境风险评价技术导则》（HJ/T169-2018）附录 B 中对应临界量的比值Q。在不同厂区的同一种物质，按其在厂界内的最大存在总量计算。对于长输管线项目，按照两个截断阀室之间管段危险物质最大存在总量计算。</w:t>
            </w:r>
          </w:p>
          <w:p>
            <w:pPr>
              <w:numPr>
                <w:ilvl w:val="0"/>
                <w:numId w:val="0"/>
              </w:numPr>
              <w:adjustRightInd w:val="0"/>
              <w:snapToGrid w:val="0"/>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当只涉及1种危险物质时，计算该物质的总量与其临界量比值，即为L；</w:t>
            </w:r>
          </w:p>
          <w:p>
            <w:pPr>
              <w:numPr>
                <w:ilvl w:val="0"/>
                <w:numId w:val="0"/>
              </w:numPr>
              <w:adjustRightInd w:val="0"/>
              <w:snapToGrid w:val="0"/>
              <w:spacing w:line="360" w:lineRule="auto"/>
              <w:ind w:left="0" w:leftChars="0" w:firstLine="480" w:firstLineChars="200"/>
              <w:rPr>
                <w:rFonts w:hint="eastAsia"/>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本项目废润滑油年最大储存量为0.</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t，矿物油类临界量为2500t，计算得出危险物质与临界量的比值Q=</w:t>
            </w:r>
            <w:r>
              <w:rPr>
                <w:rFonts w:hint="eastAsia" w:ascii="Times New Roman" w:hAnsi="Times New Roman" w:cs="Times New Roman"/>
                <w:color w:val="auto"/>
                <w:sz w:val="24"/>
                <w:szCs w:val="24"/>
                <w:highlight w:val="none"/>
                <w:lang w:val="en-US" w:eastAsia="zh-CN"/>
              </w:rPr>
              <w:t>0.1</w:t>
            </w:r>
            <w:r>
              <w:rPr>
                <w:rFonts w:hint="default" w:ascii="Times New Roman" w:hAnsi="Times New Roman" w:cs="Times New Roman"/>
                <w:color w:val="auto"/>
                <w:sz w:val="24"/>
                <w:szCs w:val="24"/>
                <w:highlight w:val="none"/>
                <w:lang w:val="en-US" w:eastAsia="zh-CN"/>
              </w:rPr>
              <w:t>/2500=0.0</w:t>
            </w:r>
            <w:r>
              <w:rPr>
                <w:rFonts w:hint="eastAsia" w:ascii="Times New Roman" w:hAnsi="Times New Roman" w:cs="Times New Roman"/>
                <w:color w:val="auto"/>
                <w:sz w:val="24"/>
                <w:szCs w:val="24"/>
                <w:highlight w:val="none"/>
                <w:lang w:val="en-US" w:eastAsia="zh-CN"/>
              </w:rPr>
              <w:t>0004，</w:t>
            </w:r>
            <w:r>
              <w:rPr>
                <w:rFonts w:hint="default" w:ascii="Times New Roman" w:hAnsi="Times New Roman" w:cs="Times New Roman"/>
                <w:color w:val="auto"/>
                <w:sz w:val="24"/>
                <w:szCs w:val="24"/>
                <w:highlight w:val="none"/>
                <w:lang w:val="en-US" w:eastAsia="zh-CN"/>
              </w:rPr>
              <w:t>Q&lt;1，因此企业环境风险潜势为Ⅰ。</w:t>
            </w:r>
          </w:p>
          <w:p>
            <w:pPr>
              <w:keepNext w:val="0"/>
              <w:keepLines w:val="0"/>
              <w:widowControl/>
              <w:suppressLineNumbers w:val="0"/>
              <w:spacing w:line="360" w:lineRule="auto"/>
              <w:ind w:firstLine="480" w:firstLineChars="200"/>
              <w:jc w:val="left"/>
              <w:rPr>
                <w:color w:val="auto"/>
                <w:highlight w:val="none"/>
              </w:rPr>
            </w:pP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）评价等级</w:t>
            </w:r>
          </w:p>
          <w:p>
            <w:pPr>
              <w:keepNext w:val="0"/>
              <w:keepLines w:val="0"/>
              <w:widowControl/>
              <w:suppressLineNumbers w:val="0"/>
              <w:spacing w:line="360" w:lineRule="auto"/>
              <w:ind w:firstLine="480" w:firstLineChars="200"/>
              <w:jc w:val="left"/>
              <w:rPr>
                <w:rFonts w:hint="default"/>
                <w:color w:val="auto"/>
                <w:highlight w:val="none"/>
                <w:lang w:val="en-US"/>
              </w:rPr>
            </w:pPr>
            <w:r>
              <w:rPr>
                <w:rFonts w:hint="eastAsia" w:ascii="宋体" w:hAnsi="宋体" w:eastAsia="宋体" w:cs="宋体"/>
                <w:color w:val="auto"/>
                <w:kern w:val="0"/>
                <w:sz w:val="24"/>
                <w:szCs w:val="24"/>
                <w:highlight w:val="none"/>
                <w:lang w:val="en-US" w:eastAsia="zh-CN" w:bidi="ar"/>
              </w:rPr>
              <w:t>根据前述，企业环境风险潜势为</w:t>
            </w:r>
            <w:r>
              <w:rPr>
                <w:rFonts w:hint="default" w:ascii="Times New Roman" w:hAnsi="Times New Roman" w:eastAsia="宋体" w:cs="Times New Roman"/>
                <w:color w:val="auto"/>
                <w:kern w:val="0"/>
                <w:sz w:val="24"/>
                <w:szCs w:val="24"/>
                <w:highlight w:val="none"/>
                <w:lang w:val="en-US" w:eastAsia="zh-CN" w:bidi="ar"/>
              </w:rPr>
              <w:t>Ⅰ</w:t>
            </w:r>
            <w:r>
              <w:rPr>
                <w:rFonts w:hint="eastAsia" w:ascii="宋体" w:hAnsi="宋体" w:eastAsia="宋体" w:cs="宋体"/>
                <w:color w:val="auto"/>
                <w:kern w:val="0"/>
                <w:sz w:val="24"/>
                <w:szCs w:val="24"/>
                <w:highlight w:val="none"/>
                <w:lang w:val="en-US" w:eastAsia="zh-CN" w:bidi="ar"/>
              </w:rPr>
              <w:t>，因此确定公司环境风险评价等级为简单分析。见表</w:t>
            </w:r>
            <w:r>
              <w:rPr>
                <w:rFonts w:hint="default" w:ascii="Times New Roman" w:hAnsi="Times New Roman" w:eastAsia="宋体" w:cs="Times New Roman"/>
                <w:color w:val="auto"/>
                <w:kern w:val="0"/>
                <w:sz w:val="24"/>
                <w:szCs w:val="24"/>
                <w:highlight w:val="none"/>
                <w:lang w:val="en-US" w:eastAsia="zh-CN" w:bidi="ar"/>
              </w:rPr>
              <w:t>4-</w:t>
            </w:r>
            <w:r>
              <w:rPr>
                <w:rFonts w:hint="eastAsia" w:ascii="Times New Roman" w:hAnsi="Times New Roman" w:cs="Times New Roman"/>
                <w:color w:val="auto"/>
                <w:kern w:val="0"/>
                <w:sz w:val="24"/>
                <w:szCs w:val="24"/>
                <w:highlight w:val="none"/>
                <w:lang w:val="en-US" w:eastAsia="zh-CN" w:bidi="ar"/>
              </w:rPr>
              <w:t>4</w:t>
            </w:r>
            <w:r>
              <w:rPr>
                <w:rFonts w:hint="eastAsia" w:ascii="Times New Roman" w:hAnsi="Times New Roman" w:eastAsia="宋体" w:cs="Times New Roman"/>
                <w:color w:val="auto"/>
                <w:kern w:val="0"/>
                <w:sz w:val="24"/>
                <w:szCs w:val="24"/>
                <w:highlight w:val="none"/>
                <w:lang w:val="en-US" w:eastAsia="zh-CN" w:bidi="ar"/>
              </w:rPr>
              <w:t>。</w:t>
            </w:r>
          </w:p>
          <w:p>
            <w:pPr>
              <w:numPr>
                <w:ilvl w:val="0"/>
                <w:numId w:val="0"/>
              </w:numPr>
              <w:adjustRightInd w:val="0"/>
              <w:snapToGrid w:val="0"/>
              <w:spacing w:line="240" w:lineRule="auto"/>
              <w:jc w:val="center"/>
              <w:rPr>
                <w:rFonts w:hint="default" w:ascii="Times New Roman" w:hAnsi="Times New Roman" w:eastAsia="宋体" w:cs="Times New Roman"/>
                <w:b/>
                <w:bCs w:val="0"/>
                <w:color w:val="auto"/>
                <w:spacing w:val="-10"/>
                <w:sz w:val="24"/>
                <w:szCs w:val="24"/>
                <w:highlight w:val="none"/>
                <w:vertAlign w:val="baseline"/>
                <w:lang w:val="en-US" w:eastAsia="zh-CN"/>
              </w:rPr>
            </w:pPr>
            <w:r>
              <w:rPr>
                <w:rFonts w:hint="default" w:ascii="Times New Roman" w:hAnsi="Times New Roman" w:eastAsia="宋体" w:cs="Times New Roman"/>
                <w:b/>
                <w:bCs w:val="0"/>
                <w:color w:val="auto"/>
                <w:spacing w:val="-10"/>
                <w:sz w:val="24"/>
                <w:szCs w:val="24"/>
                <w:highlight w:val="none"/>
                <w:lang w:val="en-US" w:eastAsia="zh-CN"/>
              </w:rPr>
              <w:t>表4-</w:t>
            </w:r>
            <w:r>
              <w:rPr>
                <w:rFonts w:hint="eastAsia" w:ascii="Times New Roman" w:hAnsi="Times New Roman" w:cs="Times New Roman"/>
                <w:b/>
                <w:bCs w:val="0"/>
                <w:color w:val="auto"/>
                <w:spacing w:val="-10"/>
                <w:sz w:val="24"/>
                <w:szCs w:val="24"/>
                <w:highlight w:val="none"/>
                <w:lang w:val="en-US" w:eastAsia="zh-CN"/>
              </w:rPr>
              <w:t>4</w:t>
            </w:r>
            <w:r>
              <w:rPr>
                <w:rFonts w:hint="default" w:ascii="Times New Roman" w:hAnsi="Times New Roman" w:eastAsia="宋体" w:cs="Times New Roman"/>
                <w:b/>
                <w:bCs w:val="0"/>
                <w:color w:val="auto"/>
                <w:spacing w:val="-10"/>
                <w:sz w:val="24"/>
                <w:szCs w:val="24"/>
                <w:highlight w:val="none"/>
                <w:lang w:val="en-US" w:eastAsia="zh-CN"/>
              </w:rPr>
              <w:t xml:space="preserve">  评价工作等级划分表</w:t>
            </w:r>
          </w:p>
          <w:tbl>
            <w:tblPr>
              <w:tblStyle w:val="23"/>
              <w:tblW w:w="49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5"/>
              <w:gridCol w:w="1866"/>
              <w:gridCol w:w="1866"/>
              <w:gridCol w:w="1866"/>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9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Times New Roman" w:hAnsi="Times New Roman" w:eastAsia="宋体" w:cs="Times New Roman"/>
                      <w:bCs/>
                      <w:color w:val="auto"/>
                      <w:spacing w:val="-10"/>
                      <w:sz w:val="21"/>
                      <w:szCs w:val="21"/>
                      <w:highlight w:val="none"/>
                      <w:vertAlign w:val="baseline"/>
                      <w:lang w:val="en-US" w:eastAsia="zh-CN"/>
                    </w:rPr>
                  </w:pPr>
                  <w:r>
                    <w:rPr>
                      <w:rFonts w:hint="default" w:ascii="Times New Roman" w:hAnsi="Times New Roman" w:eastAsia="宋体" w:cs="Times New Roman"/>
                      <w:bCs/>
                      <w:color w:val="auto"/>
                      <w:spacing w:val="-10"/>
                      <w:sz w:val="21"/>
                      <w:szCs w:val="21"/>
                      <w:highlight w:val="none"/>
                      <w:vertAlign w:val="baseline"/>
                      <w:lang w:val="en-US" w:eastAsia="zh-CN"/>
                    </w:rPr>
                    <w:t>环境风险潜势</w:t>
                  </w:r>
                </w:p>
              </w:tc>
              <w:tc>
                <w:tcPr>
                  <w:tcW w:w="99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Times New Roman" w:hAnsi="Times New Roman" w:eastAsia="宋体" w:cs="Times New Roman"/>
                      <w:bCs/>
                      <w:color w:val="auto"/>
                      <w:spacing w:val="-10"/>
                      <w:sz w:val="21"/>
                      <w:szCs w:val="21"/>
                      <w:highlight w:val="none"/>
                      <w:vertAlign w:val="baseline"/>
                      <w:lang w:val="en-US" w:eastAsia="zh-CN"/>
                    </w:rPr>
                  </w:pPr>
                  <w:r>
                    <w:rPr>
                      <w:rFonts w:hint="default" w:ascii="Times New Roman" w:hAnsi="Times New Roman" w:eastAsia="宋体" w:cs="Times New Roman"/>
                      <w:bCs/>
                      <w:color w:val="auto"/>
                      <w:spacing w:val="-10"/>
                      <w:sz w:val="21"/>
                      <w:szCs w:val="21"/>
                      <w:highlight w:val="none"/>
                      <w:vertAlign w:val="baseline"/>
                      <w:lang w:val="en-US" w:eastAsia="zh-CN"/>
                    </w:rPr>
                    <w:t>Ⅳ、Ⅳ+</w:t>
                  </w:r>
                </w:p>
              </w:tc>
              <w:tc>
                <w:tcPr>
                  <w:tcW w:w="99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Times New Roman" w:hAnsi="Times New Roman" w:eastAsia="宋体" w:cs="Times New Roman"/>
                      <w:bCs/>
                      <w:color w:val="auto"/>
                      <w:spacing w:val="-10"/>
                      <w:sz w:val="21"/>
                      <w:szCs w:val="21"/>
                      <w:highlight w:val="none"/>
                      <w:vertAlign w:val="baseline"/>
                      <w:lang w:val="en-US" w:eastAsia="zh-CN"/>
                    </w:rPr>
                  </w:pPr>
                  <w:r>
                    <w:rPr>
                      <w:rFonts w:hint="default" w:ascii="Times New Roman" w:hAnsi="Times New Roman" w:eastAsia="宋体" w:cs="Times New Roman"/>
                      <w:bCs/>
                      <w:color w:val="auto"/>
                      <w:spacing w:val="-10"/>
                      <w:sz w:val="21"/>
                      <w:szCs w:val="21"/>
                      <w:highlight w:val="none"/>
                      <w:vertAlign w:val="baseline"/>
                      <w:lang w:val="en-US" w:eastAsia="zh-CN"/>
                    </w:rPr>
                    <w:t>Ⅲ</w:t>
                  </w:r>
                </w:p>
              </w:tc>
              <w:tc>
                <w:tcPr>
                  <w:tcW w:w="99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Times New Roman" w:hAnsi="Times New Roman" w:eastAsia="宋体" w:cs="Times New Roman"/>
                      <w:bCs/>
                      <w:color w:val="auto"/>
                      <w:spacing w:val="-10"/>
                      <w:sz w:val="21"/>
                      <w:szCs w:val="21"/>
                      <w:highlight w:val="none"/>
                      <w:vertAlign w:val="baseline"/>
                      <w:lang w:val="en-US" w:eastAsia="zh-CN"/>
                    </w:rPr>
                  </w:pPr>
                  <w:r>
                    <w:rPr>
                      <w:rFonts w:hint="default" w:ascii="Times New Roman" w:hAnsi="Times New Roman" w:eastAsia="宋体" w:cs="Times New Roman"/>
                      <w:bCs/>
                      <w:color w:val="auto"/>
                      <w:spacing w:val="-10"/>
                      <w:sz w:val="21"/>
                      <w:szCs w:val="21"/>
                      <w:highlight w:val="none"/>
                      <w:vertAlign w:val="baseline"/>
                      <w:lang w:val="en-US" w:eastAsia="zh-CN"/>
                    </w:rPr>
                    <w:t>Ⅱ</w:t>
                  </w:r>
                </w:p>
              </w:tc>
              <w:tc>
                <w:tcPr>
                  <w:tcW w:w="1003"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Times New Roman" w:hAnsi="Times New Roman" w:eastAsia="宋体" w:cs="Times New Roman"/>
                      <w:bCs/>
                      <w:color w:val="auto"/>
                      <w:spacing w:val="-10"/>
                      <w:sz w:val="21"/>
                      <w:szCs w:val="21"/>
                      <w:highlight w:val="none"/>
                      <w:vertAlign w:val="baseline"/>
                      <w:lang w:val="en-US" w:eastAsia="zh-CN"/>
                    </w:rPr>
                  </w:pPr>
                  <w:r>
                    <w:rPr>
                      <w:rFonts w:hint="default" w:ascii="Times New Roman" w:hAnsi="Times New Roman" w:eastAsia="宋体" w:cs="Times New Roman"/>
                      <w:bCs/>
                      <w:color w:val="auto"/>
                      <w:spacing w:val="-10"/>
                      <w:sz w:val="21"/>
                      <w:szCs w:val="21"/>
                      <w:highlight w:val="none"/>
                      <w:vertAlign w:val="baseline"/>
                      <w:lang w:val="en-US" w:eastAsia="zh-C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9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Times New Roman" w:hAnsi="Times New Roman" w:eastAsia="宋体" w:cs="Times New Roman"/>
                      <w:bCs/>
                      <w:color w:val="auto"/>
                      <w:spacing w:val="-10"/>
                      <w:sz w:val="21"/>
                      <w:szCs w:val="21"/>
                      <w:highlight w:val="none"/>
                      <w:vertAlign w:val="baseline"/>
                      <w:lang w:val="en-US" w:eastAsia="zh-CN"/>
                    </w:rPr>
                  </w:pPr>
                  <w:r>
                    <w:rPr>
                      <w:rFonts w:hint="default" w:ascii="Times New Roman" w:hAnsi="Times New Roman" w:eastAsia="宋体" w:cs="Times New Roman"/>
                      <w:bCs/>
                      <w:color w:val="auto"/>
                      <w:spacing w:val="-10"/>
                      <w:sz w:val="21"/>
                      <w:szCs w:val="21"/>
                      <w:highlight w:val="none"/>
                      <w:vertAlign w:val="baseline"/>
                      <w:lang w:val="en-US" w:eastAsia="zh-CN"/>
                    </w:rPr>
                    <w:t>评级工作等级</w:t>
                  </w:r>
                </w:p>
              </w:tc>
              <w:tc>
                <w:tcPr>
                  <w:tcW w:w="99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Times New Roman" w:hAnsi="Times New Roman" w:eastAsia="宋体" w:cs="Times New Roman"/>
                      <w:bCs/>
                      <w:color w:val="auto"/>
                      <w:spacing w:val="-10"/>
                      <w:sz w:val="21"/>
                      <w:szCs w:val="21"/>
                      <w:highlight w:val="none"/>
                      <w:vertAlign w:val="baseline"/>
                      <w:lang w:val="en-US" w:eastAsia="zh-CN"/>
                    </w:rPr>
                  </w:pPr>
                  <w:r>
                    <w:rPr>
                      <w:rFonts w:hint="default" w:ascii="Times New Roman" w:hAnsi="Times New Roman" w:eastAsia="宋体" w:cs="Times New Roman"/>
                      <w:bCs/>
                      <w:color w:val="auto"/>
                      <w:spacing w:val="-10"/>
                      <w:sz w:val="21"/>
                      <w:szCs w:val="21"/>
                      <w:highlight w:val="none"/>
                      <w:vertAlign w:val="baseline"/>
                      <w:lang w:val="en-US" w:eastAsia="zh-CN"/>
                    </w:rPr>
                    <w:t>一</w:t>
                  </w:r>
                </w:p>
              </w:tc>
              <w:tc>
                <w:tcPr>
                  <w:tcW w:w="99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Times New Roman" w:hAnsi="Times New Roman" w:eastAsia="宋体" w:cs="Times New Roman"/>
                      <w:bCs/>
                      <w:color w:val="auto"/>
                      <w:spacing w:val="-10"/>
                      <w:sz w:val="21"/>
                      <w:szCs w:val="21"/>
                      <w:highlight w:val="none"/>
                      <w:vertAlign w:val="baseline"/>
                      <w:lang w:val="en-US" w:eastAsia="zh-CN"/>
                    </w:rPr>
                  </w:pPr>
                  <w:r>
                    <w:rPr>
                      <w:rFonts w:hint="default" w:ascii="Times New Roman" w:hAnsi="Times New Roman" w:eastAsia="宋体" w:cs="Times New Roman"/>
                      <w:bCs/>
                      <w:color w:val="auto"/>
                      <w:spacing w:val="-10"/>
                      <w:sz w:val="21"/>
                      <w:szCs w:val="21"/>
                      <w:highlight w:val="none"/>
                      <w:vertAlign w:val="baseline"/>
                      <w:lang w:val="en-US" w:eastAsia="zh-CN"/>
                    </w:rPr>
                    <w:t>二</w:t>
                  </w:r>
                </w:p>
              </w:tc>
              <w:tc>
                <w:tcPr>
                  <w:tcW w:w="99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Times New Roman" w:hAnsi="Times New Roman" w:eastAsia="宋体" w:cs="Times New Roman"/>
                      <w:bCs/>
                      <w:color w:val="auto"/>
                      <w:spacing w:val="-10"/>
                      <w:sz w:val="21"/>
                      <w:szCs w:val="21"/>
                      <w:highlight w:val="none"/>
                      <w:vertAlign w:val="baseline"/>
                      <w:lang w:val="en-US" w:eastAsia="zh-CN"/>
                    </w:rPr>
                  </w:pPr>
                  <w:r>
                    <w:rPr>
                      <w:rFonts w:hint="default" w:ascii="Times New Roman" w:hAnsi="Times New Roman" w:eastAsia="宋体" w:cs="Times New Roman"/>
                      <w:bCs/>
                      <w:color w:val="auto"/>
                      <w:spacing w:val="-10"/>
                      <w:sz w:val="21"/>
                      <w:szCs w:val="21"/>
                      <w:highlight w:val="none"/>
                      <w:vertAlign w:val="baseline"/>
                      <w:lang w:val="en-US" w:eastAsia="zh-CN"/>
                    </w:rPr>
                    <w:t>三</w:t>
                  </w:r>
                </w:p>
              </w:tc>
              <w:tc>
                <w:tcPr>
                  <w:tcW w:w="1003"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Times New Roman" w:hAnsi="Times New Roman" w:eastAsia="宋体" w:cs="Times New Roman"/>
                      <w:bCs/>
                      <w:color w:val="auto"/>
                      <w:spacing w:val="-10"/>
                      <w:sz w:val="21"/>
                      <w:szCs w:val="21"/>
                      <w:highlight w:val="none"/>
                      <w:vertAlign w:val="baseline"/>
                      <w:lang w:val="en-US" w:eastAsia="zh-CN"/>
                    </w:rPr>
                  </w:pPr>
                  <w:r>
                    <w:rPr>
                      <w:rFonts w:hint="default" w:ascii="Times New Roman" w:hAnsi="Times New Roman" w:eastAsia="宋体" w:cs="Times New Roman"/>
                      <w:bCs/>
                      <w:color w:val="auto"/>
                      <w:spacing w:val="-10"/>
                      <w:sz w:val="21"/>
                      <w:szCs w:val="21"/>
                      <w:highlight w:val="none"/>
                      <w:vertAlign w:val="baseline"/>
                      <w:lang w:val="en-US" w:eastAsia="zh-CN"/>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000" w:type="pct"/>
                  <w:gridSpan w:val="5"/>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before="95" w:beforeLines="30" w:line="360" w:lineRule="auto"/>
                    <w:jc w:val="center"/>
                    <w:textAlignment w:val="auto"/>
                    <w:rPr>
                      <w:rFonts w:hint="default" w:ascii="宋体" w:hAnsi="宋体" w:eastAsia="宋体" w:cs="宋体"/>
                      <w:bCs/>
                      <w:color w:val="auto"/>
                      <w:spacing w:val="-10"/>
                      <w:sz w:val="21"/>
                      <w:szCs w:val="21"/>
                      <w:highlight w:val="none"/>
                      <w:vertAlign w:val="baseline"/>
                      <w:lang w:val="en-US" w:eastAsia="zh-CN"/>
                    </w:rPr>
                  </w:pPr>
                  <w:r>
                    <w:rPr>
                      <w:rFonts w:hint="eastAsia" w:ascii="宋体" w:hAnsi="宋体" w:eastAsia="宋体" w:cs="宋体"/>
                      <w:bCs/>
                      <w:color w:val="auto"/>
                      <w:spacing w:val="-10"/>
                      <w:sz w:val="21"/>
                      <w:szCs w:val="21"/>
                      <w:highlight w:val="none"/>
                      <w:vertAlign w:val="baseline"/>
                      <w:lang w:val="en-US" w:eastAsia="zh-CN"/>
                    </w:rPr>
                    <w:t>*相对于详细评价工作</w:t>
                  </w:r>
                </w:p>
              </w:tc>
            </w:tr>
          </w:tbl>
          <w:p>
            <w:pPr>
              <w:numPr>
                <w:ilvl w:val="0"/>
                <w:numId w:val="0"/>
              </w:numPr>
              <w:adjustRightInd w:val="0"/>
              <w:snapToGrid w:val="0"/>
              <w:spacing w:line="360" w:lineRule="auto"/>
              <w:ind w:firstLine="440" w:firstLineChars="200"/>
              <w:rPr>
                <w:rFonts w:hint="eastAsia"/>
                <w:bCs/>
                <w:color w:val="auto"/>
                <w:spacing w:val="-10"/>
                <w:sz w:val="24"/>
                <w:highlight w:val="none"/>
                <w:lang w:eastAsia="zh-CN"/>
              </w:rPr>
            </w:pPr>
            <w:r>
              <w:rPr>
                <w:rFonts w:hint="default" w:ascii="Times New Roman" w:hAnsi="Times New Roman" w:cs="Times New Roman"/>
                <w:bCs/>
                <w:color w:val="auto"/>
                <w:spacing w:val="-10"/>
                <w:sz w:val="24"/>
                <w:highlight w:val="none"/>
                <w:lang w:eastAsia="zh-CN"/>
              </w:rPr>
              <w:t>（</w:t>
            </w:r>
            <w:r>
              <w:rPr>
                <w:rFonts w:hint="default" w:ascii="Times New Roman" w:hAnsi="Times New Roman" w:cs="Times New Roman"/>
                <w:bCs/>
                <w:color w:val="auto"/>
                <w:spacing w:val="-10"/>
                <w:sz w:val="24"/>
                <w:highlight w:val="none"/>
                <w:lang w:val="en-US" w:eastAsia="zh-CN"/>
              </w:rPr>
              <w:t>4</w:t>
            </w:r>
            <w:r>
              <w:rPr>
                <w:rFonts w:hint="default" w:ascii="Times New Roman" w:hAnsi="Times New Roman" w:cs="Times New Roman"/>
                <w:bCs/>
                <w:color w:val="auto"/>
                <w:spacing w:val="-10"/>
                <w:sz w:val="24"/>
                <w:highlight w:val="none"/>
                <w:lang w:eastAsia="zh-CN"/>
              </w:rPr>
              <w:t>）环境风险简单分析</w:t>
            </w:r>
            <w:r>
              <w:rPr>
                <w:rFonts w:hint="eastAsia"/>
                <w:bCs/>
                <w:color w:val="auto"/>
                <w:spacing w:val="-10"/>
                <w:sz w:val="24"/>
                <w:highlight w:val="none"/>
                <w:lang w:eastAsia="zh-CN"/>
              </w:rPr>
              <w:t>内容表。</w:t>
            </w:r>
          </w:p>
          <w:p>
            <w:pPr>
              <w:pStyle w:val="48"/>
              <w:jc w:val="center"/>
              <w:rPr>
                <w:rFonts w:hint="eastAsia" w:ascii="宋体" w:hAnsi="宋体" w:eastAsia="宋体" w:cs="宋体"/>
                <w:bCs/>
                <w:color w:val="auto"/>
                <w:spacing w:val="-10"/>
                <w:w w:val="100"/>
                <w:kern w:val="2"/>
                <w:sz w:val="24"/>
                <w:szCs w:val="24"/>
                <w:highlight w:val="none"/>
                <w:vertAlign w:val="baseline"/>
                <w:lang w:val="en-US" w:eastAsia="zh-CN" w:bidi="ar-SA"/>
              </w:rPr>
            </w:pPr>
            <w:r>
              <w:rPr>
                <w:rFonts w:hint="eastAsia" w:ascii="宋体" w:hAnsi="宋体" w:eastAsia="宋体" w:cs="宋体"/>
                <w:b/>
                <w:bCs w:val="0"/>
                <w:color w:val="auto"/>
                <w:spacing w:val="-10"/>
                <w:w w:val="100"/>
                <w:kern w:val="2"/>
                <w:sz w:val="24"/>
                <w:szCs w:val="24"/>
                <w:highlight w:val="none"/>
                <w:lang w:val="en-US" w:eastAsia="zh-CN" w:bidi="ar-SA"/>
              </w:rPr>
              <w:t>表</w:t>
            </w:r>
            <w:r>
              <w:rPr>
                <w:rFonts w:hint="default" w:ascii="Times New Roman" w:hAnsi="Times New Roman" w:eastAsia="宋体" w:cs="Times New Roman"/>
                <w:b/>
                <w:bCs w:val="0"/>
                <w:color w:val="auto"/>
                <w:spacing w:val="-10"/>
                <w:w w:val="100"/>
                <w:kern w:val="2"/>
                <w:sz w:val="24"/>
                <w:szCs w:val="24"/>
                <w:highlight w:val="none"/>
                <w:lang w:val="en-US" w:eastAsia="zh-CN" w:bidi="ar-SA"/>
              </w:rPr>
              <w:t>4-</w:t>
            </w:r>
            <w:r>
              <w:rPr>
                <w:rFonts w:hint="eastAsia" w:cs="Times New Roman"/>
                <w:b/>
                <w:bCs w:val="0"/>
                <w:color w:val="auto"/>
                <w:spacing w:val="-10"/>
                <w:w w:val="100"/>
                <w:kern w:val="2"/>
                <w:sz w:val="24"/>
                <w:szCs w:val="24"/>
                <w:highlight w:val="none"/>
                <w:lang w:val="en-US" w:eastAsia="zh-CN" w:bidi="ar-SA"/>
              </w:rPr>
              <w:t>5</w:t>
            </w:r>
            <w:r>
              <w:rPr>
                <w:rFonts w:hint="default" w:ascii="Times New Roman" w:hAnsi="Times New Roman" w:eastAsia="宋体" w:cs="Times New Roman"/>
                <w:b/>
                <w:bCs w:val="0"/>
                <w:color w:val="auto"/>
                <w:spacing w:val="-10"/>
                <w:w w:val="100"/>
                <w:kern w:val="2"/>
                <w:sz w:val="24"/>
                <w:szCs w:val="24"/>
                <w:highlight w:val="none"/>
                <w:lang w:val="en-US" w:eastAsia="zh-CN" w:bidi="ar-SA"/>
              </w:rPr>
              <w:t xml:space="preserve">   </w:t>
            </w:r>
            <w:r>
              <w:rPr>
                <w:rFonts w:hint="eastAsia" w:ascii="宋体" w:hAnsi="宋体" w:eastAsia="宋体" w:cs="宋体"/>
                <w:b/>
                <w:bCs w:val="0"/>
                <w:color w:val="auto"/>
                <w:spacing w:val="-10"/>
                <w:w w:val="100"/>
                <w:kern w:val="2"/>
                <w:sz w:val="24"/>
                <w:szCs w:val="24"/>
                <w:highlight w:val="none"/>
                <w:lang w:val="en-US" w:eastAsia="zh-CN" w:bidi="ar-SA"/>
              </w:rPr>
              <w:t>环境风险简单分析内容表</w:t>
            </w:r>
          </w:p>
          <w:tbl>
            <w:tblPr>
              <w:tblStyle w:val="23"/>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3411"/>
              <w:gridCol w:w="4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871" w:type="pct"/>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项目名称</w:t>
                  </w:r>
                </w:p>
              </w:tc>
              <w:tc>
                <w:tcPr>
                  <w:tcW w:w="4128" w:type="pct"/>
                  <w:gridSpan w:val="2"/>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内蒙古蒙瑞环保科技有限公司再生资源废旧塑料回收利用项目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871" w:type="pct"/>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建设地点</w:t>
                  </w:r>
                </w:p>
              </w:tc>
              <w:tc>
                <w:tcPr>
                  <w:tcW w:w="4128" w:type="pct"/>
                  <w:gridSpan w:val="2"/>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鄂尔多斯空港物流园区中央生态大道上行线东、纬十四路南、经三南路西、纬十三路北A03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871" w:type="pct"/>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地理坐标</w:t>
                  </w:r>
                </w:p>
              </w:tc>
              <w:tc>
                <w:tcPr>
                  <w:tcW w:w="4128" w:type="pct"/>
                  <w:gridSpan w:val="2"/>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N39°32′10.835″，E109°52′36.325″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71" w:type="pct"/>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主要危险物质及分布</w:t>
                  </w:r>
                </w:p>
              </w:tc>
              <w:tc>
                <w:tcPr>
                  <w:tcW w:w="1834" w:type="pct"/>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w:t>
                  </w:r>
                </w:p>
              </w:tc>
              <w:tc>
                <w:tcPr>
                  <w:tcW w:w="2294" w:type="pct"/>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原料、产品（火灾）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871" w:type="pct"/>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 xml:space="preserve">环境影响途径及危害后果 </w:t>
                  </w:r>
                </w:p>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（大气、地表 水、地下水等）</w:t>
                  </w:r>
                </w:p>
              </w:tc>
              <w:tc>
                <w:tcPr>
                  <w:tcW w:w="1834" w:type="pct"/>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①地表水、地下水、土壤：本项目沉淀池进行防渗处理，污染地下水与地表水的风险较小。</w:t>
                  </w:r>
                </w:p>
              </w:tc>
              <w:tc>
                <w:tcPr>
                  <w:tcW w:w="2294" w:type="pct"/>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①火灾次生衍生污染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871" w:type="pct"/>
                  <w:noWrap w:val="0"/>
                  <w:vAlign w:val="center"/>
                </w:tcPr>
                <w:p>
                  <w:pPr>
                    <w:pStyle w:val="48"/>
                    <w:jc w:val="cente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 xml:space="preserve">风险防范措施要求 </w:t>
                  </w:r>
                </w:p>
              </w:tc>
              <w:tc>
                <w:tcPr>
                  <w:tcW w:w="1834" w:type="pct"/>
                  <w:noWrap w:val="0"/>
                  <w:vAlign w:val="center"/>
                </w:tcPr>
                <w:p>
                  <w:pPr>
                    <w:pStyle w:val="48"/>
                    <w:jc w:val="both"/>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 xml:space="preserve">①沉淀池进行地面防渗，防止废水渗入土壤及地下。 </w:t>
                  </w:r>
                </w:p>
                <w:p>
                  <w:pPr>
                    <w:pStyle w:val="48"/>
                    <w:jc w:val="left"/>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②制定突发环境事件应急预案。</w:t>
                  </w:r>
                </w:p>
              </w:tc>
              <w:tc>
                <w:tcPr>
                  <w:tcW w:w="2294" w:type="pct"/>
                  <w:noWrap w:val="0"/>
                  <w:vAlign w:val="center"/>
                </w:tcPr>
                <w:p>
                  <w:pPr>
                    <w:pStyle w:val="48"/>
                    <w:jc w:val="left"/>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pP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对员工的消防安全培训应当制度化，可通过新员工上岗前培训、单位“三级安全教育”、员工岗位安全教育等形式对全体员工进行消防法规、消防知识的教育与</w:t>
                  </w:r>
                  <w:r>
                    <w:rPr>
                      <w:rFonts w:hint="eastAsia" w:cs="Times New Roman" w:eastAsiaTheme="minorEastAsia"/>
                      <w:bCs/>
                      <w:color w:val="auto"/>
                      <w:spacing w:val="-10"/>
                      <w:w w:val="100"/>
                      <w:kern w:val="2"/>
                      <w:sz w:val="21"/>
                      <w:szCs w:val="21"/>
                      <w:highlight w:val="none"/>
                      <w:vertAlign w:val="baseline"/>
                      <w:lang w:val="en-US" w:eastAsia="zh-CN" w:bidi="ar-SA"/>
                    </w:rPr>
                    <w:t>培训，</w:t>
                  </w:r>
                  <w:r>
                    <w:rPr>
                      <w:rFonts w:hint="default" w:ascii="Times New Roman" w:hAnsi="Times New Roman" w:cs="Times New Roman" w:eastAsiaTheme="minorEastAsia"/>
                      <w:bCs/>
                      <w:color w:val="auto"/>
                      <w:spacing w:val="-10"/>
                      <w:w w:val="100"/>
                      <w:kern w:val="2"/>
                      <w:sz w:val="21"/>
                      <w:szCs w:val="21"/>
                      <w:highlight w:val="none"/>
                      <w:vertAlign w:val="baseline"/>
                      <w:lang w:val="en-US" w:eastAsia="zh-CN" w:bidi="ar-SA"/>
                    </w:rPr>
                    <w:t>同时因地制宜地对消防报警、灭火设备、灭火器材进行技能训练，做到每个员工能了解有关消防法规、能用自己掌握的消防知识保护自己、保护他人与企业的财产并能做到熟练使用配备在岗位周围的消防器材装备</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cs="Times New Roman"/>
                <w:color w:val="auto"/>
                <w:kern w:val="0"/>
                <w:sz w:val="24"/>
                <w:szCs w:val="24"/>
                <w:highlight w:val="none"/>
                <w:lang w:val="en-US" w:eastAsia="zh-CN"/>
              </w:rPr>
              <w:t>（</w:t>
            </w:r>
            <w:r>
              <w:rPr>
                <w:rFonts w:hint="eastAsia" w:ascii="Times New Roman" w:hAnsi="Times New Roman" w:cs="Times New Roman"/>
                <w:color w:val="auto"/>
                <w:kern w:val="0"/>
                <w:sz w:val="24"/>
                <w:szCs w:val="24"/>
                <w:highlight w:val="none"/>
                <w:lang w:val="en-US" w:eastAsia="zh-CN"/>
              </w:rPr>
              <w:t>5</w:t>
            </w:r>
            <w:r>
              <w:rPr>
                <w:rFonts w:hint="default" w:ascii="Times New Roman" w:hAnsi="Times New Roman"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eastAsia="zh-CN"/>
              </w:rPr>
              <w:t>环境风险防范措施</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①厂区内禁止明火，防止明火引起火灾事故。</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②如发现渗漏，应及时修复，防止废水入渗地下水，造成地下水及土壤污染。</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③成立专门的责任机构，保证事故发生时组织相关力量及时控制事故的危害，在第一时间，有序有效地控制事故污染，把事故危害减小到</w:t>
            </w:r>
            <w:r>
              <w:rPr>
                <w:rFonts w:hint="eastAsia" w:ascii="Times New Roman" w:hAnsi="Times New Roman" w:cs="Times New Roman"/>
                <w:color w:val="auto"/>
                <w:kern w:val="0"/>
                <w:sz w:val="24"/>
                <w:szCs w:val="24"/>
                <w:highlight w:val="none"/>
                <w:lang w:eastAsia="zh-CN"/>
              </w:rPr>
              <w:t>最小</w:t>
            </w:r>
            <w:r>
              <w:rPr>
                <w:rFonts w:hint="default" w:ascii="Times New Roman" w:hAnsi="Times New Roman" w:eastAsia="宋体" w:cs="Times New Roman"/>
                <w:color w:val="auto"/>
                <w:kern w:val="0"/>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④健全各项制度，强化安全管理意识，加强用电设备及线路的检修和管理。</w:t>
            </w:r>
          </w:p>
          <w:p>
            <w:pPr>
              <w:spacing w:line="360" w:lineRule="auto"/>
              <w:ind w:firstLine="480" w:firstLineChars="200"/>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⑤严格按照消防安全部门要求，配置消防设施。本项目采用成熟可靠的生产工艺和设备，在设计中严格执行有关规范中的安全卫生条款，厂区严格执行安全措施、防渗措施，正常情况下能够保证安全生产和达到工业企业设计卫生标准的要求。</w:t>
            </w:r>
            <w:r>
              <w:rPr>
                <w:rFonts w:hint="eastAsia" w:ascii="Times New Roman" w:hAnsi="Times New Roman" w:cs="Times New Roman"/>
                <w:color w:val="auto"/>
                <w:kern w:val="0"/>
                <w:sz w:val="24"/>
                <w:szCs w:val="24"/>
                <w:highlight w:val="none"/>
                <w:lang w:eastAsia="zh-CN"/>
              </w:rPr>
              <w:t>一旦</w:t>
            </w:r>
            <w:r>
              <w:rPr>
                <w:rFonts w:hint="default" w:ascii="Times New Roman" w:hAnsi="Times New Roman" w:eastAsia="宋体" w:cs="Times New Roman"/>
                <w:color w:val="auto"/>
                <w:kern w:val="0"/>
                <w:sz w:val="24"/>
                <w:szCs w:val="24"/>
                <w:highlight w:val="none"/>
                <w:lang w:eastAsia="zh-CN"/>
              </w:rPr>
              <w:t>发生事故，依靠装置内的安全防护设施和事故应急措施能及时控制事故，防止蔓延。因此，只要厂家严格遵守安全操作规程和制度，加强安全管理，项目生产是安全可靠的。</w:t>
            </w:r>
          </w:p>
          <w:p>
            <w:pPr>
              <w:spacing w:line="360" w:lineRule="auto"/>
              <w:ind w:firstLine="481" w:firstLineChars="200"/>
              <w:rPr>
                <w:rFonts w:ascii="Times New Roman" w:hAnsi="Times New Roman" w:cs="Times New Roman"/>
                <w:b/>
                <w:color w:val="auto"/>
                <w:sz w:val="24"/>
                <w:highlight w:val="none"/>
              </w:rPr>
            </w:pPr>
            <w:r>
              <w:rPr>
                <w:rFonts w:hint="eastAsia" w:ascii="Times New Roman" w:hAnsi="Times New Roman" w:cs="Times New Roman"/>
                <w:b/>
                <w:color w:val="auto"/>
                <w:sz w:val="24"/>
                <w:highlight w:val="none"/>
                <w:lang w:val="en-US" w:eastAsia="zh-CN"/>
              </w:rPr>
              <w:t>6、</w:t>
            </w:r>
            <w:r>
              <w:rPr>
                <w:rFonts w:ascii="Times New Roman" w:hAnsi="Times New Roman" w:cs="Times New Roman"/>
                <w:b/>
                <w:color w:val="auto"/>
                <w:sz w:val="24"/>
                <w:highlight w:val="none"/>
              </w:rPr>
              <w:t>营运期环境监测计划</w:t>
            </w:r>
          </w:p>
          <w:p>
            <w:pPr>
              <w:pStyle w:val="29"/>
              <w:spacing w:line="360" w:lineRule="auto"/>
              <w:ind w:firstLine="480" w:firstLineChars="200"/>
              <w:jc w:val="both"/>
              <w:rPr>
                <w:rFonts w:ascii="Times New Roman" w:hAnsi="Times New Roman" w:cs="Times New Roman"/>
                <w:color w:val="auto"/>
                <w:sz w:val="24"/>
                <w:szCs w:val="24"/>
                <w:highlight w:val="none"/>
                <w:lang w:val="en-US"/>
              </w:rPr>
            </w:pPr>
            <w:r>
              <w:rPr>
                <w:rFonts w:ascii="Times New Roman" w:hAnsi="Times New Roman" w:cs="Times New Roman"/>
                <w:color w:val="auto"/>
                <w:sz w:val="24"/>
                <w:szCs w:val="24"/>
                <w:highlight w:val="none"/>
                <w:lang w:val="en-US"/>
              </w:rPr>
              <w:t>为加强运行期的环境管理工作，更好</w:t>
            </w:r>
            <w:r>
              <w:rPr>
                <w:rFonts w:hint="eastAsia" w:ascii="Times New Roman" w:hAnsi="Times New Roman" w:cs="Times New Roman"/>
                <w:color w:val="auto"/>
                <w:sz w:val="24"/>
                <w:szCs w:val="24"/>
                <w:highlight w:val="none"/>
                <w:lang w:val="en-US" w:eastAsia="zh-CN"/>
              </w:rPr>
              <w:t>地</w:t>
            </w:r>
            <w:r>
              <w:rPr>
                <w:rFonts w:ascii="Times New Roman" w:hAnsi="Times New Roman" w:cs="Times New Roman"/>
                <w:color w:val="auto"/>
                <w:sz w:val="24"/>
                <w:szCs w:val="24"/>
                <w:highlight w:val="none"/>
                <w:lang w:val="en-US"/>
              </w:rPr>
              <w:t>保护周边环境，本项目</w:t>
            </w:r>
            <w:r>
              <w:rPr>
                <w:rFonts w:hint="eastAsia" w:ascii="Times New Roman" w:hAnsi="Times New Roman" w:cs="Times New Roman"/>
                <w:color w:val="auto"/>
                <w:sz w:val="24"/>
                <w:szCs w:val="24"/>
                <w:highlight w:val="none"/>
                <w:lang w:val="en-US" w:eastAsia="zh-CN"/>
              </w:rPr>
              <w:t>制定</w:t>
            </w:r>
            <w:r>
              <w:rPr>
                <w:rFonts w:ascii="Times New Roman" w:hAnsi="Times New Roman" w:cs="Times New Roman"/>
                <w:color w:val="auto"/>
                <w:sz w:val="24"/>
                <w:szCs w:val="24"/>
                <w:highlight w:val="none"/>
                <w:lang w:val="en-US"/>
              </w:rPr>
              <w:t>了较为详细的环境监测计划</w:t>
            </w:r>
            <w:r>
              <w:rPr>
                <w:rFonts w:hint="eastAsia" w:ascii="Times New Roman" w:hAnsi="Times New Roman" w:cs="Times New Roman"/>
                <w:color w:val="auto"/>
                <w:sz w:val="24"/>
                <w:szCs w:val="24"/>
                <w:highlight w:val="none"/>
                <w:lang w:val="en-US" w:eastAsia="zh-CN"/>
              </w:rPr>
              <w:t>，根据《排污许可证申请与核发技术规范  废弃资源加工工业》（HJ 1.34-2019）</w:t>
            </w:r>
            <w:r>
              <w:rPr>
                <w:rFonts w:ascii="Times New Roman" w:hAnsi="Times New Roman" w:cs="Times New Roman"/>
                <w:color w:val="auto"/>
                <w:sz w:val="24"/>
                <w:szCs w:val="24"/>
                <w:highlight w:val="none"/>
                <w:lang w:val="en-US"/>
              </w:rPr>
              <w:t>，具体见下表：</w:t>
            </w:r>
          </w:p>
          <w:p>
            <w:pPr>
              <w:pStyle w:val="29"/>
              <w:spacing w:line="240" w:lineRule="auto"/>
              <w:ind w:firstLine="481" w:firstLineChars="200"/>
              <w:jc w:val="center"/>
              <w:rPr>
                <w:rFonts w:ascii="Times New Roman" w:hAnsi="Times New Roman" w:cs="Times New Roman"/>
                <w:b/>
                <w:bCs/>
                <w:color w:val="auto"/>
                <w:sz w:val="24"/>
                <w:szCs w:val="24"/>
                <w:highlight w:val="none"/>
                <w:lang w:val="en-US"/>
              </w:rPr>
            </w:pPr>
            <w:r>
              <w:rPr>
                <w:rFonts w:ascii="Times New Roman" w:hAnsi="Times New Roman" w:cs="Times New Roman"/>
                <w:b/>
                <w:bCs/>
                <w:color w:val="auto"/>
                <w:sz w:val="24"/>
                <w:szCs w:val="24"/>
                <w:highlight w:val="none"/>
                <w:lang w:val="en-US"/>
              </w:rPr>
              <w:t>表4-</w:t>
            </w:r>
            <w:r>
              <w:rPr>
                <w:rFonts w:hint="eastAsia" w:ascii="Times New Roman" w:hAnsi="Times New Roman" w:cs="Times New Roman"/>
                <w:b/>
                <w:bCs/>
                <w:color w:val="auto"/>
                <w:sz w:val="24"/>
                <w:szCs w:val="24"/>
                <w:highlight w:val="none"/>
                <w:lang w:val="en-US" w:eastAsia="zh-CN"/>
              </w:rPr>
              <w:t xml:space="preserve">6 </w:t>
            </w:r>
            <w:r>
              <w:rPr>
                <w:rFonts w:ascii="Times New Roman" w:hAnsi="Times New Roman" w:cs="Times New Roman"/>
                <w:b/>
                <w:bCs/>
                <w:color w:val="auto"/>
                <w:sz w:val="24"/>
                <w:szCs w:val="24"/>
                <w:highlight w:val="none"/>
                <w:lang w:val="en-US"/>
              </w:rPr>
              <w:t xml:space="preserve"> 运营期环境监测计划表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097"/>
              <w:gridCol w:w="1917"/>
              <w:gridCol w:w="1260"/>
              <w:gridCol w:w="3153"/>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gridSpan w:val="6"/>
                  <w:noWrap w:val="0"/>
                  <w:vAlign w:val="center"/>
                </w:tcPr>
                <w:p>
                  <w:pPr>
                    <w:jc w:val="both"/>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一、污染源监测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cs="Times New Roman"/>
                      <w:color w:val="auto"/>
                      <w:sz w:val="21"/>
                      <w:szCs w:val="21"/>
                      <w:highlight w:val="none"/>
                    </w:rPr>
                    <w:t>类别</w:t>
                  </w:r>
                </w:p>
              </w:tc>
              <w:tc>
                <w:tcPr>
                  <w:tcW w:w="1097" w:type="dxa"/>
                  <w:noWrap w:val="0"/>
                  <w:vAlign w:val="center"/>
                </w:tcPr>
                <w:p>
                  <w:pPr>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cs="Times New Roman"/>
                      <w:color w:val="auto"/>
                      <w:sz w:val="21"/>
                      <w:szCs w:val="21"/>
                      <w:highlight w:val="none"/>
                    </w:rPr>
                    <w:t>监测点位</w:t>
                  </w:r>
                </w:p>
              </w:tc>
              <w:tc>
                <w:tcPr>
                  <w:tcW w:w="1917" w:type="dxa"/>
                  <w:noWrap w:val="0"/>
                  <w:vAlign w:val="center"/>
                </w:tcPr>
                <w:p>
                  <w:pPr>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cs="Times New Roman"/>
                      <w:color w:val="auto"/>
                      <w:sz w:val="21"/>
                      <w:szCs w:val="21"/>
                      <w:highlight w:val="none"/>
                    </w:rPr>
                    <w:t>监测项目</w:t>
                  </w:r>
                </w:p>
              </w:tc>
              <w:tc>
                <w:tcPr>
                  <w:tcW w:w="1260" w:type="dxa"/>
                  <w:noWrap w:val="0"/>
                  <w:vAlign w:val="center"/>
                </w:tcPr>
                <w:p>
                  <w:pPr>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cs="Times New Roman"/>
                      <w:color w:val="auto"/>
                      <w:sz w:val="21"/>
                      <w:szCs w:val="21"/>
                      <w:highlight w:val="none"/>
                    </w:rPr>
                    <w:t>监测频次</w:t>
                  </w:r>
                </w:p>
              </w:tc>
              <w:tc>
                <w:tcPr>
                  <w:tcW w:w="3153" w:type="dxa"/>
                  <w:noWrap w:val="0"/>
                  <w:vAlign w:val="center"/>
                </w:tcPr>
                <w:p>
                  <w:pPr>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cs="Times New Roman"/>
                      <w:color w:val="auto"/>
                      <w:sz w:val="21"/>
                      <w:szCs w:val="21"/>
                      <w:highlight w:val="none"/>
                    </w:rPr>
                    <w:t>执行标准</w:t>
                  </w:r>
                </w:p>
              </w:tc>
              <w:tc>
                <w:tcPr>
                  <w:tcW w:w="1072" w:type="dxa"/>
                  <w:noWrap w:val="0"/>
                  <w:vAlign w:val="center"/>
                </w:tcPr>
                <w:p>
                  <w:pPr>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cs="Times New Roman"/>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675" w:type="dxa"/>
                  <w:vMerge w:val="restart"/>
                  <w:noWrap w:val="0"/>
                  <w:vAlign w:val="center"/>
                </w:tcPr>
                <w:p>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废气</w:t>
                  </w:r>
                </w:p>
              </w:tc>
              <w:tc>
                <w:tcPr>
                  <w:tcW w:w="1097" w:type="dxa"/>
                  <w:vMerge w:val="restart"/>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厂界</w:t>
                  </w:r>
                </w:p>
              </w:tc>
              <w:tc>
                <w:tcPr>
                  <w:tcW w:w="1917" w:type="dxa"/>
                  <w:noWrap w:val="0"/>
                  <w:vAlign w:val="center"/>
                </w:tcPr>
                <w:p>
                  <w:pPr>
                    <w:adjustRightInd w:val="0"/>
                    <w:snapToGrid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颗粒物</w:t>
                  </w:r>
                </w:p>
              </w:tc>
              <w:tc>
                <w:tcPr>
                  <w:tcW w:w="1260"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w:t>
                  </w:r>
                  <w:r>
                    <w:rPr>
                      <w:rFonts w:hint="eastAsia" w:ascii="Times New Roman" w:hAnsi="Times New Roman" w:cs="Times New Roman"/>
                      <w:color w:val="auto"/>
                      <w:sz w:val="21"/>
                      <w:szCs w:val="21"/>
                      <w:highlight w:val="none"/>
                      <w:lang w:val="en-US" w:eastAsia="zh-CN"/>
                    </w:rPr>
                    <w:t>年</w:t>
                  </w:r>
                </w:p>
              </w:tc>
              <w:tc>
                <w:tcPr>
                  <w:tcW w:w="3153" w:type="dxa"/>
                  <w:noWrap w:val="0"/>
                  <w:vAlign w:val="center"/>
                </w:tcPr>
                <w:p>
                  <w:pPr>
                    <w:adjustRightInd w:val="0"/>
                    <w:snapToGrid w:val="0"/>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《大气污染物综合排放标准》（GB16297-1996）表2</w:t>
                  </w:r>
                  <w:r>
                    <w:rPr>
                      <w:rFonts w:hint="default" w:ascii="Times New Roman" w:hAnsi="Times New Roman" w:cs="Times New Roman"/>
                      <w:color w:val="auto"/>
                      <w:sz w:val="21"/>
                      <w:szCs w:val="21"/>
                      <w:highlight w:val="none"/>
                      <w:lang w:val="en-US"/>
                    </w:rPr>
                    <w:t>排放浓度限值</w:t>
                  </w:r>
                  <w:r>
                    <w:rPr>
                      <w:rFonts w:hint="default" w:ascii="Times New Roman" w:hAnsi="Times New Roman" w:cs="Times New Roman"/>
                      <w:color w:val="auto"/>
                      <w:sz w:val="21"/>
                      <w:szCs w:val="21"/>
                      <w:highlight w:val="none"/>
                      <w:lang w:val="en-US" w:eastAsia="zh-CN"/>
                    </w:rPr>
                    <w:t>要求</w:t>
                  </w:r>
                </w:p>
              </w:tc>
              <w:tc>
                <w:tcPr>
                  <w:tcW w:w="1072"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厂界无组织标准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675" w:type="dxa"/>
                  <w:vMerge w:val="continue"/>
                  <w:noWrap w:val="0"/>
                  <w:vAlign w:val="center"/>
                </w:tcPr>
                <w:p>
                  <w:pPr>
                    <w:adjustRightInd w:val="0"/>
                    <w:snapToGrid w:val="0"/>
                    <w:jc w:val="center"/>
                    <w:rPr>
                      <w:rFonts w:hint="default" w:ascii="Times New Roman" w:hAnsi="Times New Roman" w:cs="Times New Roman"/>
                      <w:color w:val="auto"/>
                      <w:sz w:val="21"/>
                      <w:szCs w:val="21"/>
                      <w:highlight w:val="none"/>
                      <w:lang w:eastAsia="zh-CN"/>
                    </w:rPr>
                  </w:pPr>
                </w:p>
              </w:tc>
              <w:tc>
                <w:tcPr>
                  <w:tcW w:w="1097" w:type="dxa"/>
                  <w:vMerge w:val="continue"/>
                  <w:noWrap w:val="0"/>
                  <w:vAlign w:val="center"/>
                </w:tcPr>
                <w:p>
                  <w:pPr>
                    <w:adjustRightInd w:val="0"/>
                    <w:snapToGrid w:val="0"/>
                    <w:jc w:val="center"/>
                    <w:rPr>
                      <w:rFonts w:hint="eastAsia" w:ascii="Times New Roman" w:hAnsi="Times New Roman" w:cs="Times New Roman"/>
                      <w:color w:val="auto"/>
                      <w:sz w:val="21"/>
                      <w:szCs w:val="21"/>
                      <w:highlight w:val="none"/>
                      <w:lang w:val="en-US" w:eastAsia="zh-CN"/>
                    </w:rPr>
                  </w:pPr>
                </w:p>
              </w:tc>
              <w:tc>
                <w:tcPr>
                  <w:tcW w:w="1917" w:type="dxa"/>
                  <w:noWrap w:val="0"/>
                  <w:vAlign w:val="center"/>
                </w:tcPr>
                <w:p>
                  <w:pPr>
                    <w:adjustRightInd w:val="0"/>
                    <w:snapToGrid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臭气浓度</w:t>
                  </w:r>
                </w:p>
              </w:tc>
              <w:tc>
                <w:tcPr>
                  <w:tcW w:w="1260"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w:t>
                  </w:r>
                  <w:r>
                    <w:rPr>
                      <w:rFonts w:hint="eastAsia" w:ascii="Times New Roman" w:hAnsi="Times New Roman" w:cs="Times New Roman"/>
                      <w:color w:val="auto"/>
                      <w:sz w:val="21"/>
                      <w:szCs w:val="21"/>
                      <w:highlight w:val="none"/>
                      <w:lang w:val="en-US" w:eastAsia="zh-CN"/>
                    </w:rPr>
                    <w:t>年</w:t>
                  </w:r>
                </w:p>
              </w:tc>
              <w:tc>
                <w:tcPr>
                  <w:tcW w:w="3153" w:type="dxa"/>
                  <w:noWrap w:val="0"/>
                  <w:vAlign w:val="center"/>
                </w:tcPr>
                <w:p>
                  <w:pPr>
                    <w:adjustRightInd w:val="0"/>
                    <w:snapToGrid w:val="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b w:val="0"/>
                      <w:bCs w:val="0"/>
                      <w:color w:val="auto"/>
                      <w:sz w:val="21"/>
                      <w:szCs w:val="21"/>
                      <w:highlight w:val="none"/>
                      <w:vertAlign w:val="baseline"/>
                      <w:lang w:val="en-US" w:eastAsia="zh-CN"/>
                    </w:rPr>
                    <w:t>《恶臭污染物排放标准》GB 14554-93表1二级标准</w:t>
                  </w:r>
                </w:p>
              </w:tc>
              <w:tc>
                <w:tcPr>
                  <w:tcW w:w="1072"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厂界无组织标准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5"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1097"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厂</w:t>
                  </w:r>
                  <w:r>
                    <w:rPr>
                      <w:rFonts w:hint="default" w:ascii="Times New Roman" w:hAnsi="Times New Roman" w:cs="Times New Roman"/>
                      <w:color w:val="auto"/>
                      <w:sz w:val="21"/>
                      <w:szCs w:val="21"/>
                      <w:highlight w:val="none"/>
                    </w:rPr>
                    <w:t>界外1m</w:t>
                  </w:r>
                </w:p>
              </w:tc>
              <w:tc>
                <w:tcPr>
                  <w:tcW w:w="1917"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等效连续A声级</w:t>
                  </w:r>
                </w:p>
              </w:tc>
              <w:tc>
                <w:tcPr>
                  <w:tcW w:w="1260"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1次/季度</w:t>
                  </w:r>
                </w:p>
              </w:tc>
              <w:tc>
                <w:tcPr>
                  <w:tcW w:w="3153"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《工业企业厂界环境噪声排放标准》（GB12348-2008）中</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类标准</w:t>
                  </w:r>
                </w:p>
              </w:tc>
              <w:tc>
                <w:tcPr>
                  <w:tcW w:w="1072"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bl>
          <w:p>
            <w:pPr>
              <w:spacing w:line="360" w:lineRule="auto"/>
              <w:ind w:firstLine="481" w:firstLineChars="200"/>
              <w:rPr>
                <w:rFonts w:hint="eastAsia" w:ascii="宋体" w:hAnsi="宋体" w:cs="宋体"/>
                <w:b/>
                <w:bCs/>
                <w:color w:val="auto"/>
                <w:sz w:val="24"/>
                <w:highlight w:val="none"/>
              </w:rPr>
            </w:pPr>
            <w:r>
              <w:rPr>
                <w:rFonts w:ascii="Times New Roman" w:hAnsi="Times New Roman" w:cs="Times New Roman"/>
                <w:b/>
                <w:bCs/>
                <w:color w:val="auto"/>
                <w:sz w:val="24"/>
                <w:szCs w:val="24"/>
                <w:highlight w:val="none"/>
                <w:lang w:val="en-US"/>
              </w:rPr>
              <w:t>7、</w:t>
            </w:r>
            <w:r>
              <w:rPr>
                <w:rFonts w:hint="eastAsia" w:ascii="宋体" w:hAnsi="宋体" w:cs="宋体"/>
                <w:b/>
                <w:bCs/>
                <w:color w:val="auto"/>
                <w:sz w:val="24"/>
                <w:highlight w:val="none"/>
              </w:rPr>
              <w:t>环保投资估算：</w:t>
            </w:r>
          </w:p>
          <w:p>
            <w:pPr>
              <w:spacing w:line="360" w:lineRule="auto"/>
              <w:ind w:firstLine="480"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color w:val="auto"/>
                <w:sz w:val="24"/>
                <w:highlight w:val="none"/>
              </w:rPr>
              <w:t>本项目总投资</w:t>
            </w:r>
            <w:r>
              <w:rPr>
                <w:rFonts w:hint="eastAsia" w:ascii="Times New Roman" w:hAnsi="Times New Roman" w:cs="Times New Roman"/>
                <w:color w:val="auto"/>
                <w:sz w:val="24"/>
                <w:highlight w:val="none"/>
                <w:lang w:val="en-US" w:eastAsia="zh-CN"/>
              </w:rPr>
              <w:t>300</w:t>
            </w:r>
            <w:r>
              <w:rPr>
                <w:rFonts w:hint="default" w:ascii="Times New Roman" w:hAnsi="Times New Roman" w:eastAsia="宋体" w:cs="Times New Roman"/>
                <w:color w:val="auto"/>
                <w:sz w:val="24"/>
                <w:highlight w:val="none"/>
              </w:rPr>
              <w:t>万元，其中环保投资为</w:t>
            </w:r>
            <w:r>
              <w:rPr>
                <w:rFonts w:hint="eastAsia" w:ascii="Times New Roman" w:hAnsi="Times New Roman" w:cs="Times New Roman"/>
                <w:color w:val="auto"/>
                <w:sz w:val="24"/>
                <w:highlight w:val="none"/>
                <w:lang w:val="en-US" w:eastAsia="zh-CN"/>
              </w:rPr>
              <w:t>66.75</w:t>
            </w:r>
            <w:r>
              <w:rPr>
                <w:rFonts w:hint="default" w:ascii="Times New Roman" w:hAnsi="Times New Roman" w:eastAsia="宋体" w:cs="Times New Roman"/>
                <w:color w:val="auto"/>
                <w:sz w:val="24"/>
                <w:highlight w:val="none"/>
              </w:rPr>
              <w:t>万</w:t>
            </w:r>
            <w:r>
              <w:rPr>
                <w:rFonts w:hint="eastAsia" w:ascii="Times New Roman" w:hAnsi="Times New Roman" w:cs="Times New Roman"/>
                <w:color w:val="auto"/>
                <w:sz w:val="24"/>
                <w:highlight w:val="none"/>
                <w:lang w:eastAsia="zh-CN"/>
              </w:rPr>
              <w:t>元</w:t>
            </w:r>
            <w:r>
              <w:rPr>
                <w:rFonts w:hint="default" w:ascii="Times New Roman" w:hAnsi="Times New Roman" w:eastAsia="宋体" w:cs="Times New Roman"/>
                <w:color w:val="auto"/>
                <w:sz w:val="24"/>
                <w:highlight w:val="none"/>
              </w:rPr>
              <w:t>，占项目总投资的</w:t>
            </w:r>
            <w:r>
              <w:rPr>
                <w:rFonts w:hint="eastAsia" w:ascii="Times New Roman" w:hAnsi="Times New Roman" w:cs="Times New Roman"/>
                <w:color w:val="auto"/>
                <w:sz w:val="24"/>
                <w:highlight w:val="none"/>
                <w:lang w:val="en-US" w:eastAsia="zh-CN"/>
              </w:rPr>
              <w:t>22.25</w:t>
            </w:r>
            <w:r>
              <w:rPr>
                <w:rFonts w:hint="default" w:ascii="Times New Roman" w:hAnsi="Times New Roman" w:eastAsia="宋体" w:cs="Times New Roman"/>
                <w:color w:val="auto"/>
                <w:sz w:val="24"/>
                <w:highlight w:val="none"/>
              </w:rPr>
              <w:t>%。项目各项环保投资及处理费用估算见下表：</w:t>
            </w:r>
          </w:p>
          <w:p>
            <w:pPr>
              <w:ind w:right="110" w:rightChars="50" w:firstLine="481" w:firstLineChars="20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表</w:t>
            </w:r>
            <w:r>
              <w:rPr>
                <w:rFonts w:hint="default" w:ascii="Times New Roman" w:hAnsi="Times New Roman" w:cs="Times New Roman"/>
                <w:b/>
                <w:color w:val="auto"/>
                <w:sz w:val="24"/>
                <w:szCs w:val="24"/>
                <w:highlight w:val="none"/>
                <w:lang w:val="en-US" w:eastAsia="zh-CN"/>
              </w:rPr>
              <w:t>4-</w:t>
            </w:r>
            <w:r>
              <w:rPr>
                <w:rFonts w:hint="eastAsia" w:ascii="Times New Roman" w:hAnsi="Times New Roman" w:cs="Times New Roman"/>
                <w:b/>
                <w:color w:val="auto"/>
                <w:sz w:val="24"/>
                <w:szCs w:val="24"/>
                <w:highlight w:val="none"/>
                <w:lang w:val="en-US" w:eastAsia="zh-CN"/>
              </w:rPr>
              <w:t>7</w:t>
            </w:r>
            <w:r>
              <w:rPr>
                <w:rFonts w:hint="eastAsia" w:ascii="宋体" w:hAnsi="宋体" w:cs="宋体"/>
                <w:b/>
                <w:color w:val="auto"/>
                <w:sz w:val="24"/>
                <w:szCs w:val="24"/>
                <w:highlight w:val="none"/>
              </w:rPr>
              <w:t xml:space="preserve">  环保设施及投资一览表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2050"/>
              <w:gridCol w:w="4167"/>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2" w:type="dxa"/>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类别</w:t>
                  </w:r>
                </w:p>
              </w:tc>
              <w:tc>
                <w:tcPr>
                  <w:tcW w:w="2050" w:type="dxa"/>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污染源</w:t>
                  </w:r>
                </w:p>
              </w:tc>
              <w:tc>
                <w:tcPr>
                  <w:tcW w:w="4167" w:type="dxa"/>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环保设施名称及处置措施</w:t>
                  </w:r>
                </w:p>
              </w:tc>
              <w:tc>
                <w:tcPr>
                  <w:tcW w:w="1491" w:type="dxa"/>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投资（万元）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2" w:type="dxa"/>
                  <w:vMerge w:val="restart"/>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2050" w:type="dxa"/>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生产厂房</w:t>
                  </w:r>
                </w:p>
              </w:tc>
              <w:tc>
                <w:tcPr>
                  <w:tcW w:w="4167" w:type="dxa"/>
                  <w:vMerge w:val="restart"/>
                  <w:noWrap w:val="0"/>
                  <w:vAlign w:val="center"/>
                </w:tcPr>
                <w:p>
                  <w:pPr>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kern w:val="0"/>
                      <w:sz w:val="21"/>
                      <w:szCs w:val="21"/>
                      <w:highlight w:val="none"/>
                      <w:lang w:val="en-US" w:eastAsia="zh-CN"/>
                    </w:rPr>
                    <w:t>租用全封闭生产车间1座，建筑面积5000m</w:t>
                  </w:r>
                  <w:r>
                    <w:rPr>
                      <w:rFonts w:hint="eastAsia" w:ascii="Times New Roman" w:hAnsi="Times New Roman" w:cs="Times New Roman"/>
                      <w:color w:val="auto"/>
                      <w:kern w:val="0"/>
                      <w:sz w:val="21"/>
                      <w:szCs w:val="21"/>
                      <w:highlight w:val="none"/>
                      <w:vertAlign w:val="superscript"/>
                      <w:lang w:val="en-US" w:eastAsia="zh-CN"/>
                    </w:rPr>
                    <w:t>2</w:t>
                  </w:r>
                  <w:r>
                    <w:rPr>
                      <w:rFonts w:hint="eastAsia" w:ascii="Times New Roman" w:hAnsi="Times New Roman" w:cs="Times New Roman"/>
                      <w:color w:val="auto"/>
                      <w:kern w:val="0"/>
                      <w:sz w:val="21"/>
                      <w:szCs w:val="21"/>
                      <w:highlight w:val="none"/>
                      <w:vertAlign w:val="baseline"/>
                      <w:lang w:val="en-US" w:eastAsia="zh-CN"/>
                    </w:rPr>
                    <w:t>，必要时喷洒微生物除臭菌剂</w:t>
                  </w:r>
                </w:p>
              </w:tc>
              <w:tc>
                <w:tcPr>
                  <w:tcW w:w="1491" w:type="dxa"/>
                  <w:vMerge w:val="restart"/>
                  <w:noWrap w:val="0"/>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2" w:type="dxa"/>
                  <w:vMerge w:val="continue"/>
                  <w:noWrap w:val="0"/>
                  <w:vAlign w:val="center"/>
                </w:tcPr>
                <w:p>
                  <w:pPr>
                    <w:jc w:val="center"/>
                    <w:rPr>
                      <w:rFonts w:hint="default" w:ascii="Times New Roman" w:hAnsi="Times New Roman" w:eastAsia="宋体" w:cs="Times New Roman"/>
                      <w:color w:val="auto"/>
                      <w:sz w:val="21"/>
                      <w:szCs w:val="21"/>
                      <w:highlight w:val="none"/>
                    </w:rPr>
                  </w:pPr>
                </w:p>
              </w:tc>
              <w:tc>
                <w:tcPr>
                  <w:tcW w:w="2050" w:type="dxa"/>
                  <w:noWrap w:val="0"/>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原料暂存</w:t>
                  </w:r>
                </w:p>
              </w:tc>
              <w:tc>
                <w:tcPr>
                  <w:tcW w:w="4167" w:type="dxa"/>
                  <w:vMerge w:val="continue"/>
                  <w:noWrap w:val="0"/>
                  <w:vAlign w:val="center"/>
                </w:tcPr>
                <w:p>
                  <w:pPr>
                    <w:jc w:val="center"/>
                    <w:rPr>
                      <w:rFonts w:hint="eastAsia" w:ascii="Times New Roman" w:hAnsi="Times New Roman" w:cs="Times New Roman"/>
                      <w:color w:val="auto"/>
                      <w:kern w:val="0"/>
                      <w:sz w:val="21"/>
                      <w:szCs w:val="21"/>
                      <w:highlight w:val="none"/>
                      <w:lang w:val="en-US" w:eastAsia="zh-CN"/>
                    </w:rPr>
                  </w:pPr>
                </w:p>
              </w:tc>
              <w:tc>
                <w:tcPr>
                  <w:tcW w:w="1491" w:type="dxa"/>
                  <w:vMerge w:val="continue"/>
                  <w:noWrap w:val="0"/>
                  <w:vAlign w:val="center"/>
                </w:tcPr>
                <w:p>
                  <w:pPr>
                    <w:jc w:val="center"/>
                    <w:rPr>
                      <w:rFonts w:hint="eastAsia" w:ascii="Times New Roman" w:hAnsi="Times New Roman" w:cs="Times New Roman"/>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2" w:type="dxa"/>
                  <w:vMerge w:val="continue"/>
                  <w:noWrap w:val="0"/>
                  <w:vAlign w:val="center"/>
                </w:tcPr>
                <w:p>
                  <w:pPr>
                    <w:jc w:val="center"/>
                    <w:rPr>
                      <w:rFonts w:hint="default" w:ascii="Times New Roman" w:hAnsi="Times New Roman" w:eastAsia="宋体" w:cs="Times New Roman"/>
                      <w:color w:val="auto"/>
                      <w:sz w:val="21"/>
                      <w:szCs w:val="21"/>
                      <w:highlight w:val="none"/>
                    </w:rPr>
                  </w:pPr>
                </w:p>
              </w:tc>
              <w:tc>
                <w:tcPr>
                  <w:tcW w:w="2050" w:type="dxa"/>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破碎、筛分工序</w:t>
                  </w:r>
                </w:p>
              </w:tc>
              <w:tc>
                <w:tcPr>
                  <w:tcW w:w="4167" w:type="dxa"/>
                  <w:noWrap w:val="0"/>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3套集尘罩</w:t>
                  </w:r>
                  <w:r>
                    <w:rPr>
                      <w:rFonts w:hint="default" w:ascii="Times New Roman" w:hAnsi="Times New Roman" w:cs="Times New Roman"/>
                      <w:color w:val="auto"/>
                      <w:kern w:val="0"/>
                      <w:sz w:val="21"/>
                      <w:szCs w:val="21"/>
                      <w:highlight w:val="none"/>
                      <w:lang w:val="en-US" w:eastAsia="zh-CN"/>
                    </w:rPr>
                    <w:t>+</w:t>
                  </w:r>
                  <w:r>
                    <w:rPr>
                      <w:rFonts w:hint="eastAsia" w:ascii="Times New Roman" w:hAnsi="Times New Roman" w:cs="Times New Roman"/>
                      <w:color w:val="auto"/>
                      <w:kern w:val="0"/>
                      <w:sz w:val="21"/>
                      <w:szCs w:val="21"/>
                      <w:highlight w:val="none"/>
                      <w:lang w:val="en-US" w:eastAsia="zh-CN"/>
                    </w:rPr>
                    <w:t>1套布袋除尘器+1根15m高排气筒</w:t>
                  </w:r>
                </w:p>
              </w:tc>
              <w:tc>
                <w:tcPr>
                  <w:tcW w:w="1491" w:type="dxa"/>
                  <w:noWrap w:val="0"/>
                  <w:vAlign w:val="center"/>
                </w:tcPr>
                <w:p>
                  <w:pPr>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212" w:type="dxa"/>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w:t>
                  </w:r>
                </w:p>
              </w:tc>
              <w:tc>
                <w:tcPr>
                  <w:tcW w:w="2050" w:type="dxa"/>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w:t>
                  </w:r>
                  <w:r>
                    <w:rPr>
                      <w:rFonts w:hint="eastAsia" w:ascii="Times New Roman" w:hAnsi="Times New Roman" w:cs="Times New Roman"/>
                      <w:color w:val="auto"/>
                      <w:sz w:val="21"/>
                      <w:szCs w:val="21"/>
                      <w:highlight w:val="none"/>
                      <w:lang w:val="en-US" w:eastAsia="zh-CN"/>
                    </w:rPr>
                    <w:t>产废</w:t>
                  </w:r>
                  <w:r>
                    <w:rPr>
                      <w:rFonts w:hint="default" w:ascii="Times New Roman" w:hAnsi="Times New Roman" w:cs="Times New Roman"/>
                      <w:color w:val="auto"/>
                      <w:sz w:val="21"/>
                      <w:szCs w:val="21"/>
                      <w:highlight w:val="none"/>
                      <w:lang w:val="en-US" w:eastAsia="zh-CN"/>
                    </w:rPr>
                    <w:t>水</w:t>
                  </w:r>
                </w:p>
              </w:tc>
              <w:tc>
                <w:tcPr>
                  <w:tcW w:w="4167" w:type="dxa"/>
                  <w:noWrap w:val="0"/>
                  <w:vAlign w:val="center"/>
                </w:tcPr>
                <w:p>
                  <w:pPr>
                    <w:pStyle w:val="53"/>
                    <w:ind w:firstLine="420" w:firstLineChars="20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设置</w:t>
                  </w:r>
                  <w:r>
                    <w:rPr>
                      <w:rFonts w:hint="default" w:ascii="Times New Roman" w:hAnsi="Times New Roman" w:eastAsia="宋体" w:cs="Times New Roman"/>
                      <w:color w:val="auto"/>
                      <w:sz w:val="21"/>
                      <w:szCs w:val="21"/>
                      <w:highlight w:val="none"/>
                    </w:rPr>
                    <w:t>1座</w:t>
                  </w:r>
                  <w:r>
                    <w:rPr>
                      <w:rFonts w:hint="eastAsia" w:ascii="Times New Roman" w:hAnsi="Times New Roman"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3</w:t>
                  </w:r>
                  <w:r>
                    <w:rPr>
                      <w:rFonts w:hint="eastAsia" w:ascii="Times New Roman" w:hAnsi="Times New Roman" w:cs="Times New Roman"/>
                      <w:color w:val="auto"/>
                      <w:sz w:val="21"/>
                      <w:szCs w:val="21"/>
                      <w:highlight w:val="none"/>
                      <w:lang w:val="en-US" w:eastAsia="zh-CN"/>
                    </w:rPr>
                    <w:t>沉淀池</w:t>
                  </w:r>
                </w:p>
              </w:tc>
              <w:tc>
                <w:tcPr>
                  <w:tcW w:w="1491" w:type="dxa"/>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2" w:type="dxa"/>
                  <w:vMerge w:val="restart"/>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固废</w:t>
                  </w:r>
                </w:p>
              </w:tc>
              <w:tc>
                <w:tcPr>
                  <w:tcW w:w="2050" w:type="dxa"/>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生活办公垃圾</w:t>
                  </w:r>
                </w:p>
              </w:tc>
              <w:tc>
                <w:tcPr>
                  <w:tcW w:w="4167" w:type="dxa"/>
                  <w:noWrap w:val="0"/>
                  <w:vAlign w:val="center"/>
                </w:tcPr>
                <w:p>
                  <w:pPr>
                    <w:ind w:left="0" w:leftChars="0" w:firstLine="218" w:firstLineChars="104"/>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垃圾桶若干个</w:t>
                  </w:r>
                </w:p>
              </w:tc>
              <w:tc>
                <w:tcPr>
                  <w:tcW w:w="1491" w:type="dxa"/>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2" w:type="dxa"/>
                  <w:vMerge w:val="continue"/>
                  <w:noWrap w:val="0"/>
                  <w:vAlign w:val="center"/>
                </w:tcPr>
                <w:p>
                  <w:pPr>
                    <w:ind w:firstLine="420" w:firstLineChars="200"/>
                    <w:jc w:val="center"/>
                    <w:rPr>
                      <w:rFonts w:hint="default" w:ascii="Times New Roman" w:hAnsi="Times New Roman" w:eastAsia="宋体" w:cs="Times New Roman"/>
                      <w:color w:val="auto"/>
                      <w:sz w:val="21"/>
                      <w:szCs w:val="21"/>
                      <w:highlight w:val="none"/>
                    </w:rPr>
                  </w:pPr>
                </w:p>
              </w:tc>
              <w:tc>
                <w:tcPr>
                  <w:tcW w:w="2050" w:type="dxa"/>
                  <w:noWrap w:val="0"/>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危险废物</w:t>
                  </w:r>
                </w:p>
              </w:tc>
              <w:tc>
                <w:tcPr>
                  <w:tcW w:w="4167" w:type="dxa"/>
                  <w:noWrap w:val="0"/>
                  <w:vAlign w:val="center"/>
                </w:tcPr>
                <w:p>
                  <w:pPr>
                    <w:ind w:firstLine="420" w:firstLineChars="20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防渗</w:t>
                  </w:r>
                </w:p>
              </w:tc>
              <w:tc>
                <w:tcPr>
                  <w:tcW w:w="1491" w:type="dxa"/>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2" w:type="dxa"/>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2050" w:type="dxa"/>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设备噪声</w:t>
                  </w:r>
                </w:p>
              </w:tc>
              <w:tc>
                <w:tcPr>
                  <w:tcW w:w="4167" w:type="dxa"/>
                  <w:noWrap w:val="0"/>
                  <w:vAlign w:val="center"/>
                </w:tcPr>
                <w:p>
                  <w:pPr>
                    <w:ind w:firstLine="420" w:firstLineChars="20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选用低噪声设备</w:t>
                  </w:r>
                </w:p>
              </w:tc>
              <w:tc>
                <w:tcPr>
                  <w:tcW w:w="1491" w:type="dxa"/>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2" w:type="dxa"/>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合计</w:t>
                  </w:r>
                </w:p>
              </w:tc>
              <w:tc>
                <w:tcPr>
                  <w:tcW w:w="2050" w:type="dxa"/>
                  <w:noWrap w:val="0"/>
                  <w:vAlign w:val="center"/>
                </w:tcPr>
                <w:p>
                  <w:pPr>
                    <w:ind w:firstLine="420" w:firstLineChars="200"/>
                    <w:jc w:val="center"/>
                    <w:rPr>
                      <w:rFonts w:hint="default" w:ascii="Times New Roman" w:hAnsi="Times New Roman" w:eastAsia="宋体" w:cs="Times New Roman"/>
                      <w:color w:val="auto"/>
                      <w:sz w:val="21"/>
                      <w:szCs w:val="21"/>
                      <w:highlight w:val="none"/>
                    </w:rPr>
                  </w:pPr>
                </w:p>
              </w:tc>
              <w:tc>
                <w:tcPr>
                  <w:tcW w:w="4167" w:type="dxa"/>
                  <w:noWrap w:val="0"/>
                  <w:vAlign w:val="center"/>
                </w:tcPr>
                <w:p>
                  <w:pPr>
                    <w:ind w:firstLine="420" w:firstLineChars="200"/>
                    <w:jc w:val="center"/>
                    <w:rPr>
                      <w:rFonts w:hint="default" w:ascii="Times New Roman" w:hAnsi="Times New Roman" w:eastAsia="宋体" w:cs="Times New Roman"/>
                      <w:color w:val="auto"/>
                      <w:sz w:val="21"/>
                      <w:szCs w:val="21"/>
                      <w:highlight w:val="none"/>
                    </w:rPr>
                  </w:pPr>
                </w:p>
              </w:tc>
              <w:tc>
                <w:tcPr>
                  <w:tcW w:w="1491" w:type="dxa"/>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66.75</w:t>
                  </w:r>
                </w:p>
              </w:tc>
            </w:tr>
          </w:tbl>
          <w:p>
            <w:pPr>
              <w:pStyle w:val="29"/>
              <w:spacing w:line="520" w:lineRule="exact"/>
              <w:rPr>
                <w:rFonts w:ascii="Times New Roman" w:hAnsi="Times New Roman" w:cs="Times New Roman"/>
                <w:color w:val="auto"/>
                <w:sz w:val="24"/>
                <w:szCs w:val="24"/>
                <w:highlight w:val="none"/>
                <w:lang w:val="en-US"/>
              </w:rPr>
            </w:pPr>
          </w:p>
        </w:tc>
      </w:tr>
    </w:tbl>
    <w:p>
      <w:pPr>
        <w:rPr>
          <w:rFonts w:ascii="Times New Roman" w:hAnsi="Times New Roman" w:cs="Times New Roman"/>
          <w:color w:val="auto"/>
          <w:sz w:val="2"/>
          <w:szCs w:val="2"/>
          <w:highlight w:val="none"/>
        </w:rPr>
        <w:sectPr>
          <w:footerReference r:id="rId5" w:type="default"/>
          <w:footerReference r:id="rId6" w:type="even"/>
          <w:pgSz w:w="11905" w:h="16838"/>
          <w:pgMar w:top="1440" w:right="879" w:bottom="918" w:left="901" w:header="0" w:footer="737" w:gutter="0"/>
          <w:pgBorders>
            <w:top w:val="none" w:sz="0" w:space="0"/>
            <w:left w:val="none" w:sz="0" w:space="0"/>
            <w:bottom w:val="none" w:sz="0" w:space="0"/>
            <w:right w:val="none" w:sz="0" w:space="0"/>
          </w:pgBorders>
          <w:pgNumType w:fmt="decimal"/>
          <w:cols w:space="0" w:num="1"/>
          <w:rtlGutter w:val="0"/>
          <w:docGrid w:linePitch="0" w:charSpace="0"/>
        </w:sectPr>
      </w:pPr>
    </w:p>
    <w:p>
      <w:pPr>
        <w:spacing w:before="124"/>
        <w:ind w:left="442" w:right="464"/>
        <w:jc w:val="center"/>
        <w:outlineLvl w:val="0"/>
        <w:rPr>
          <w:rFonts w:hint="eastAsia" w:ascii="Times New Roman" w:hAnsi="Times New Roman" w:eastAsia="黑体" w:cs="Times New Roman"/>
          <w:color w:val="auto"/>
          <w:sz w:val="30"/>
          <w:highlight w:val="none"/>
          <w:lang w:eastAsia="zh-CN"/>
        </w:rPr>
      </w:pPr>
      <w:bookmarkStart w:id="3" w:name="五、环境保护措施监督检查清单"/>
      <w:bookmarkEnd w:id="3"/>
      <w:bookmarkStart w:id="4" w:name="六、结论"/>
      <w:bookmarkEnd w:id="4"/>
      <w:r>
        <w:rPr>
          <w:rFonts w:ascii="Times New Roman" w:hAnsi="Times New Roman" w:eastAsia="黑体" w:cs="Times New Roman"/>
          <w:color w:val="auto"/>
          <w:sz w:val="30"/>
          <w:highlight w:val="none"/>
          <w:lang w:val="en-US"/>
        </w:rPr>
        <w:t>五</w:t>
      </w:r>
      <w:r>
        <w:rPr>
          <w:rFonts w:ascii="Times New Roman" w:hAnsi="Times New Roman" w:eastAsia="黑体" w:cs="Times New Roman"/>
          <w:color w:val="auto"/>
          <w:sz w:val="30"/>
          <w:highlight w:val="none"/>
        </w:rPr>
        <w:t>、环境保护措施监督检查清单</w:t>
      </w:r>
    </w:p>
    <w:tbl>
      <w:tblPr>
        <w:tblStyle w:val="22"/>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78"/>
        <w:gridCol w:w="1454"/>
        <w:gridCol w:w="1624"/>
        <w:gridCol w:w="2637"/>
        <w:gridCol w:w="30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63" w:type="pct"/>
            <w:tcBorders>
              <w:tl2br w:val="single" w:color="auto" w:sz="4" w:space="0"/>
            </w:tcBorders>
            <w:noWrap w:val="0"/>
            <w:vAlign w:val="top"/>
          </w:tcPr>
          <w:p>
            <w:pPr>
              <w:adjustRightInd w:val="0"/>
              <w:snapToGrid w:val="0"/>
              <w:spacing w:line="240" w:lineRule="auto"/>
              <w:ind w:firstLine="84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内容</w:t>
            </w:r>
          </w:p>
          <w:p>
            <w:pPr>
              <w:adjustRightInd w:val="0"/>
              <w:snapToGrid w:val="0"/>
              <w:spacing w:line="24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要素</w:t>
            </w:r>
          </w:p>
        </w:tc>
        <w:tc>
          <w:tcPr>
            <w:tcW w:w="703" w:type="pc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排放口(编号、</w:t>
            </w:r>
          </w:p>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名称)/污染源</w:t>
            </w:r>
          </w:p>
        </w:tc>
        <w:tc>
          <w:tcPr>
            <w:tcW w:w="785" w:type="pc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污染物项目</w:t>
            </w:r>
          </w:p>
        </w:tc>
        <w:tc>
          <w:tcPr>
            <w:tcW w:w="1275" w:type="pc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环境保护措施</w:t>
            </w:r>
          </w:p>
        </w:tc>
        <w:tc>
          <w:tcPr>
            <w:tcW w:w="1472" w:type="pc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763" w:type="pct"/>
            <w:vMerge w:val="restar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大气环境</w:t>
            </w:r>
          </w:p>
        </w:tc>
        <w:tc>
          <w:tcPr>
            <w:tcW w:w="703" w:type="pct"/>
            <w:noWrap w:val="0"/>
            <w:vAlign w:val="center"/>
          </w:tcPr>
          <w:p>
            <w:pPr>
              <w:tabs>
                <w:tab w:val="left" w:pos="0"/>
              </w:tabs>
              <w:spacing w:line="240" w:lineRule="auto"/>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破碎、空分、筛分、粉碎</w:t>
            </w:r>
          </w:p>
        </w:tc>
        <w:tc>
          <w:tcPr>
            <w:tcW w:w="785" w:type="pct"/>
            <w:noWrap w:val="0"/>
            <w:vAlign w:val="center"/>
          </w:tcPr>
          <w:p>
            <w:pPr>
              <w:spacing w:line="240" w:lineRule="auto"/>
              <w:jc w:val="center"/>
              <w:rPr>
                <w:rFonts w:hint="eastAsia" w:ascii="Times New Roman" w:hAnsi="Times New Roman" w:eastAsia="宋体" w:cs="Times New Roman"/>
                <w:color w:val="auto"/>
                <w:sz w:val="24"/>
                <w:szCs w:val="24"/>
                <w:highlight w:val="none"/>
                <w:lang w:eastAsia="zh-CN"/>
              </w:rPr>
            </w:pPr>
            <w:r>
              <w:rPr>
                <w:rFonts w:hint="eastAsia" w:ascii="Times New Roman" w:hAnsi="Times New Roman" w:cs="Times New Roman"/>
                <w:bCs/>
                <w:color w:val="auto"/>
                <w:sz w:val="24"/>
                <w:szCs w:val="24"/>
                <w:highlight w:val="none"/>
                <w:lang w:val="en-US" w:eastAsia="zh-CN"/>
              </w:rPr>
              <w:t>颗粒物</w:t>
            </w:r>
          </w:p>
        </w:tc>
        <w:tc>
          <w:tcPr>
            <w:tcW w:w="1275" w:type="pct"/>
            <w:noWrap w:val="0"/>
            <w:vAlign w:val="center"/>
          </w:tcPr>
          <w:p>
            <w:pPr>
              <w:spacing w:line="240" w:lineRule="auto"/>
              <w:jc w:val="center"/>
              <w:rPr>
                <w:rFonts w:hint="default" w:ascii="Times New Roman" w:hAnsi="Times New Roman" w:cs="Times New Roman"/>
                <w:color w:val="auto"/>
                <w:sz w:val="24"/>
                <w:szCs w:val="24"/>
                <w:highlight w:val="none"/>
              </w:rPr>
            </w:pPr>
            <w:r>
              <w:rPr>
                <w:rFonts w:hint="eastAsia" w:ascii="Times New Roman" w:hAnsi="Times New Roman" w:cs="Times New Roman"/>
                <w:bCs/>
                <w:color w:val="auto"/>
                <w:spacing w:val="4"/>
                <w:sz w:val="24"/>
                <w:szCs w:val="24"/>
                <w:highlight w:val="none"/>
                <w:lang w:val="en-US" w:eastAsia="zh-CN"/>
              </w:rPr>
              <w:t>3套</w:t>
            </w:r>
            <w:r>
              <w:rPr>
                <w:rFonts w:hint="default" w:ascii="Times New Roman" w:hAnsi="Times New Roman" w:cs="Times New Roman"/>
                <w:bCs/>
                <w:color w:val="auto"/>
                <w:spacing w:val="4"/>
                <w:sz w:val="24"/>
                <w:szCs w:val="24"/>
                <w:highlight w:val="none"/>
                <w:lang w:val="en-US" w:eastAsia="zh-CN"/>
              </w:rPr>
              <w:t>集尘罩+</w:t>
            </w:r>
            <w:r>
              <w:rPr>
                <w:rFonts w:hint="eastAsia" w:ascii="Times New Roman" w:hAnsi="Times New Roman" w:cs="Times New Roman"/>
                <w:bCs/>
                <w:color w:val="auto"/>
                <w:spacing w:val="4"/>
                <w:sz w:val="24"/>
                <w:szCs w:val="24"/>
                <w:highlight w:val="none"/>
                <w:lang w:val="en-US" w:eastAsia="zh-CN"/>
              </w:rPr>
              <w:t>布袋除尘器，去除</w:t>
            </w:r>
            <w:r>
              <w:rPr>
                <w:rFonts w:hint="default" w:ascii="Times New Roman" w:hAnsi="Times New Roman" w:cs="Times New Roman"/>
                <w:bCs/>
                <w:color w:val="auto"/>
                <w:spacing w:val="4"/>
                <w:sz w:val="24"/>
                <w:szCs w:val="24"/>
                <w:highlight w:val="none"/>
              </w:rPr>
              <w:t>效率</w:t>
            </w:r>
            <w:r>
              <w:rPr>
                <w:rFonts w:hint="eastAsia" w:ascii="Times New Roman" w:hAnsi="Times New Roman" w:cs="Times New Roman"/>
                <w:bCs/>
                <w:color w:val="auto"/>
                <w:spacing w:val="4"/>
                <w:sz w:val="24"/>
                <w:szCs w:val="24"/>
                <w:highlight w:val="none"/>
                <w:lang w:val="en-US" w:eastAsia="zh-CN"/>
              </w:rPr>
              <w:t>95</w:t>
            </w:r>
            <w:r>
              <w:rPr>
                <w:rFonts w:hint="default" w:ascii="Times New Roman" w:hAnsi="Times New Roman" w:cs="Times New Roman"/>
                <w:bCs/>
                <w:color w:val="auto"/>
                <w:spacing w:val="4"/>
                <w:sz w:val="24"/>
                <w:szCs w:val="24"/>
                <w:highlight w:val="none"/>
              </w:rPr>
              <w:t>%</w:t>
            </w:r>
            <w:r>
              <w:rPr>
                <w:rFonts w:hint="default" w:ascii="Times New Roman" w:hAnsi="Times New Roman" w:cs="Times New Roman"/>
                <w:bCs/>
                <w:color w:val="auto"/>
                <w:spacing w:val="4"/>
                <w:sz w:val="24"/>
                <w:szCs w:val="24"/>
                <w:highlight w:val="none"/>
                <w:lang w:eastAsia="zh-CN"/>
              </w:rPr>
              <w:t>。</w:t>
            </w:r>
          </w:p>
        </w:tc>
        <w:tc>
          <w:tcPr>
            <w:tcW w:w="1472" w:type="pct"/>
            <w:noWrap w:val="0"/>
            <w:vAlign w:val="center"/>
          </w:tcPr>
          <w:p>
            <w:pPr>
              <w:pStyle w:val="54"/>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《大气污染物综合排放标准》（GB16297-1996）表2</w:t>
            </w:r>
            <w:r>
              <w:rPr>
                <w:rFonts w:hint="default" w:ascii="Times New Roman" w:hAnsi="Times New Roman" w:cs="Times New Roman"/>
                <w:color w:val="auto"/>
                <w:sz w:val="24"/>
                <w:szCs w:val="24"/>
                <w:highlight w:val="none"/>
                <w:lang w:val="en-US"/>
              </w:rPr>
              <w:t>排放浓度限值</w:t>
            </w:r>
            <w:r>
              <w:rPr>
                <w:rFonts w:hint="default" w:ascii="Times New Roman" w:hAnsi="Times New Roman" w:cs="Times New Roman"/>
                <w:color w:val="auto"/>
                <w:sz w:val="24"/>
                <w:szCs w:val="24"/>
                <w:highlight w:val="none"/>
                <w:lang w:val="en-US" w:eastAsia="zh-CN"/>
              </w:rPr>
              <w:t>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763"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c>
          <w:tcPr>
            <w:tcW w:w="703" w:type="pct"/>
            <w:noWrap w:val="0"/>
            <w:vAlign w:val="center"/>
          </w:tcPr>
          <w:p>
            <w:pPr>
              <w:tabs>
                <w:tab w:val="left" w:pos="0"/>
              </w:tabs>
              <w:spacing w:line="240" w:lineRule="auto"/>
              <w:jc w:val="center"/>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原料贮存</w:t>
            </w:r>
          </w:p>
        </w:tc>
        <w:tc>
          <w:tcPr>
            <w:tcW w:w="785" w:type="pct"/>
            <w:noWrap w:val="0"/>
            <w:vAlign w:val="center"/>
          </w:tcPr>
          <w:p>
            <w:pPr>
              <w:spacing w:line="240" w:lineRule="auto"/>
              <w:jc w:val="center"/>
              <w:rPr>
                <w:rFonts w:hint="default" w:ascii="Times New Roman" w:hAnsi="Times New Roman" w:cs="Times New Roman"/>
                <w:bCs/>
                <w:color w:val="auto"/>
                <w:sz w:val="24"/>
                <w:szCs w:val="24"/>
                <w:highlight w:val="none"/>
                <w:lang w:val="en-US" w:eastAsia="zh-CN"/>
              </w:rPr>
            </w:pPr>
            <w:r>
              <w:rPr>
                <w:rFonts w:hint="eastAsia" w:ascii="Times New Roman" w:hAnsi="Times New Roman" w:cs="Times New Roman"/>
                <w:bCs/>
                <w:color w:val="auto"/>
                <w:sz w:val="24"/>
                <w:szCs w:val="24"/>
                <w:highlight w:val="none"/>
                <w:lang w:val="en-US" w:eastAsia="zh-CN"/>
              </w:rPr>
              <w:t>臭气浓度</w:t>
            </w:r>
          </w:p>
        </w:tc>
        <w:tc>
          <w:tcPr>
            <w:tcW w:w="1275" w:type="pct"/>
            <w:noWrap w:val="0"/>
            <w:vAlign w:val="center"/>
          </w:tcPr>
          <w:p>
            <w:pPr>
              <w:spacing w:line="240" w:lineRule="auto"/>
              <w:jc w:val="center"/>
              <w:rPr>
                <w:rFonts w:hint="default" w:ascii="Times New Roman" w:hAnsi="Times New Roman" w:cs="Times New Roman"/>
                <w:bCs/>
                <w:color w:val="auto"/>
                <w:spacing w:val="4"/>
                <w:sz w:val="24"/>
                <w:szCs w:val="24"/>
                <w:highlight w:val="none"/>
                <w:lang w:val="en-US" w:eastAsia="zh-CN"/>
              </w:rPr>
            </w:pPr>
            <w:r>
              <w:rPr>
                <w:rFonts w:hint="default" w:ascii="Times New Roman" w:hAnsi="Times New Roman" w:cs="Times New Roman"/>
                <w:bCs/>
                <w:color w:val="auto"/>
                <w:spacing w:val="4"/>
                <w:sz w:val="24"/>
                <w:szCs w:val="24"/>
                <w:highlight w:val="none"/>
                <w:lang w:val="en-US" w:eastAsia="zh-CN"/>
              </w:rPr>
              <w:t>合理安排生产时间和原料周转周期。定期冲洗原料堆棚地面。原料堆场设置在封闭式厂房内，设置通风换气装置。必要时喷洒微生物除臭菌剂</w:t>
            </w:r>
          </w:p>
        </w:tc>
        <w:tc>
          <w:tcPr>
            <w:tcW w:w="1472" w:type="pct"/>
            <w:noWrap w:val="0"/>
            <w:vAlign w:val="center"/>
          </w:tcPr>
          <w:p>
            <w:pPr>
              <w:pStyle w:val="54"/>
              <w:spacing w:line="240" w:lineRule="auto"/>
              <w:jc w:val="center"/>
              <w:rPr>
                <w:rFonts w:hint="default" w:ascii="Times New Roman" w:hAnsi="Times New Roman" w:cs="Times New Roman"/>
                <w:color w:val="auto"/>
                <w:sz w:val="24"/>
                <w:szCs w:val="24"/>
                <w:highlight w:val="none"/>
                <w:lang w:val="en-US" w:eastAsia="zh-CN"/>
              </w:rPr>
            </w:pPr>
            <w:r>
              <w:rPr>
                <w:rFonts w:hint="eastAsia"/>
                <w:color w:val="auto"/>
                <w:sz w:val="24"/>
                <w:szCs w:val="21"/>
                <w:highlight w:val="none"/>
              </w:rPr>
              <w:t>《恶臭污染物排放标准》</w:t>
            </w:r>
            <w:r>
              <w:rPr>
                <w:rFonts w:hint="default" w:ascii="Times New Roman" w:hAnsi="Times New Roman" w:cs="Times New Roman"/>
                <w:color w:val="auto"/>
                <w:sz w:val="24"/>
                <w:szCs w:val="21"/>
                <w:highlight w:val="none"/>
              </w:rPr>
              <w:t>GB 14554-93</w:t>
            </w:r>
            <w:r>
              <w:rPr>
                <w:rFonts w:hint="eastAsia"/>
                <w:color w:val="auto"/>
                <w:sz w:val="24"/>
                <w:szCs w:val="21"/>
                <w:highlight w:val="none"/>
              </w:rPr>
              <w:t>无组织排放标准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63" w:type="pc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地表水环境</w:t>
            </w:r>
          </w:p>
        </w:tc>
        <w:tc>
          <w:tcPr>
            <w:tcW w:w="4236" w:type="pct"/>
            <w:gridSpan w:val="4"/>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生活污水</w:t>
            </w:r>
            <w:r>
              <w:rPr>
                <w:rFonts w:hint="default" w:ascii="Times New Roman" w:hAnsi="Times New Roman" w:cs="Times New Roman"/>
                <w:color w:val="auto"/>
                <w:sz w:val="24"/>
                <w:szCs w:val="24"/>
                <w:highlight w:val="none"/>
                <w:lang w:eastAsia="zh-CN"/>
              </w:rPr>
              <w:t>经</w:t>
            </w:r>
            <w:r>
              <w:rPr>
                <w:rFonts w:hint="eastAsia" w:ascii="Times New Roman" w:hAnsi="Times New Roman" w:cs="Times New Roman"/>
                <w:color w:val="auto"/>
                <w:sz w:val="24"/>
                <w:szCs w:val="24"/>
                <w:highlight w:val="none"/>
                <w:lang w:val="en-US" w:eastAsia="zh-CN"/>
              </w:rPr>
              <w:t>水冲卫生间后接管园区生活污水管网，最终进入伊金霍洛旗</w:t>
            </w:r>
            <w:r>
              <w:rPr>
                <w:rFonts w:hint="eastAsia"/>
                <w:color w:val="auto"/>
                <w:sz w:val="24"/>
                <w:highlight w:val="none"/>
                <w:lang w:val="en-US" w:eastAsia="zh-CN"/>
              </w:rPr>
              <w:t>水处理厂</w:t>
            </w:r>
            <w:r>
              <w:rPr>
                <w:rFonts w:hint="eastAsia" w:ascii="Times New Roman" w:hAnsi="Times New Roman" w:cs="Times New Roman"/>
                <w:b w:val="0"/>
                <w:bCs w:val="0"/>
                <w:color w:val="auto"/>
                <w:sz w:val="24"/>
                <w:szCs w:val="24"/>
                <w:highlight w:val="none"/>
                <w:lang w:val="en-US" w:eastAsia="zh-CN"/>
              </w:rPr>
              <w:t>处理；生产废水经沉淀池处理后循环使用，不外排</w:t>
            </w:r>
            <w:r>
              <w:rPr>
                <w:rFonts w:hint="default" w:ascii="Times New Roman" w:hAnsi="Times New Roman" w:cs="Times New Roman"/>
                <w:color w:val="auto"/>
                <w:sz w:val="24"/>
                <w:szCs w:val="24"/>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63" w:type="pc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声环境</w:t>
            </w:r>
          </w:p>
        </w:tc>
        <w:tc>
          <w:tcPr>
            <w:tcW w:w="4236" w:type="pct"/>
            <w:gridSpan w:val="4"/>
            <w:noWrap w:val="0"/>
            <w:vAlign w:val="center"/>
          </w:tcPr>
          <w:p>
            <w:pPr>
              <w:adjustRightInd w:val="0"/>
              <w:snapToGrid w:val="0"/>
              <w:spacing w:line="24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采取室内布置，选择低噪声设备，对于噪声较大的风机设置隔音罩，进行降噪。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63" w:type="pc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电磁辐射</w:t>
            </w:r>
          </w:p>
        </w:tc>
        <w:tc>
          <w:tcPr>
            <w:tcW w:w="4236" w:type="pct"/>
            <w:gridSpan w:val="4"/>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63" w:type="pct"/>
            <w:vMerge w:val="restar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固体废物</w:t>
            </w:r>
          </w:p>
        </w:tc>
        <w:tc>
          <w:tcPr>
            <w:tcW w:w="703" w:type="pct"/>
            <w:noWrap w:val="0"/>
            <w:vAlign w:val="center"/>
          </w:tcPr>
          <w:p>
            <w:pPr>
              <w:adjustRightInd w:val="0"/>
              <w:snapToGrid w:val="0"/>
              <w:spacing w:line="240" w:lineRule="auto"/>
              <w:jc w:val="center"/>
              <w:rPr>
                <w:rFonts w:hint="eastAsia" w:ascii="Times New Roman" w:hAnsi="Times New Roman" w:eastAsia="宋体"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生产车间</w:t>
            </w:r>
          </w:p>
        </w:tc>
        <w:tc>
          <w:tcPr>
            <w:tcW w:w="78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b w:val="0"/>
                <w:bCs w:val="0"/>
                <w:color w:val="auto"/>
                <w:sz w:val="24"/>
                <w:szCs w:val="24"/>
                <w:highlight w:val="none"/>
                <w:vertAlign w:val="baseline"/>
                <w:lang w:val="en-US" w:eastAsia="zh-CN"/>
              </w:rPr>
              <w:t>生活垃圾</w:t>
            </w:r>
          </w:p>
        </w:tc>
        <w:tc>
          <w:tcPr>
            <w:tcW w:w="127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b w:val="0"/>
                <w:bCs w:val="0"/>
                <w:color w:val="auto"/>
                <w:sz w:val="24"/>
                <w:szCs w:val="24"/>
                <w:highlight w:val="none"/>
                <w:vertAlign w:val="baseline"/>
                <w:lang w:val="en-US" w:eastAsia="zh-CN"/>
              </w:rPr>
              <w:t>设置生活垃圾箱，生活垃圾</w:t>
            </w:r>
            <w:r>
              <w:rPr>
                <w:rFonts w:hint="eastAsia" w:ascii="Times New Roman" w:hAnsi="Times New Roman" w:eastAsia="宋体" w:cs="Times New Roman"/>
                <w:b w:val="0"/>
                <w:bCs w:val="0"/>
                <w:color w:val="auto"/>
                <w:sz w:val="24"/>
                <w:szCs w:val="24"/>
                <w:highlight w:val="none"/>
                <w:vertAlign w:val="baseline"/>
                <w:lang w:val="en-US" w:eastAsia="zh-CN"/>
              </w:rPr>
              <w:t>集中收集后</w:t>
            </w:r>
            <w:r>
              <w:rPr>
                <w:rFonts w:hint="eastAsia" w:ascii="Times New Roman" w:hAnsi="Times New Roman" w:cs="Times New Roman"/>
                <w:b w:val="0"/>
                <w:bCs w:val="0"/>
                <w:color w:val="auto"/>
                <w:sz w:val="24"/>
                <w:szCs w:val="24"/>
                <w:highlight w:val="none"/>
                <w:vertAlign w:val="baseline"/>
                <w:lang w:val="en-US" w:eastAsia="zh-CN"/>
              </w:rPr>
              <w:t>由环卫部门统一处理。</w:t>
            </w:r>
          </w:p>
        </w:tc>
        <w:tc>
          <w:tcPr>
            <w:tcW w:w="1472" w:type="pct"/>
            <w:vMerge w:val="restart"/>
            <w:noWrap w:val="0"/>
            <w:vAlign w:val="center"/>
          </w:tcPr>
          <w:p>
            <w:pPr>
              <w:widowControl/>
              <w:spacing w:line="240" w:lineRule="auto"/>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kern w:val="0"/>
                <w:sz w:val="24"/>
                <w:szCs w:val="24"/>
                <w:highlight w:val="none"/>
              </w:rPr>
              <w:t>《一般工业固体废物贮存和填埋污染控制标准》</w:t>
            </w:r>
            <w:r>
              <w:rPr>
                <w:rFonts w:hint="eastAsia" w:ascii="Times New Roman" w:hAnsi="Times New Roman"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rPr>
              <w:t>GB18599-2020</w:t>
            </w:r>
            <w:r>
              <w:rPr>
                <w:rFonts w:hint="eastAsia" w:ascii="Times New Roman" w:hAnsi="Times New Roman" w:cs="Times New Roman"/>
                <w:color w:val="auto"/>
                <w:kern w:val="0"/>
                <w:sz w:val="24"/>
                <w:szCs w:val="24"/>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63"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c>
          <w:tcPr>
            <w:tcW w:w="703" w:type="pct"/>
            <w:noWrap w:val="0"/>
            <w:vAlign w:val="center"/>
          </w:tcPr>
          <w:p>
            <w:pPr>
              <w:adjustRightInd w:val="0"/>
              <w:snapToGrid w:val="0"/>
              <w:spacing w:line="240" w:lineRule="auto"/>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生产车间</w:t>
            </w:r>
          </w:p>
        </w:tc>
        <w:tc>
          <w:tcPr>
            <w:tcW w:w="78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sz w:val="24"/>
                <w:szCs w:val="24"/>
                <w:highlight w:val="none"/>
              </w:rPr>
            </w:pPr>
            <w:r>
              <w:rPr>
                <w:rFonts w:hint="eastAsia" w:ascii="Times New Roman" w:hAnsi="Times New Roman" w:cs="Times New Roman"/>
                <w:b w:val="0"/>
                <w:bCs w:val="0"/>
                <w:color w:val="auto"/>
                <w:sz w:val="24"/>
                <w:szCs w:val="24"/>
                <w:highlight w:val="none"/>
                <w:vertAlign w:val="baseline"/>
                <w:lang w:val="en-US" w:eastAsia="zh-CN"/>
              </w:rPr>
              <w:t>金属杂质</w:t>
            </w:r>
          </w:p>
        </w:tc>
        <w:tc>
          <w:tcPr>
            <w:tcW w:w="127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生产过程分选出的</w:t>
            </w:r>
            <w:r>
              <w:rPr>
                <w:rFonts w:hint="eastAsia" w:ascii="Times New Roman" w:hAnsi="Times New Roman" w:cs="Times New Roman"/>
                <w:b w:val="0"/>
                <w:bCs w:val="0"/>
                <w:color w:val="auto"/>
                <w:sz w:val="24"/>
                <w:szCs w:val="24"/>
                <w:highlight w:val="none"/>
                <w:vertAlign w:val="baseline"/>
                <w:lang w:val="en-US" w:eastAsia="zh-CN"/>
              </w:rPr>
              <w:t>金属</w:t>
            </w:r>
            <w:r>
              <w:rPr>
                <w:rFonts w:hint="default" w:ascii="Times New Roman" w:hAnsi="Times New Roman" w:eastAsia="宋体" w:cs="Times New Roman"/>
                <w:b w:val="0"/>
                <w:bCs w:val="0"/>
                <w:color w:val="auto"/>
                <w:sz w:val="24"/>
                <w:szCs w:val="24"/>
                <w:highlight w:val="none"/>
                <w:vertAlign w:val="baseline"/>
                <w:lang w:val="en-US" w:eastAsia="zh-CN"/>
              </w:rPr>
              <w:t>杂物</w:t>
            </w:r>
            <w:r>
              <w:rPr>
                <w:rFonts w:hint="eastAsia" w:ascii="Times New Roman" w:hAnsi="Times New Roman" w:cs="Times New Roman"/>
                <w:b w:val="0"/>
                <w:bCs w:val="0"/>
                <w:color w:val="auto"/>
                <w:sz w:val="24"/>
                <w:szCs w:val="24"/>
                <w:highlight w:val="none"/>
                <w:vertAlign w:val="baseline"/>
                <w:lang w:val="en-US" w:eastAsia="zh-CN"/>
              </w:rPr>
              <w:t>收集后暂存于一般固废暂存区，定期外售废品收购站。</w:t>
            </w:r>
          </w:p>
        </w:tc>
        <w:tc>
          <w:tcPr>
            <w:tcW w:w="1472" w:type="pct"/>
            <w:vMerge w:val="continue"/>
            <w:noWrap w:val="0"/>
            <w:vAlign w:val="center"/>
          </w:tcPr>
          <w:p>
            <w:pPr>
              <w:widowControl/>
              <w:spacing w:line="240" w:lineRule="auto"/>
              <w:jc w:val="left"/>
              <w:rPr>
                <w:rFonts w:hint="default" w:ascii="Times New Roman" w:hAnsi="Times New Roman" w:cs="Times New Roman"/>
                <w:color w:val="auto"/>
                <w:kern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63"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c>
          <w:tcPr>
            <w:tcW w:w="703" w:type="pct"/>
            <w:noWrap w:val="0"/>
            <w:vAlign w:val="center"/>
          </w:tcPr>
          <w:p>
            <w:pPr>
              <w:adjustRightInd w:val="0"/>
              <w:snapToGrid w:val="0"/>
              <w:spacing w:line="240" w:lineRule="auto"/>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生产车间</w:t>
            </w:r>
          </w:p>
        </w:tc>
        <w:tc>
          <w:tcPr>
            <w:tcW w:w="78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cs="Times New Roman"/>
                <w:b w:val="0"/>
                <w:bCs w:val="0"/>
                <w:color w:val="auto"/>
                <w:sz w:val="24"/>
                <w:szCs w:val="24"/>
                <w:highlight w:val="none"/>
                <w:vertAlign w:val="baseline"/>
                <w:lang w:val="en-US" w:eastAsia="zh-CN"/>
              </w:rPr>
              <w:t>废料</w:t>
            </w:r>
          </w:p>
        </w:tc>
        <w:tc>
          <w:tcPr>
            <w:tcW w:w="127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val="0"/>
                <w:bCs w:val="0"/>
                <w:color w:val="auto"/>
                <w:sz w:val="24"/>
                <w:szCs w:val="24"/>
                <w:highlight w:val="none"/>
                <w:vertAlign w:val="baseline"/>
                <w:lang w:val="en-US" w:eastAsia="zh-CN"/>
              </w:rPr>
              <w:t>生产过程分选出的</w:t>
            </w:r>
            <w:r>
              <w:rPr>
                <w:rFonts w:hint="eastAsia" w:ascii="Times New Roman" w:hAnsi="Times New Roman" w:cs="Times New Roman"/>
                <w:b w:val="0"/>
                <w:bCs w:val="0"/>
                <w:color w:val="auto"/>
                <w:sz w:val="24"/>
                <w:szCs w:val="24"/>
                <w:highlight w:val="none"/>
                <w:vertAlign w:val="baseline"/>
                <w:lang w:val="en-US" w:eastAsia="zh-CN"/>
              </w:rPr>
              <w:t>废料（纸片、沙子、木屑等），属性与生活垃圾相同，收集后暂存于一般固废暂存区，定期交由环卫部门统一拉运处置。</w:t>
            </w:r>
          </w:p>
        </w:tc>
        <w:tc>
          <w:tcPr>
            <w:tcW w:w="1472"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63"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c>
          <w:tcPr>
            <w:tcW w:w="703" w:type="pct"/>
            <w:noWrap w:val="0"/>
            <w:vAlign w:val="center"/>
          </w:tcPr>
          <w:p>
            <w:pPr>
              <w:adjustRightInd w:val="0"/>
              <w:snapToGrid w:val="0"/>
              <w:spacing w:line="240" w:lineRule="auto"/>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生产车间</w:t>
            </w:r>
          </w:p>
        </w:tc>
        <w:tc>
          <w:tcPr>
            <w:tcW w:w="78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bCs/>
                <w:color w:val="auto"/>
                <w:sz w:val="24"/>
                <w:szCs w:val="24"/>
                <w:highlight w:val="none"/>
                <w:lang w:val="en-US" w:eastAsia="zh-CN"/>
              </w:rPr>
            </w:pPr>
            <w:r>
              <w:rPr>
                <w:rFonts w:hint="eastAsia"/>
                <w:color w:val="auto"/>
                <w:spacing w:val="-1"/>
                <w:sz w:val="24"/>
                <w:szCs w:val="24"/>
                <w:highlight w:val="none"/>
                <w:lang w:val="en-US" w:eastAsia="zh-CN"/>
              </w:rPr>
              <w:t>废硅胶</w:t>
            </w:r>
          </w:p>
        </w:tc>
        <w:tc>
          <w:tcPr>
            <w:tcW w:w="127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bCs/>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废硅胶收集后定期外售废硅胶回收单位回收利用</w:t>
            </w:r>
          </w:p>
        </w:tc>
        <w:tc>
          <w:tcPr>
            <w:tcW w:w="1472"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63"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c>
          <w:tcPr>
            <w:tcW w:w="703" w:type="pct"/>
            <w:noWrap w:val="0"/>
            <w:vAlign w:val="center"/>
          </w:tcPr>
          <w:p>
            <w:pPr>
              <w:adjustRightInd w:val="0"/>
              <w:snapToGrid w:val="0"/>
              <w:spacing w:line="240" w:lineRule="auto"/>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生产车间</w:t>
            </w:r>
          </w:p>
        </w:tc>
        <w:tc>
          <w:tcPr>
            <w:tcW w:w="78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bCs/>
                <w:color w:val="auto"/>
                <w:sz w:val="24"/>
                <w:szCs w:val="24"/>
                <w:highlight w:val="none"/>
                <w:lang w:val="en-US" w:eastAsia="zh-CN"/>
              </w:rPr>
            </w:pPr>
            <w:r>
              <w:rPr>
                <w:rFonts w:hint="eastAsia"/>
                <w:bCs/>
                <w:color w:val="auto"/>
                <w:sz w:val="24"/>
                <w:highlight w:val="none"/>
                <w:lang w:val="en-US"/>
              </w:rPr>
              <w:t>除尘</w:t>
            </w:r>
            <w:r>
              <w:rPr>
                <w:rFonts w:hint="eastAsia"/>
                <w:bCs/>
                <w:color w:val="auto"/>
                <w:sz w:val="24"/>
                <w:highlight w:val="none"/>
                <w:lang w:val="en-US" w:eastAsia="zh-CN"/>
              </w:rPr>
              <w:t>灰</w:t>
            </w:r>
          </w:p>
        </w:tc>
        <w:tc>
          <w:tcPr>
            <w:tcW w:w="127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bCs/>
                <w:color w:val="auto"/>
                <w:sz w:val="24"/>
                <w:szCs w:val="24"/>
                <w:highlight w:val="none"/>
                <w:lang w:val="en-US" w:eastAsia="zh-CN"/>
              </w:rPr>
            </w:pPr>
            <w:r>
              <w:rPr>
                <w:rFonts w:hint="eastAsia"/>
                <w:bCs/>
                <w:color w:val="auto"/>
                <w:sz w:val="24"/>
                <w:highlight w:val="none"/>
                <w:lang w:val="en-US"/>
              </w:rPr>
              <w:t>除尘</w:t>
            </w:r>
            <w:r>
              <w:rPr>
                <w:rFonts w:hint="eastAsia"/>
                <w:bCs/>
                <w:color w:val="auto"/>
                <w:sz w:val="24"/>
                <w:highlight w:val="none"/>
                <w:lang w:val="en-US" w:eastAsia="zh-CN"/>
              </w:rPr>
              <w:t>灰</w:t>
            </w:r>
            <w:r>
              <w:rPr>
                <w:rFonts w:hint="eastAsia" w:ascii="Times New Roman" w:hAnsi="Times New Roman" w:cs="Times New Roman"/>
                <w:b w:val="0"/>
                <w:bCs w:val="0"/>
                <w:color w:val="auto"/>
                <w:sz w:val="24"/>
                <w:szCs w:val="24"/>
                <w:highlight w:val="none"/>
                <w:vertAlign w:val="baseline"/>
                <w:lang w:val="en-US" w:eastAsia="zh-CN"/>
              </w:rPr>
              <w:t>，收集后定期交由环卫部门统一处置。</w:t>
            </w:r>
          </w:p>
        </w:tc>
        <w:tc>
          <w:tcPr>
            <w:tcW w:w="1472"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63"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c>
          <w:tcPr>
            <w:tcW w:w="703" w:type="pct"/>
            <w:noWrap w:val="0"/>
            <w:vAlign w:val="center"/>
          </w:tcPr>
          <w:p>
            <w:pPr>
              <w:adjustRightInd w:val="0"/>
              <w:snapToGrid w:val="0"/>
              <w:spacing w:line="240" w:lineRule="auto"/>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生产车间</w:t>
            </w:r>
          </w:p>
        </w:tc>
        <w:tc>
          <w:tcPr>
            <w:tcW w:w="78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bCs/>
                <w:color w:val="auto"/>
                <w:sz w:val="24"/>
                <w:szCs w:val="24"/>
                <w:highlight w:val="none"/>
                <w:lang w:val="en-US" w:eastAsia="zh-CN"/>
              </w:rPr>
            </w:pPr>
            <w:r>
              <w:rPr>
                <w:rFonts w:hint="eastAsia" w:ascii="Times New Roman" w:hAnsi="Times New Roman" w:cs="Times New Roman"/>
                <w:b w:val="0"/>
                <w:bCs w:val="0"/>
                <w:color w:val="auto"/>
                <w:sz w:val="24"/>
                <w:szCs w:val="24"/>
                <w:highlight w:val="none"/>
                <w:vertAlign w:val="baseline"/>
                <w:lang w:val="en-US" w:eastAsia="zh-CN"/>
              </w:rPr>
              <w:t>废布袋</w:t>
            </w:r>
          </w:p>
        </w:tc>
        <w:tc>
          <w:tcPr>
            <w:tcW w:w="127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bCs/>
                <w:color w:val="auto"/>
                <w:sz w:val="24"/>
                <w:szCs w:val="24"/>
                <w:highlight w:val="none"/>
                <w:lang w:val="en-US" w:eastAsia="zh-CN"/>
              </w:rPr>
            </w:pPr>
            <w:r>
              <w:rPr>
                <w:rFonts w:hint="eastAsia" w:ascii="Times New Roman" w:hAnsi="Times New Roman" w:cs="Times New Roman"/>
                <w:b w:val="0"/>
                <w:bCs w:val="0"/>
                <w:color w:val="auto"/>
                <w:sz w:val="24"/>
                <w:szCs w:val="24"/>
                <w:highlight w:val="none"/>
                <w:vertAlign w:val="baseline"/>
                <w:lang w:val="en-US" w:eastAsia="zh-CN"/>
              </w:rPr>
              <w:t>除尘器废布袋由厂家更换时回收，不在场内存放。</w:t>
            </w:r>
          </w:p>
        </w:tc>
        <w:tc>
          <w:tcPr>
            <w:tcW w:w="1472"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63"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c>
          <w:tcPr>
            <w:tcW w:w="703" w:type="pct"/>
            <w:noWrap w:val="0"/>
            <w:vAlign w:val="center"/>
          </w:tcPr>
          <w:p>
            <w:pPr>
              <w:adjustRightInd w:val="0"/>
              <w:snapToGrid w:val="0"/>
              <w:spacing w:line="240" w:lineRule="auto"/>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沉淀池</w:t>
            </w:r>
          </w:p>
        </w:tc>
        <w:tc>
          <w:tcPr>
            <w:tcW w:w="78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Times New Roman" w:hAnsi="Times New Roman" w:cs="Times New Roman"/>
                <w:b w:val="0"/>
                <w:bCs w:val="0"/>
                <w:color w:val="auto"/>
                <w:sz w:val="24"/>
                <w:szCs w:val="24"/>
                <w:highlight w:val="none"/>
                <w:vertAlign w:val="baseline"/>
                <w:lang w:val="en-US" w:eastAsia="zh-CN"/>
              </w:rPr>
            </w:pPr>
            <w:r>
              <w:rPr>
                <w:rFonts w:hint="eastAsia" w:ascii="Times New Roman" w:hAnsi="Times New Roman" w:cs="Times New Roman"/>
                <w:b w:val="0"/>
                <w:bCs w:val="0"/>
                <w:color w:val="auto"/>
                <w:sz w:val="24"/>
                <w:szCs w:val="24"/>
                <w:highlight w:val="none"/>
                <w:vertAlign w:val="baseline"/>
                <w:lang w:val="en-US" w:eastAsia="zh-CN"/>
              </w:rPr>
              <w:t>沉淀池底泥</w:t>
            </w:r>
          </w:p>
        </w:tc>
        <w:tc>
          <w:tcPr>
            <w:tcW w:w="127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cs="Times New Roman"/>
                <w:b w:val="0"/>
                <w:bCs w:val="0"/>
                <w:color w:val="auto"/>
                <w:sz w:val="24"/>
                <w:szCs w:val="24"/>
                <w:highlight w:val="none"/>
                <w:vertAlign w:val="baseline"/>
                <w:lang w:val="en-US" w:eastAsia="zh-CN"/>
              </w:rPr>
            </w:pPr>
            <w:r>
              <w:rPr>
                <w:rFonts w:hint="eastAsia" w:ascii="Times New Roman" w:hAnsi="Times New Roman" w:cs="Times New Roman"/>
                <w:b w:val="0"/>
                <w:bCs w:val="0"/>
                <w:color w:val="auto"/>
                <w:sz w:val="24"/>
                <w:szCs w:val="24"/>
                <w:highlight w:val="none"/>
                <w:vertAlign w:val="baseline"/>
                <w:lang w:val="en-US" w:eastAsia="zh-CN"/>
              </w:rPr>
              <w:t>收集至1座30m</w:t>
            </w:r>
            <w:r>
              <w:rPr>
                <w:rFonts w:hint="eastAsia" w:ascii="Times New Roman" w:hAnsi="Times New Roman" w:cs="Times New Roman"/>
                <w:b w:val="0"/>
                <w:bCs w:val="0"/>
                <w:color w:val="auto"/>
                <w:sz w:val="24"/>
                <w:szCs w:val="24"/>
                <w:highlight w:val="none"/>
                <w:vertAlign w:val="superscript"/>
                <w:lang w:val="en-US" w:eastAsia="zh-CN"/>
              </w:rPr>
              <w:t>3</w:t>
            </w:r>
            <w:r>
              <w:rPr>
                <w:rFonts w:hint="eastAsia" w:ascii="Times New Roman" w:hAnsi="Times New Roman" w:cs="Times New Roman"/>
                <w:b w:val="0"/>
                <w:bCs w:val="0"/>
                <w:color w:val="auto"/>
                <w:sz w:val="24"/>
                <w:szCs w:val="24"/>
                <w:highlight w:val="none"/>
                <w:vertAlign w:val="baseline"/>
                <w:lang w:val="en-US" w:eastAsia="zh-CN"/>
              </w:rPr>
              <w:t>的底泥定期清掏后，送就近建筑垃圾消纳场所处置。</w:t>
            </w:r>
          </w:p>
        </w:tc>
        <w:tc>
          <w:tcPr>
            <w:tcW w:w="1472"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63"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c>
          <w:tcPr>
            <w:tcW w:w="703" w:type="pct"/>
            <w:vMerge w:val="restar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设备维修</w:t>
            </w:r>
          </w:p>
        </w:tc>
        <w:tc>
          <w:tcPr>
            <w:tcW w:w="785" w:type="pct"/>
            <w:noWrap w:val="0"/>
            <w:vAlign w:val="center"/>
          </w:tcPr>
          <w:p>
            <w:pPr>
              <w:adjustRightInd w:val="0"/>
              <w:snapToGrid w:val="0"/>
              <w:spacing w:line="240" w:lineRule="auto"/>
              <w:jc w:val="center"/>
              <w:rPr>
                <w:rFonts w:hint="eastAsia"/>
                <w:bCs/>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废机油</w:t>
            </w:r>
          </w:p>
        </w:tc>
        <w:tc>
          <w:tcPr>
            <w:tcW w:w="1275" w:type="pct"/>
            <w:vMerge w:val="restart"/>
            <w:noWrap w:val="0"/>
            <w:vAlign w:val="center"/>
          </w:tcPr>
          <w:p>
            <w:pPr>
              <w:adjustRightInd w:val="0"/>
              <w:snapToGrid w:val="0"/>
              <w:spacing w:line="240" w:lineRule="auto"/>
              <w:jc w:val="center"/>
              <w:rPr>
                <w:rFonts w:hint="default"/>
                <w:bCs/>
                <w:color w:val="auto"/>
                <w:sz w:val="24"/>
                <w:szCs w:val="24"/>
                <w:highlight w:val="none"/>
                <w:lang w:val="en-US" w:eastAsia="zh-CN"/>
              </w:rPr>
            </w:pPr>
            <w:r>
              <w:rPr>
                <w:rFonts w:hint="eastAsia"/>
                <w:bCs/>
                <w:color w:val="auto"/>
                <w:sz w:val="24"/>
                <w:szCs w:val="24"/>
                <w:highlight w:val="none"/>
                <w:lang w:val="en-US" w:eastAsia="zh-CN"/>
              </w:rPr>
              <w:t>暂存于项目危废暂存间，定期交由有资质单位处置</w:t>
            </w:r>
          </w:p>
        </w:tc>
        <w:tc>
          <w:tcPr>
            <w:tcW w:w="1472" w:type="pct"/>
            <w:vMerge w:val="restart"/>
            <w:noWrap w:val="0"/>
            <w:vAlign w:val="center"/>
          </w:tcPr>
          <w:p>
            <w:pPr>
              <w:adjustRightInd w:val="0"/>
              <w:snapToGrid w:val="0"/>
              <w:spacing w:line="240" w:lineRule="auto"/>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《危险废物贮存污染控制标准》（GB18597-2023）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63"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p>
        </w:tc>
        <w:tc>
          <w:tcPr>
            <w:tcW w:w="703" w:type="pct"/>
            <w:vMerge w:val="continue"/>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lang w:val="en-US" w:eastAsia="zh-CN"/>
              </w:rPr>
            </w:pPr>
          </w:p>
        </w:tc>
        <w:tc>
          <w:tcPr>
            <w:tcW w:w="785" w:type="pct"/>
            <w:noWrap w:val="0"/>
            <w:vAlign w:val="center"/>
          </w:tcPr>
          <w:p>
            <w:pPr>
              <w:adjustRightInd w:val="0"/>
              <w:snapToGrid w:val="0"/>
              <w:spacing w:line="240" w:lineRule="auto"/>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废油桶</w:t>
            </w:r>
          </w:p>
        </w:tc>
        <w:tc>
          <w:tcPr>
            <w:tcW w:w="1275" w:type="pct"/>
            <w:vMerge w:val="continue"/>
            <w:noWrap w:val="0"/>
            <w:vAlign w:val="center"/>
          </w:tcPr>
          <w:p>
            <w:pPr>
              <w:adjustRightInd w:val="0"/>
              <w:snapToGrid w:val="0"/>
              <w:spacing w:line="240" w:lineRule="auto"/>
              <w:jc w:val="center"/>
              <w:rPr>
                <w:rFonts w:hint="eastAsia"/>
                <w:bCs/>
                <w:color w:val="auto"/>
                <w:sz w:val="24"/>
                <w:szCs w:val="24"/>
                <w:highlight w:val="none"/>
                <w:lang w:val="en-US" w:eastAsia="zh-CN"/>
              </w:rPr>
            </w:pPr>
          </w:p>
        </w:tc>
        <w:tc>
          <w:tcPr>
            <w:tcW w:w="1472" w:type="pct"/>
            <w:vMerge w:val="continue"/>
            <w:noWrap w:val="0"/>
            <w:vAlign w:val="center"/>
          </w:tcPr>
          <w:p>
            <w:pPr>
              <w:adjustRightInd w:val="0"/>
              <w:snapToGrid w:val="0"/>
              <w:spacing w:line="240" w:lineRule="auto"/>
              <w:jc w:val="center"/>
              <w:rPr>
                <w:rFonts w:hint="eastAsia" w:ascii="Times New Roman" w:hAnsi="Times New Roman" w:cs="Times New Roman"/>
                <w:color w:val="auto"/>
                <w:sz w:val="24"/>
                <w:szCs w:val="24"/>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763" w:type="pc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土壤及地下水污染防治措施</w:t>
            </w:r>
          </w:p>
        </w:tc>
        <w:tc>
          <w:tcPr>
            <w:tcW w:w="4236" w:type="pct"/>
            <w:gridSpan w:val="4"/>
            <w:noWrap w:val="0"/>
            <w:vAlign w:val="center"/>
          </w:tcPr>
          <w:p>
            <w:pPr>
              <w:pStyle w:val="10"/>
              <w:keepNext w:val="0"/>
              <w:keepLines w:val="0"/>
              <w:pageBreakBefore w:val="0"/>
              <w:widowControl w:val="0"/>
              <w:kinsoku/>
              <w:wordWrap/>
              <w:overflowPunct/>
              <w:topLinePunct w:val="0"/>
              <w:autoSpaceDE/>
              <w:autoSpaceDN/>
              <w:bidi w:val="0"/>
              <w:spacing w:after="0" w:line="240" w:lineRule="auto"/>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重点防渗区：</w:t>
            </w:r>
            <w:r>
              <w:rPr>
                <w:rFonts w:hint="default" w:ascii="Times New Roman" w:hAnsi="Times New Roman" w:eastAsia="宋体" w:cs="Times New Roman"/>
                <w:bCs/>
                <w:color w:val="auto"/>
                <w:sz w:val="24"/>
                <w:szCs w:val="24"/>
                <w:highlight w:val="none"/>
              </w:rPr>
              <w:t>危废库</w:t>
            </w:r>
            <w:r>
              <w:rPr>
                <w:rFonts w:hint="default" w:ascii="Times New Roman" w:hAnsi="Times New Roman" w:eastAsia="宋体" w:cs="Times New Roman"/>
                <w:bCs/>
                <w:color w:val="auto"/>
                <w:sz w:val="24"/>
                <w:szCs w:val="24"/>
                <w:highlight w:val="none"/>
                <w:lang w:eastAsia="zh-CN"/>
              </w:rPr>
              <w:t>地面</w:t>
            </w:r>
            <w:r>
              <w:rPr>
                <w:rFonts w:hint="default" w:ascii="Times New Roman" w:hAnsi="Times New Roman" w:eastAsia="宋体" w:cs="Times New Roman"/>
                <w:color w:val="auto"/>
                <w:sz w:val="24"/>
                <w:szCs w:val="24"/>
                <w:highlight w:val="none"/>
              </w:rPr>
              <w:t>按照</w:t>
            </w:r>
            <w:r>
              <w:rPr>
                <w:rFonts w:hint="default" w:ascii="Times New Roman" w:hAnsi="Times New Roman" w:eastAsia="宋体" w:cs="Times New Roman"/>
                <w:color w:val="auto"/>
                <w:sz w:val="24"/>
                <w:szCs w:val="24"/>
                <w:highlight w:val="none"/>
                <w:vertAlign w:val="baseline"/>
                <w:lang w:val="en-US" w:eastAsia="zh-CN"/>
              </w:rPr>
              <w:t>《危险废物贮存污染控制标准》（GB18597-2023）要求进行设计、建设和管理，防渗结构为基础防渗+2mmHDPE膜+20cm抗渗水泥+环氧树脂涂层防腐</w:t>
            </w:r>
            <w:r>
              <w:rPr>
                <w:rFonts w:hint="default" w:ascii="Times New Roman" w:hAnsi="Times New Roman" w:eastAsia="宋体" w:cs="Times New Roman"/>
                <w:color w:val="auto"/>
                <w:sz w:val="24"/>
                <w:szCs w:val="24"/>
                <w:highlight w:val="none"/>
              </w:rPr>
              <w:t>，渗透系数小于1×10</w:t>
            </w:r>
            <w:r>
              <w:rPr>
                <w:rFonts w:hint="default" w:ascii="Times New Roman" w:hAnsi="Times New Roman" w:eastAsia="宋体" w:cs="Times New Roman"/>
                <w:color w:val="auto"/>
                <w:sz w:val="24"/>
                <w:szCs w:val="24"/>
                <w:highlight w:val="none"/>
                <w:vertAlign w:val="superscript"/>
              </w:rPr>
              <w:t>-10</w:t>
            </w:r>
            <w:r>
              <w:rPr>
                <w:rFonts w:hint="default" w:ascii="Times New Roman" w:hAnsi="Times New Roman" w:eastAsia="宋体" w:cs="Times New Roman"/>
                <w:color w:val="auto"/>
                <w:sz w:val="24"/>
                <w:szCs w:val="24"/>
                <w:highlight w:val="none"/>
              </w:rPr>
              <w:t>cm/s</w:t>
            </w:r>
            <w:r>
              <w:rPr>
                <w:rFonts w:hint="default" w:ascii="Times New Roman" w:hAnsi="Times New Roman" w:eastAsia="宋体" w:cs="Times New Roman"/>
                <w:bCs/>
                <w:color w:val="auto"/>
                <w:sz w:val="24"/>
                <w:szCs w:val="24"/>
                <w:highlight w:val="none"/>
              </w:rPr>
              <w:t>。</w:t>
            </w:r>
          </w:p>
          <w:p>
            <w:pPr>
              <w:pStyle w:val="10"/>
              <w:keepNext w:val="0"/>
              <w:keepLines w:val="0"/>
              <w:pageBreakBefore w:val="0"/>
              <w:widowControl w:val="0"/>
              <w:kinsoku/>
              <w:wordWrap/>
              <w:overflowPunct/>
              <w:topLinePunct w:val="0"/>
              <w:autoSpaceDE/>
              <w:autoSpaceDN/>
              <w:bidi w:val="0"/>
              <w:spacing w:after="0" w:line="240" w:lineRule="auto"/>
              <w:textAlignment w:val="auto"/>
              <w:rPr>
                <w:rStyle w:val="27"/>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一般防渗区：</w:t>
            </w:r>
            <w:r>
              <w:rPr>
                <w:rFonts w:hint="eastAsia"/>
                <w:color w:val="auto"/>
                <w:sz w:val="24"/>
                <w:szCs w:val="24"/>
                <w:highlight w:val="none"/>
                <w:lang w:val="en-US" w:eastAsia="zh-CN"/>
              </w:rPr>
              <w:t>厂房</w:t>
            </w:r>
            <w:r>
              <w:rPr>
                <w:rFonts w:hint="eastAsia"/>
                <w:color w:val="auto"/>
                <w:sz w:val="24"/>
                <w:szCs w:val="24"/>
                <w:highlight w:val="none"/>
              </w:rPr>
              <w:t>地面防渗</w:t>
            </w:r>
            <w:r>
              <w:rPr>
                <w:rFonts w:hint="eastAsia"/>
                <w:color w:val="auto"/>
                <w:sz w:val="24"/>
                <w:szCs w:val="24"/>
                <w:highlight w:val="none"/>
                <w:lang w:eastAsia="zh-CN"/>
              </w:rPr>
              <w:t>（</w:t>
            </w:r>
            <w:r>
              <w:rPr>
                <w:rFonts w:hint="eastAsia"/>
                <w:color w:val="auto"/>
                <w:sz w:val="24"/>
                <w:szCs w:val="24"/>
                <w:highlight w:val="none"/>
                <w:lang w:val="en-US" w:eastAsia="zh-CN"/>
              </w:rPr>
              <w:t>已建成</w:t>
            </w:r>
            <w:r>
              <w:rPr>
                <w:rFonts w:hint="eastAsia"/>
                <w:color w:val="auto"/>
                <w:sz w:val="24"/>
                <w:szCs w:val="24"/>
                <w:highlight w:val="none"/>
                <w:lang w:eastAsia="zh-CN"/>
              </w:rPr>
              <w:t>）：基础黏土层夯实，表面</w:t>
            </w:r>
            <w:r>
              <w:rPr>
                <w:rFonts w:hint="default" w:ascii="Times New Roman" w:hAnsi="Times New Roman" w:cs="Times New Roman"/>
                <w:color w:val="auto"/>
                <w:sz w:val="24"/>
                <w:szCs w:val="24"/>
                <w:highlight w:val="none"/>
                <w:lang w:val="en-US" w:eastAsia="zh-CN"/>
              </w:rPr>
              <w:t>15cm厚</w:t>
            </w:r>
            <w:r>
              <w:rPr>
                <w:rFonts w:hint="eastAsia"/>
                <w:color w:val="auto"/>
                <w:sz w:val="24"/>
                <w:szCs w:val="24"/>
                <w:highlight w:val="none"/>
                <w:lang w:val="en-US" w:eastAsia="zh-CN"/>
              </w:rPr>
              <w:t>混凝土</w:t>
            </w:r>
            <w:r>
              <w:rPr>
                <w:rFonts w:hint="eastAsia"/>
                <w:color w:val="auto"/>
                <w:sz w:val="24"/>
                <w:szCs w:val="24"/>
                <w:highlight w:val="none"/>
                <w:lang w:eastAsia="zh-CN"/>
              </w:rPr>
              <w:t>防渗措施</w:t>
            </w:r>
            <w:r>
              <w:rPr>
                <w:rFonts w:hint="eastAsia"/>
                <w:color w:val="auto"/>
                <w:sz w:val="24"/>
                <w:szCs w:val="24"/>
                <w:highlight w:val="none"/>
                <w:lang w:val="en-US" w:eastAsia="zh-CN"/>
              </w:rPr>
              <w:t>+环氧树脂漆涂层防腐；沉淀池</w:t>
            </w:r>
            <w:r>
              <w:rPr>
                <w:rFonts w:hint="eastAsia"/>
                <w:color w:val="auto"/>
                <w:sz w:val="24"/>
                <w:szCs w:val="24"/>
                <w:highlight w:val="none"/>
              </w:rPr>
              <w:t>防渗</w:t>
            </w:r>
            <w:r>
              <w:rPr>
                <w:rFonts w:hint="eastAsia"/>
                <w:color w:val="auto"/>
                <w:sz w:val="24"/>
                <w:szCs w:val="24"/>
                <w:highlight w:val="none"/>
                <w:lang w:eastAsia="zh-CN"/>
              </w:rPr>
              <w:t>：基础黏土层夯实</w:t>
            </w:r>
            <w:r>
              <w:rPr>
                <w:rFonts w:hint="default" w:ascii="Times New Roman" w:hAnsi="Times New Roman" w:cs="Times New Roman"/>
                <w:color w:val="auto"/>
                <w:sz w:val="24"/>
                <w:szCs w:val="24"/>
                <w:highlight w:val="none"/>
                <w:lang w:eastAsia="zh-CN"/>
              </w:rPr>
              <w:t>，表面</w:t>
            </w:r>
            <w:r>
              <w:rPr>
                <w:rFonts w:hint="default" w:ascii="Times New Roman" w:hAnsi="Times New Roman" w:cs="Times New Roman"/>
                <w:color w:val="auto"/>
                <w:sz w:val="24"/>
                <w:szCs w:val="24"/>
                <w:highlight w:val="none"/>
                <w:lang w:val="en-US" w:eastAsia="zh-CN"/>
              </w:rPr>
              <w:t>15cm厚混凝土</w:t>
            </w:r>
            <w:r>
              <w:rPr>
                <w:rFonts w:hint="default" w:ascii="Times New Roman" w:hAnsi="Times New Roman" w:cs="Times New Roman"/>
                <w:color w:val="auto"/>
                <w:sz w:val="24"/>
                <w:szCs w:val="24"/>
                <w:highlight w:val="none"/>
                <w:lang w:eastAsia="zh-CN"/>
              </w:rPr>
              <w:t>防渗措施，</w:t>
            </w:r>
            <w:r>
              <w:rPr>
                <w:rFonts w:hint="default" w:ascii="Times New Roman" w:hAnsi="Times New Roman" w:cs="Times New Roman"/>
                <w:color w:val="auto"/>
                <w:sz w:val="24"/>
                <w:szCs w:val="24"/>
                <w:highlight w:val="none"/>
              </w:rPr>
              <w:t>等效粘土防渗层Mb≥1.5m，K≤1×10</w:t>
            </w:r>
            <w:r>
              <w:rPr>
                <w:rFonts w:hint="default" w:ascii="Times New Roman" w:hAnsi="Times New Roman" w:cs="Times New Roman"/>
                <w:color w:val="auto"/>
                <w:sz w:val="24"/>
                <w:szCs w:val="24"/>
                <w:highlight w:val="none"/>
                <w:vertAlign w:val="superscript"/>
              </w:rPr>
              <w:t>-7</w:t>
            </w:r>
            <w:r>
              <w:rPr>
                <w:rFonts w:hint="default" w:ascii="Times New Roman" w:hAnsi="Times New Roman" w:cs="Times New Roman"/>
                <w:color w:val="auto"/>
                <w:sz w:val="24"/>
                <w:szCs w:val="24"/>
                <w:highlight w:val="none"/>
              </w:rPr>
              <w:t>cm/s</w:t>
            </w:r>
            <w:r>
              <w:rPr>
                <w:rFonts w:hint="eastAsia"/>
                <w:color w:val="auto"/>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3" w:type="pct"/>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生态保护措施</w:t>
            </w:r>
          </w:p>
        </w:tc>
        <w:tc>
          <w:tcPr>
            <w:tcW w:w="4236" w:type="pct"/>
            <w:gridSpan w:val="4"/>
            <w:noWrap w:val="0"/>
            <w:vAlign w:val="center"/>
          </w:tcPr>
          <w:p>
            <w:pPr>
              <w:adjustRightInd w:val="0"/>
              <w:snapToGrid w:val="0"/>
              <w:spacing w:line="240" w:lineRule="auto"/>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63" w:type="pct"/>
            <w:noWrap w:val="0"/>
            <w:vAlign w:val="center"/>
          </w:tcPr>
          <w:p>
            <w:pPr>
              <w:adjustRightInd w:val="0"/>
              <w:snapToGrid w:val="0"/>
              <w:spacing w:line="240" w:lineRule="auto"/>
              <w:jc w:val="center"/>
              <w:rPr>
                <w:rFonts w:hint="default" w:ascii="Times New Roman" w:hAnsi="Times New Roman" w:cs="Times New Roman"/>
                <w:color w:val="auto"/>
                <w:spacing w:val="-8"/>
                <w:sz w:val="24"/>
                <w:szCs w:val="24"/>
                <w:highlight w:val="none"/>
              </w:rPr>
            </w:pPr>
            <w:r>
              <w:rPr>
                <w:rFonts w:hint="default" w:ascii="Times New Roman" w:hAnsi="Times New Roman" w:cs="Times New Roman"/>
                <w:color w:val="auto"/>
                <w:spacing w:val="-8"/>
                <w:sz w:val="24"/>
                <w:szCs w:val="24"/>
                <w:highlight w:val="none"/>
              </w:rPr>
              <w:t>环境风险</w:t>
            </w:r>
          </w:p>
          <w:p>
            <w:pPr>
              <w:adjustRightInd w:val="0"/>
              <w:snapToGrid w:val="0"/>
              <w:spacing w:line="240" w:lineRule="auto"/>
              <w:jc w:val="center"/>
              <w:rPr>
                <w:rFonts w:hint="default" w:ascii="Times New Roman" w:hAnsi="Times New Roman" w:cs="Times New Roman"/>
                <w:color w:val="auto"/>
                <w:spacing w:val="-8"/>
                <w:sz w:val="24"/>
                <w:szCs w:val="24"/>
                <w:highlight w:val="none"/>
              </w:rPr>
            </w:pPr>
            <w:r>
              <w:rPr>
                <w:rFonts w:hint="default" w:ascii="Times New Roman" w:hAnsi="Times New Roman" w:cs="Times New Roman"/>
                <w:color w:val="auto"/>
                <w:spacing w:val="-8"/>
                <w:sz w:val="24"/>
                <w:szCs w:val="24"/>
                <w:highlight w:val="none"/>
              </w:rPr>
              <w:t>防范措施</w:t>
            </w:r>
          </w:p>
        </w:tc>
        <w:tc>
          <w:tcPr>
            <w:tcW w:w="4236" w:type="pct"/>
            <w:gridSpan w:val="4"/>
            <w:noWrap w:val="0"/>
            <w:vAlign w:val="center"/>
          </w:tcPr>
          <w:p>
            <w:pPr>
              <w:adjustRightInd w:val="0"/>
              <w:snapToGrid w:val="0"/>
              <w:spacing w:line="240" w:lineRule="auto"/>
              <w:jc w:val="both"/>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①厂区进行地面</w:t>
            </w:r>
            <w:r>
              <w:rPr>
                <w:rFonts w:hint="eastAsia" w:ascii="Times New Roman" w:hAnsi="Times New Roman" w:cs="Times New Roman"/>
                <w:color w:val="auto"/>
                <w:sz w:val="24"/>
                <w:szCs w:val="24"/>
                <w:highlight w:val="none"/>
                <w:lang w:val="en-US" w:eastAsia="zh-CN"/>
              </w:rPr>
              <w:t>已</w:t>
            </w:r>
            <w:r>
              <w:rPr>
                <w:rFonts w:hint="default" w:ascii="Times New Roman" w:hAnsi="Times New Roman" w:cs="Times New Roman"/>
                <w:color w:val="auto"/>
                <w:sz w:val="24"/>
                <w:szCs w:val="24"/>
                <w:highlight w:val="none"/>
                <w:lang w:val="en-US" w:eastAsia="zh-CN"/>
              </w:rPr>
              <w:t xml:space="preserve">硬化，防止水渗入土壤及地下。 </w:t>
            </w:r>
          </w:p>
          <w:p>
            <w:pPr>
              <w:adjustRightInd w:val="0"/>
              <w:snapToGrid w:val="0"/>
              <w:spacing w:line="240" w:lineRule="auto"/>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②</w:t>
            </w:r>
            <w:r>
              <w:rPr>
                <w:rFonts w:hint="eastAsia" w:ascii="Times New Roman" w:hAnsi="Times New Roman" w:cs="Times New Roman"/>
                <w:color w:val="auto"/>
                <w:sz w:val="24"/>
                <w:szCs w:val="24"/>
                <w:highlight w:val="none"/>
                <w:lang w:val="en-US" w:eastAsia="zh-CN"/>
              </w:rPr>
              <w:t>制定突发环境应急预案</w:t>
            </w:r>
            <w:r>
              <w:rPr>
                <w:rFonts w:hint="default" w:ascii="Times New Roman" w:hAnsi="Times New Roman" w:cs="Times New Roman"/>
                <w:color w:val="auto"/>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763" w:type="pct"/>
            <w:noWrap w:val="0"/>
            <w:vAlign w:val="center"/>
          </w:tcPr>
          <w:p>
            <w:pPr>
              <w:adjustRightInd w:val="0"/>
              <w:snapToGrid w:val="0"/>
              <w:spacing w:line="240" w:lineRule="auto"/>
              <w:jc w:val="center"/>
              <w:rPr>
                <w:rFonts w:hint="default" w:ascii="Times New Roman" w:hAnsi="Times New Roman" w:cs="Times New Roman"/>
                <w:color w:val="auto"/>
                <w:spacing w:val="-8"/>
                <w:sz w:val="24"/>
                <w:szCs w:val="24"/>
                <w:highlight w:val="none"/>
              </w:rPr>
            </w:pPr>
            <w:r>
              <w:rPr>
                <w:rFonts w:hint="default" w:ascii="Times New Roman" w:hAnsi="Times New Roman" w:cs="Times New Roman"/>
                <w:color w:val="auto"/>
                <w:spacing w:val="-8"/>
                <w:sz w:val="24"/>
                <w:szCs w:val="24"/>
                <w:highlight w:val="none"/>
              </w:rPr>
              <w:t>其他环境</w:t>
            </w:r>
          </w:p>
          <w:p>
            <w:pPr>
              <w:adjustRightInd w:val="0"/>
              <w:snapToGrid w:val="0"/>
              <w:spacing w:line="240" w:lineRule="auto"/>
              <w:jc w:val="center"/>
              <w:rPr>
                <w:rFonts w:hint="default" w:ascii="Times New Roman" w:hAnsi="Times New Roman" w:cs="Times New Roman"/>
                <w:color w:val="auto"/>
                <w:spacing w:val="-8"/>
                <w:sz w:val="24"/>
                <w:szCs w:val="24"/>
                <w:highlight w:val="none"/>
              </w:rPr>
            </w:pPr>
            <w:r>
              <w:rPr>
                <w:rFonts w:hint="default" w:ascii="Times New Roman" w:hAnsi="Times New Roman" w:cs="Times New Roman"/>
                <w:color w:val="auto"/>
                <w:spacing w:val="-8"/>
                <w:sz w:val="24"/>
                <w:szCs w:val="24"/>
                <w:highlight w:val="none"/>
              </w:rPr>
              <w:t>管理要求</w:t>
            </w:r>
          </w:p>
        </w:tc>
        <w:tc>
          <w:tcPr>
            <w:tcW w:w="4236" w:type="pct"/>
            <w:gridSpan w:val="4"/>
            <w:noWrap w:val="0"/>
            <w:vAlign w:val="center"/>
          </w:tcPr>
          <w:p>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r>
    </w:tbl>
    <w:p>
      <w:pPr>
        <w:rPr>
          <w:rFonts w:ascii="Times New Roman" w:hAnsi="Times New Roman" w:eastAsia="黑体" w:cs="Times New Roman"/>
          <w:color w:val="auto"/>
          <w:sz w:val="30"/>
          <w:highlight w:val="none"/>
        </w:rPr>
      </w:pPr>
      <w:r>
        <w:rPr>
          <w:rFonts w:ascii="Times New Roman" w:hAnsi="Times New Roman" w:eastAsia="黑体" w:cs="Times New Roman"/>
          <w:color w:val="auto"/>
          <w:sz w:val="30"/>
          <w:highlight w:val="none"/>
        </w:rPr>
        <w:br w:type="page"/>
      </w:r>
    </w:p>
    <w:p>
      <w:pPr>
        <w:spacing w:before="124"/>
        <w:ind w:left="442" w:right="464"/>
        <w:jc w:val="center"/>
        <w:outlineLvl w:val="0"/>
        <w:rPr>
          <w:rFonts w:ascii="Times New Roman" w:hAnsi="Times New Roman" w:eastAsia="黑体" w:cs="Times New Roman"/>
          <w:color w:val="auto"/>
          <w:sz w:val="30"/>
          <w:highlight w:val="none"/>
        </w:rPr>
      </w:pPr>
      <w:r>
        <w:rPr>
          <w:rFonts w:ascii="Times New Roman" w:hAnsi="Times New Roman" w:eastAsia="黑体" w:cs="Times New Roman"/>
          <w:color w:val="auto"/>
          <w:sz w:val="30"/>
          <w:highlight w:val="none"/>
        </w:rPr>
        <w:t>六、结论</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4" w:hRule="atLeast"/>
        </w:trPr>
        <w:tc>
          <w:tcPr>
            <w:tcW w:w="10347" w:type="dxa"/>
            <w:vAlign w:val="center"/>
          </w:tcPr>
          <w:p>
            <w:pPr>
              <w:pStyle w:val="10"/>
              <w:tabs>
                <w:tab w:val="left" w:pos="9680"/>
                <w:tab w:val="left" w:pos="10120"/>
              </w:tabs>
              <w:spacing w:before="5" w:line="391" w:lineRule="auto"/>
              <w:ind w:left="0" w:leftChars="0" w:right="5" w:rightChars="0" w:firstLine="480" w:firstLineChars="0"/>
              <w:jc w:val="both"/>
              <w:rPr>
                <w:rFonts w:ascii="Times New Roman" w:hAnsi="Times New Roman" w:eastAsia="黑体" w:cs="Times New Roman"/>
                <w:color w:val="auto"/>
                <w:sz w:val="30"/>
                <w:highlight w:val="none"/>
                <w:lang w:val="en-US"/>
              </w:rPr>
            </w:pPr>
            <w:r>
              <w:rPr>
                <w:rFonts w:hint="eastAsia" w:ascii="Times New Roman" w:hAnsi="Times New Roman" w:cs="Times New Roman"/>
                <w:color w:val="auto"/>
                <w:highlight w:val="none"/>
                <w:lang w:val="en-US" w:eastAsia="zh-CN"/>
              </w:rPr>
              <w:t>本项目符合国家产业政策，选址可行，区域环境质量良好，项目运营期采取有效污染防治措施</w:t>
            </w:r>
            <w:r>
              <w:rPr>
                <w:rFonts w:ascii="Times New Roman" w:hAnsi="Times New Roman" w:cs="Times New Roman"/>
                <w:color w:val="auto"/>
                <w:highlight w:val="none"/>
              </w:rPr>
              <w:t>，</w:t>
            </w:r>
            <w:r>
              <w:rPr>
                <w:rFonts w:hint="eastAsia" w:ascii="Times New Roman" w:hAnsi="Times New Roman" w:cs="Times New Roman"/>
                <w:color w:val="auto"/>
                <w:highlight w:val="none"/>
                <w:lang w:val="en-US" w:eastAsia="zh-CN"/>
              </w:rPr>
              <w:t>对周围环境影响较小，综上所述，在认真落实各项环保措施的条件下，</w:t>
            </w:r>
            <w:r>
              <w:rPr>
                <w:rFonts w:ascii="Times New Roman" w:hAnsi="Times New Roman" w:cs="Times New Roman"/>
                <w:color w:val="auto"/>
                <w:highlight w:val="none"/>
              </w:rPr>
              <w:t>从环境保护角度</w:t>
            </w:r>
            <w:r>
              <w:rPr>
                <w:rFonts w:hint="eastAsia" w:ascii="Times New Roman" w:hAnsi="Times New Roman" w:cs="Times New Roman"/>
                <w:color w:val="auto"/>
                <w:highlight w:val="none"/>
                <w:lang w:val="en-US" w:eastAsia="zh-CN"/>
              </w:rPr>
              <w:t>分析</w:t>
            </w:r>
            <w:r>
              <w:rPr>
                <w:rFonts w:ascii="Times New Roman" w:hAnsi="Times New Roman" w:cs="Times New Roman"/>
                <w:color w:val="auto"/>
                <w:highlight w:val="none"/>
              </w:rPr>
              <w:t>，项目建设是可行的。</w:t>
            </w:r>
          </w:p>
        </w:tc>
      </w:tr>
    </w:tbl>
    <w:p>
      <w:pPr>
        <w:spacing w:before="124"/>
        <w:ind w:left="442" w:right="464"/>
        <w:jc w:val="center"/>
        <w:rPr>
          <w:rFonts w:ascii="Times New Roman" w:hAnsi="Times New Roman" w:eastAsia="黑体" w:cs="Times New Roman"/>
          <w:color w:val="auto"/>
          <w:sz w:val="30"/>
          <w:highlight w:val="none"/>
        </w:rPr>
      </w:pPr>
    </w:p>
    <w:p>
      <w:pPr>
        <w:spacing w:line="364" w:lineRule="auto"/>
        <w:rPr>
          <w:rFonts w:ascii="Times New Roman" w:hAnsi="Times New Roman" w:cs="Times New Roman"/>
          <w:color w:val="auto"/>
          <w:highlight w:val="none"/>
        </w:rPr>
        <w:sectPr>
          <w:footerReference r:id="rId7" w:type="default"/>
          <w:footerReference r:id="rId8" w:type="even"/>
          <w:pgSz w:w="11905" w:h="16838"/>
          <w:pgMar w:top="1440" w:right="879" w:bottom="918" w:left="901" w:header="0" w:footer="737" w:gutter="0"/>
          <w:pgBorders>
            <w:top w:val="none" w:sz="0" w:space="0"/>
            <w:left w:val="none" w:sz="0" w:space="0"/>
            <w:bottom w:val="none" w:sz="0" w:space="0"/>
            <w:right w:val="none" w:sz="0" w:space="0"/>
          </w:pgBorders>
          <w:pgNumType w:fmt="decimal"/>
          <w:cols w:space="0" w:num="1"/>
          <w:rtlGutter w:val="0"/>
          <w:docGrid w:linePitch="0" w:charSpace="0"/>
        </w:sectPr>
      </w:pPr>
    </w:p>
    <w:p>
      <w:pPr>
        <w:rPr>
          <w:rFonts w:ascii="Times New Roman" w:hAnsi="Times New Roman" w:cs="Times New Roman"/>
          <w:b/>
          <w:bCs/>
          <w:color w:val="auto"/>
          <w:highlight w:val="none"/>
        </w:rPr>
      </w:pPr>
      <w:bookmarkStart w:id="5" w:name="附表"/>
      <w:bookmarkEnd w:id="5"/>
      <w:r>
        <w:rPr>
          <w:rFonts w:ascii="Times New Roman" w:hAnsi="Times New Roman" w:cs="Times New Roman"/>
          <w:b/>
          <w:bCs/>
          <w:color w:val="auto"/>
          <w:highlight w:val="none"/>
        </w:rPr>
        <w:t>附表</w:t>
      </w:r>
    </w:p>
    <w:p>
      <w:pPr>
        <w:jc w:val="center"/>
        <w:rPr>
          <w:rFonts w:ascii="Times New Roman" w:hAnsi="Times New Roman" w:cs="Times New Roman"/>
          <w:b/>
          <w:bCs/>
          <w:color w:val="auto"/>
          <w:highlight w:val="none"/>
        </w:rPr>
      </w:pPr>
      <w:bookmarkStart w:id="6" w:name="建设项目污染物排放量汇总表"/>
      <w:bookmarkEnd w:id="6"/>
      <w:r>
        <w:rPr>
          <w:rFonts w:ascii="Times New Roman" w:hAnsi="Times New Roman" w:cs="Times New Roman"/>
          <w:b/>
          <w:bCs/>
          <w:color w:val="auto"/>
          <w:sz w:val="36"/>
          <w:szCs w:val="36"/>
          <w:highlight w:val="none"/>
        </w:rPr>
        <w:t>建设项目污染物排放量汇总表</w:t>
      </w:r>
    </w:p>
    <w:tbl>
      <w:tblPr>
        <w:tblStyle w:val="22"/>
        <w:tblW w:w="138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73"/>
        <w:gridCol w:w="1575"/>
        <w:gridCol w:w="1673"/>
        <w:gridCol w:w="13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tcBorders>
              <w:tl2br w:val="single" w:color="auto" w:sz="4" w:space="0"/>
            </w:tcBorders>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spacing w:beforeLines="0" w:afterLines="0" w:line="240" w:lineRule="auto"/>
              <w:jc w:val="right"/>
              <w:textAlignment w:val="auto"/>
              <w:rPr>
                <w:rFonts w:hint="eastAsia" w:ascii="黑体" w:hAnsi="黑体" w:eastAsia="黑体" w:cs="宋体"/>
                <w:snapToGrid w:val="0"/>
                <w:color w:val="auto"/>
                <w:spacing w:val="-6"/>
                <w:kern w:val="21"/>
                <w:sz w:val="24"/>
                <w:szCs w:val="24"/>
                <w:highlight w:val="none"/>
              </w:rPr>
            </w:pPr>
            <w:r>
              <w:rPr>
                <w:rFonts w:hint="eastAsia" w:ascii="黑体" w:hAnsi="黑体" w:eastAsia="黑体" w:cs="宋体"/>
                <w:snapToGrid w:val="0"/>
                <w:color w:val="auto"/>
                <w:spacing w:val="-6"/>
                <w:kern w:val="21"/>
                <w:sz w:val="24"/>
                <w:szCs w:val="24"/>
                <w:highlight w:val="none"/>
              </w:rPr>
              <w:t>项目</w:t>
            </w:r>
          </w:p>
          <w:p>
            <w:pPr>
              <w:pStyle w:val="32"/>
              <w:keepNext w:val="0"/>
              <w:keepLines w:val="0"/>
              <w:pageBreakBefore w:val="0"/>
              <w:widowControl w:val="0"/>
              <w:kinsoku/>
              <w:wordWrap/>
              <w:overflowPunct/>
              <w:topLinePunct w:val="0"/>
              <w:autoSpaceDE/>
              <w:autoSpaceDN/>
              <w:bidi w:val="0"/>
              <w:spacing w:beforeLines="0" w:afterLines="0" w:line="240" w:lineRule="auto"/>
              <w:jc w:val="left"/>
              <w:textAlignment w:val="auto"/>
              <w:rPr>
                <w:rFonts w:hint="eastAsia" w:ascii="黑体" w:hAnsi="黑体" w:eastAsia="黑体" w:cs="宋体"/>
                <w:snapToGrid w:val="0"/>
                <w:color w:val="auto"/>
                <w:spacing w:val="-6"/>
                <w:kern w:val="21"/>
                <w:sz w:val="24"/>
                <w:szCs w:val="24"/>
                <w:highlight w:val="none"/>
              </w:rPr>
            </w:pPr>
            <w:r>
              <w:rPr>
                <w:rFonts w:hint="eastAsia" w:ascii="黑体" w:hAnsi="黑体" w:eastAsia="黑体" w:cs="宋体"/>
                <w:snapToGrid w:val="0"/>
                <w:color w:val="auto"/>
                <w:spacing w:val="-6"/>
                <w:kern w:val="21"/>
                <w:sz w:val="24"/>
                <w:szCs w:val="24"/>
                <w:highlight w:val="none"/>
              </w:rPr>
              <w:t>分类</w:t>
            </w:r>
          </w:p>
        </w:tc>
        <w:tc>
          <w:tcPr>
            <w:tcW w:w="1417"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cs="宋体"/>
                <w:snapToGrid w:val="0"/>
                <w:color w:val="auto"/>
                <w:spacing w:val="-6"/>
                <w:kern w:val="21"/>
                <w:sz w:val="24"/>
                <w:szCs w:val="24"/>
                <w:highlight w:val="none"/>
              </w:rPr>
            </w:pPr>
            <w:r>
              <w:rPr>
                <w:rFonts w:hint="eastAsia" w:ascii="黑体" w:hAnsi="黑体" w:eastAsia="黑体" w:cs="宋体"/>
                <w:snapToGrid w:val="0"/>
                <w:color w:val="auto"/>
                <w:spacing w:val="-6"/>
                <w:kern w:val="21"/>
                <w:sz w:val="24"/>
                <w:szCs w:val="24"/>
                <w:highlight w:val="none"/>
              </w:rPr>
              <w:t>污染物名称</w:t>
            </w:r>
          </w:p>
        </w:tc>
        <w:tc>
          <w:tcPr>
            <w:tcW w:w="1701"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t>现有工程</w:t>
            </w:r>
          </w:p>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t>排放量（固</w:t>
            </w:r>
            <w:r>
              <w:rPr>
                <w:rFonts w:hint="eastAsia" w:ascii="黑体" w:hAnsi="黑体" w:eastAsia="黑体"/>
                <w:snapToGrid w:val="0"/>
                <w:color w:val="auto"/>
                <w:spacing w:val="-6"/>
                <w:kern w:val="21"/>
                <w:sz w:val="24"/>
                <w:szCs w:val="24"/>
                <w:highlight w:val="none"/>
              </w:rPr>
              <w:t>体</w:t>
            </w:r>
            <w:r>
              <w:rPr>
                <w:rFonts w:ascii="黑体" w:hAnsi="黑体" w:eastAsia="黑体"/>
                <w:snapToGrid w:val="0"/>
                <w:color w:val="auto"/>
                <w:spacing w:val="-6"/>
                <w:kern w:val="21"/>
                <w:sz w:val="24"/>
                <w:szCs w:val="24"/>
                <w:highlight w:val="none"/>
              </w:rPr>
              <w:t>废</w:t>
            </w:r>
            <w:r>
              <w:rPr>
                <w:rFonts w:hint="eastAsia" w:ascii="黑体" w:hAnsi="黑体" w:eastAsia="黑体"/>
                <w:snapToGrid w:val="0"/>
                <w:color w:val="auto"/>
                <w:spacing w:val="-6"/>
                <w:kern w:val="21"/>
                <w:sz w:val="24"/>
                <w:szCs w:val="24"/>
                <w:highlight w:val="none"/>
              </w:rPr>
              <w:t>物</w:t>
            </w:r>
            <w:r>
              <w:rPr>
                <w:rFonts w:ascii="黑体" w:hAnsi="黑体" w:eastAsia="黑体"/>
                <w:snapToGrid w:val="0"/>
                <w:color w:val="auto"/>
                <w:spacing w:val="-6"/>
                <w:kern w:val="21"/>
                <w:sz w:val="24"/>
                <w:szCs w:val="24"/>
                <w:highlight w:val="none"/>
              </w:rPr>
              <w:t>产生量）</w:t>
            </w:r>
            <w:r>
              <w:rPr>
                <w:rFonts w:ascii="黑体" w:hAnsi="黑体" w:eastAsia="黑体"/>
                <w:snapToGrid w:val="0"/>
                <w:color w:val="auto"/>
                <w:spacing w:val="-6"/>
                <w:kern w:val="21"/>
                <w:sz w:val="24"/>
                <w:szCs w:val="24"/>
                <w:highlight w:val="none"/>
              </w:rPr>
              <w:fldChar w:fldCharType="begin"/>
            </w:r>
            <w:r>
              <w:rPr>
                <w:rFonts w:ascii="黑体" w:hAnsi="黑体" w:eastAsia="黑体"/>
                <w:snapToGrid w:val="0"/>
                <w:color w:val="auto"/>
                <w:spacing w:val="-6"/>
                <w:kern w:val="21"/>
                <w:sz w:val="24"/>
                <w:szCs w:val="24"/>
                <w:highlight w:val="none"/>
              </w:rPr>
              <w:instrText xml:space="preserve"> = 1 \* GB3 \* MERGEFORMAT </w:instrText>
            </w:r>
            <w:r>
              <w:rPr>
                <w:rFonts w:ascii="黑体" w:hAnsi="黑体" w:eastAsia="黑体"/>
                <w:snapToGrid w:val="0"/>
                <w:color w:val="auto"/>
                <w:spacing w:val="-6"/>
                <w:kern w:val="21"/>
                <w:sz w:val="24"/>
                <w:szCs w:val="24"/>
                <w:highlight w:val="none"/>
              </w:rPr>
              <w:fldChar w:fldCharType="separate"/>
            </w:r>
            <w:r>
              <w:rPr>
                <w:rFonts w:hint="eastAsia" w:ascii="黑体" w:hAnsi="黑体" w:eastAsia="黑体" w:cs="宋体"/>
                <w:color w:val="auto"/>
                <w:kern w:val="2"/>
                <w:sz w:val="24"/>
                <w:szCs w:val="24"/>
                <w:highlight w:val="none"/>
              </w:rPr>
              <w:t>①</w:t>
            </w:r>
            <w:r>
              <w:rPr>
                <w:rFonts w:ascii="黑体" w:hAnsi="黑体" w:eastAsia="黑体"/>
                <w:snapToGrid w:val="0"/>
                <w:color w:val="auto"/>
                <w:spacing w:val="-6"/>
                <w:kern w:val="21"/>
                <w:sz w:val="24"/>
                <w:szCs w:val="24"/>
                <w:highlight w:val="none"/>
              </w:rPr>
              <w:fldChar w:fldCharType="end"/>
            </w:r>
          </w:p>
        </w:tc>
        <w:tc>
          <w:tcPr>
            <w:tcW w:w="1276"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t>现有工程</w:t>
            </w:r>
          </w:p>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t>许可排放量</w:t>
            </w:r>
          </w:p>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fldChar w:fldCharType="begin"/>
            </w:r>
            <w:r>
              <w:rPr>
                <w:rFonts w:ascii="黑体" w:hAnsi="黑体" w:eastAsia="黑体"/>
                <w:snapToGrid w:val="0"/>
                <w:color w:val="auto"/>
                <w:spacing w:val="-6"/>
                <w:kern w:val="21"/>
                <w:sz w:val="24"/>
                <w:szCs w:val="24"/>
                <w:highlight w:val="none"/>
              </w:rPr>
              <w:instrText xml:space="preserve"> = 2 \* GB3 \* MERGEFORMAT </w:instrText>
            </w:r>
            <w:r>
              <w:rPr>
                <w:rFonts w:ascii="黑体" w:hAnsi="黑体" w:eastAsia="黑体"/>
                <w:snapToGrid w:val="0"/>
                <w:color w:val="auto"/>
                <w:spacing w:val="-6"/>
                <w:kern w:val="21"/>
                <w:sz w:val="24"/>
                <w:szCs w:val="24"/>
                <w:highlight w:val="none"/>
              </w:rPr>
              <w:fldChar w:fldCharType="separate"/>
            </w:r>
            <w:r>
              <w:rPr>
                <w:rFonts w:hint="eastAsia" w:ascii="黑体" w:hAnsi="黑体" w:eastAsia="黑体" w:cs="宋体"/>
                <w:snapToGrid w:val="0"/>
                <w:color w:val="auto"/>
                <w:spacing w:val="-6"/>
                <w:kern w:val="21"/>
                <w:sz w:val="24"/>
                <w:szCs w:val="24"/>
                <w:highlight w:val="none"/>
              </w:rPr>
              <w:t>②</w:t>
            </w:r>
            <w:r>
              <w:rPr>
                <w:rFonts w:ascii="黑体" w:hAnsi="黑体" w:eastAsia="黑体"/>
                <w:snapToGrid w:val="0"/>
                <w:color w:val="auto"/>
                <w:spacing w:val="-6"/>
                <w:kern w:val="21"/>
                <w:sz w:val="24"/>
                <w:szCs w:val="24"/>
                <w:highlight w:val="none"/>
              </w:rPr>
              <w:fldChar w:fldCharType="end"/>
            </w:r>
          </w:p>
        </w:tc>
        <w:tc>
          <w:tcPr>
            <w:tcW w:w="1701"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t>在建工程</w:t>
            </w:r>
          </w:p>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t>排放量（固</w:t>
            </w:r>
            <w:r>
              <w:rPr>
                <w:rFonts w:hint="eastAsia" w:ascii="黑体" w:hAnsi="黑体" w:eastAsia="黑体"/>
                <w:snapToGrid w:val="0"/>
                <w:color w:val="auto"/>
                <w:spacing w:val="-6"/>
                <w:kern w:val="21"/>
                <w:sz w:val="24"/>
                <w:szCs w:val="24"/>
                <w:highlight w:val="none"/>
              </w:rPr>
              <w:t>体</w:t>
            </w:r>
            <w:r>
              <w:rPr>
                <w:rFonts w:ascii="黑体" w:hAnsi="黑体" w:eastAsia="黑体"/>
                <w:snapToGrid w:val="0"/>
                <w:color w:val="auto"/>
                <w:spacing w:val="-6"/>
                <w:kern w:val="21"/>
                <w:sz w:val="24"/>
                <w:szCs w:val="24"/>
                <w:highlight w:val="none"/>
              </w:rPr>
              <w:t>废</w:t>
            </w:r>
            <w:r>
              <w:rPr>
                <w:rFonts w:hint="eastAsia" w:ascii="黑体" w:hAnsi="黑体" w:eastAsia="黑体"/>
                <w:snapToGrid w:val="0"/>
                <w:color w:val="auto"/>
                <w:spacing w:val="-6"/>
                <w:kern w:val="21"/>
                <w:sz w:val="24"/>
                <w:szCs w:val="24"/>
                <w:highlight w:val="none"/>
              </w:rPr>
              <w:t>物</w:t>
            </w:r>
            <w:r>
              <w:rPr>
                <w:rFonts w:ascii="黑体" w:hAnsi="黑体" w:eastAsia="黑体"/>
                <w:snapToGrid w:val="0"/>
                <w:color w:val="auto"/>
                <w:spacing w:val="-6"/>
                <w:kern w:val="21"/>
                <w:sz w:val="24"/>
                <w:szCs w:val="24"/>
                <w:highlight w:val="none"/>
              </w:rPr>
              <w:t>产生量）</w:t>
            </w:r>
            <w:r>
              <w:rPr>
                <w:rFonts w:ascii="黑体" w:hAnsi="黑体" w:eastAsia="黑体"/>
                <w:snapToGrid w:val="0"/>
                <w:color w:val="auto"/>
                <w:spacing w:val="-6"/>
                <w:kern w:val="21"/>
                <w:sz w:val="24"/>
                <w:szCs w:val="24"/>
                <w:highlight w:val="none"/>
              </w:rPr>
              <w:fldChar w:fldCharType="begin"/>
            </w:r>
            <w:r>
              <w:rPr>
                <w:rFonts w:ascii="黑体" w:hAnsi="黑体" w:eastAsia="黑体"/>
                <w:snapToGrid w:val="0"/>
                <w:color w:val="auto"/>
                <w:spacing w:val="-6"/>
                <w:kern w:val="21"/>
                <w:sz w:val="24"/>
                <w:szCs w:val="24"/>
                <w:highlight w:val="none"/>
              </w:rPr>
              <w:instrText xml:space="preserve"> = 3 \* GB3 \* MERGEFORMAT </w:instrText>
            </w:r>
            <w:r>
              <w:rPr>
                <w:rFonts w:ascii="黑体" w:hAnsi="黑体" w:eastAsia="黑体"/>
                <w:snapToGrid w:val="0"/>
                <w:color w:val="auto"/>
                <w:spacing w:val="-6"/>
                <w:kern w:val="21"/>
                <w:sz w:val="24"/>
                <w:szCs w:val="24"/>
                <w:highlight w:val="none"/>
              </w:rPr>
              <w:fldChar w:fldCharType="separate"/>
            </w:r>
            <w:r>
              <w:rPr>
                <w:rFonts w:hint="eastAsia" w:ascii="黑体" w:hAnsi="黑体" w:eastAsia="黑体" w:cs="宋体"/>
                <w:color w:val="auto"/>
                <w:kern w:val="2"/>
                <w:sz w:val="24"/>
                <w:szCs w:val="24"/>
                <w:highlight w:val="none"/>
              </w:rPr>
              <w:t>③</w:t>
            </w:r>
            <w:r>
              <w:rPr>
                <w:rFonts w:ascii="黑体" w:hAnsi="黑体" w:eastAsia="黑体"/>
                <w:snapToGrid w:val="0"/>
                <w:color w:val="auto"/>
                <w:spacing w:val="-6"/>
                <w:kern w:val="21"/>
                <w:sz w:val="24"/>
                <w:szCs w:val="24"/>
                <w:highlight w:val="none"/>
              </w:rPr>
              <w:fldChar w:fldCharType="end"/>
            </w:r>
          </w:p>
        </w:tc>
        <w:tc>
          <w:tcPr>
            <w:tcW w:w="1573"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t>本项目</w:t>
            </w:r>
          </w:p>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t>排放量（固</w:t>
            </w:r>
            <w:r>
              <w:rPr>
                <w:rFonts w:hint="eastAsia" w:ascii="黑体" w:hAnsi="黑体" w:eastAsia="黑体"/>
                <w:snapToGrid w:val="0"/>
                <w:color w:val="auto"/>
                <w:spacing w:val="-6"/>
                <w:kern w:val="21"/>
                <w:sz w:val="24"/>
                <w:szCs w:val="24"/>
                <w:highlight w:val="none"/>
              </w:rPr>
              <w:t>体</w:t>
            </w:r>
            <w:r>
              <w:rPr>
                <w:rFonts w:ascii="黑体" w:hAnsi="黑体" w:eastAsia="黑体"/>
                <w:snapToGrid w:val="0"/>
                <w:color w:val="auto"/>
                <w:spacing w:val="-6"/>
                <w:kern w:val="21"/>
                <w:sz w:val="24"/>
                <w:szCs w:val="24"/>
                <w:highlight w:val="none"/>
              </w:rPr>
              <w:t>废</w:t>
            </w:r>
            <w:r>
              <w:rPr>
                <w:rFonts w:hint="eastAsia" w:ascii="黑体" w:hAnsi="黑体" w:eastAsia="黑体"/>
                <w:snapToGrid w:val="0"/>
                <w:color w:val="auto"/>
                <w:spacing w:val="-6"/>
                <w:kern w:val="21"/>
                <w:sz w:val="24"/>
                <w:szCs w:val="24"/>
                <w:highlight w:val="none"/>
              </w:rPr>
              <w:t>物</w:t>
            </w:r>
            <w:r>
              <w:rPr>
                <w:rFonts w:ascii="黑体" w:hAnsi="黑体" w:eastAsia="黑体"/>
                <w:snapToGrid w:val="0"/>
                <w:color w:val="auto"/>
                <w:spacing w:val="-6"/>
                <w:kern w:val="21"/>
                <w:sz w:val="24"/>
                <w:szCs w:val="24"/>
                <w:highlight w:val="none"/>
              </w:rPr>
              <w:t>产生量）</w:t>
            </w:r>
            <w:r>
              <w:rPr>
                <w:rFonts w:ascii="黑体" w:hAnsi="黑体" w:eastAsia="黑体"/>
                <w:snapToGrid w:val="0"/>
                <w:color w:val="auto"/>
                <w:spacing w:val="-6"/>
                <w:kern w:val="21"/>
                <w:sz w:val="24"/>
                <w:szCs w:val="24"/>
                <w:highlight w:val="none"/>
              </w:rPr>
              <w:fldChar w:fldCharType="begin"/>
            </w:r>
            <w:r>
              <w:rPr>
                <w:rFonts w:ascii="黑体" w:hAnsi="黑体" w:eastAsia="黑体"/>
                <w:snapToGrid w:val="0"/>
                <w:color w:val="auto"/>
                <w:spacing w:val="-6"/>
                <w:kern w:val="21"/>
                <w:sz w:val="24"/>
                <w:szCs w:val="24"/>
                <w:highlight w:val="none"/>
              </w:rPr>
              <w:instrText xml:space="preserve"> = 4 \* GB3 \* MERGEFORMAT </w:instrText>
            </w:r>
            <w:r>
              <w:rPr>
                <w:rFonts w:ascii="黑体" w:hAnsi="黑体" w:eastAsia="黑体"/>
                <w:snapToGrid w:val="0"/>
                <w:color w:val="auto"/>
                <w:spacing w:val="-6"/>
                <w:kern w:val="21"/>
                <w:sz w:val="24"/>
                <w:szCs w:val="24"/>
                <w:highlight w:val="none"/>
              </w:rPr>
              <w:fldChar w:fldCharType="separate"/>
            </w:r>
            <w:r>
              <w:rPr>
                <w:rFonts w:hint="eastAsia" w:ascii="黑体" w:hAnsi="黑体" w:eastAsia="黑体" w:cs="宋体"/>
                <w:color w:val="auto"/>
                <w:kern w:val="2"/>
                <w:sz w:val="24"/>
                <w:szCs w:val="24"/>
                <w:highlight w:val="none"/>
              </w:rPr>
              <w:t>④</w:t>
            </w:r>
            <w:r>
              <w:rPr>
                <w:rFonts w:ascii="黑体" w:hAnsi="黑体" w:eastAsia="黑体"/>
                <w:snapToGrid w:val="0"/>
                <w:color w:val="auto"/>
                <w:spacing w:val="-6"/>
                <w:kern w:val="21"/>
                <w:sz w:val="24"/>
                <w:szCs w:val="24"/>
                <w:highlight w:val="none"/>
              </w:rPr>
              <w:fldChar w:fldCharType="end"/>
            </w:r>
          </w:p>
        </w:tc>
        <w:tc>
          <w:tcPr>
            <w:tcW w:w="1575"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snapToGrid w:val="0"/>
                <w:color w:val="auto"/>
                <w:spacing w:val="-16"/>
                <w:kern w:val="21"/>
                <w:sz w:val="24"/>
                <w:szCs w:val="24"/>
                <w:highlight w:val="none"/>
              </w:rPr>
            </w:pPr>
            <w:r>
              <w:rPr>
                <w:rFonts w:ascii="黑体" w:hAnsi="黑体" w:eastAsia="黑体"/>
                <w:snapToGrid w:val="0"/>
                <w:color w:val="auto"/>
                <w:spacing w:val="-16"/>
                <w:kern w:val="21"/>
                <w:sz w:val="24"/>
                <w:szCs w:val="24"/>
                <w:highlight w:val="none"/>
              </w:rPr>
              <w:t>以新带老削减量</w:t>
            </w:r>
          </w:p>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auto"/>
                <w:spacing w:val="-16"/>
                <w:kern w:val="21"/>
                <w:sz w:val="24"/>
                <w:szCs w:val="24"/>
                <w:highlight w:val="none"/>
              </w:rPr>
            </w:pPr>
            <w:r>
              <w:rPr>
                <w:rFonts w:ascii="黑体" w:hAnsi="黑体" w:eastAsia="黑体"/>
                <w:snapToGrid w:val="0"/>
                <w:color w:val="auto"/>
                <w:spacing w:val="-16"/>
                <w:kern w:val="21"/>
                <w:sz w:val="24"/>
                <w:szCs w:val="24"/>
                <w:highlight w:val="none"/>
              </w:rPr>
              <w:t>（新建项目不填）</w:t>
            </w:r>
            <w:r>
              <w:rPr>
                <w:rFonts w:ascii="黑体" w:hAnsi="黑体" w:eastAsia="黑体"/>
                <w:snapToGrid w:val="0"/>
                <w:color w:val="auto"/>
                <w:spacing w:val="-16"/>
                <w:kern w:val="21"/>
                <w:sz w:val="24"/>
                <w:szCs w:val="24"/>
                <w:highlight w:val="none"/>
              </w:rPr>
              <w:fldChar w:fldCharType="begin"/>
            </w:r>
            <w:r>
              <w:rPr>
                <w:rFonts w:ascii="黑体" w:hAnsi="黑体" w:eastAsia="黑体"/>
                <w:snapToGrid w:val="0"/>
                <w:color w:val="auto"/>
                <w:spacing w:val="-16"/>
                <w:kern w:val="21"/>
                <w:sz w:val="24"/>
                <w:szCs w:val="24"/>
                <w:highlight w:val="none"/>
              </w:rPr>
              <w:instrText xml:space="preserve"> = 5 \* GB3 \* MERGEFORMAT </w:instrText>
            </w:r>
            <w:r>
              <w:rPr>
                <w:rFonts w:ascii="黑体" w:hAnsi="黑体" w:eastAsia="黑体"/>
                <w:snapToGrid w:val="0"/>
                <w:color w:val="auto"/>
                <w:spacing w:val="-16"/>
                <w:kern w:val="21"/>
                <w:sz w:val="24"/>
                <w:szCs w:val="24"/>
                <w:highlight w:val="none"/>
              </w:rPr>
              <w:fldChar w:fldCharType="separate"/>
            </w:r>
            <w:r>
              <w:rPr>
                <w:rFonts w:hint="eastAsia" w:ascii="黑体" w:hAnsi="黑体" w:eastAsia="黑体" w:cs="宋体"/>
                <w:color w:val="auto"/>
                <w:kern w:val="2"/>
                <w:sz w:val="24"/>
                <w:szCs w:val="24"/>
                <w:highlight w:val="none"/>
              </w:rPr>
              <w:t>⑤</w:t>
            </w:r>
            <w:r>
              <w:rPr>
                <w:rFonts w:ascii="黑体" w:hAnsi="黑体" w:eastAsia="黑体"/>
                <w:snapToGrid w:val="0"/>
                <w:color w:val="auto"/>
                <w:spacing w:val="-16"/>
                <w:kern w:val="21"/>
                <w:sz w:val="24"/>
                <w:szCs w:val="24"/>
                <w:highlight w:val="none"/>
              </w:rPr>
              <w:fldChar w:fldCharType="end"/>
            </w:r>
          </w:p>
        </w:tc>
        <w:tc>
          <w:tcPr>
            <w:tcW w:w="1673"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黑体" w:hAnsi="黑体" w:eastAsia="黑体"/>
                <w:snapToGrid w:val="0"/>
                <w:color w:val="auto"/>
                <w:spacing w:val="-16"/>
                <w:kern w:val="21"/>
                <w:sz w:val="24"/>
                <w:szCs w:val="24"/>
                <w:highlight w:val="none"/>
              </w:rPr>
            </w:pPr>
            <w:r>
              <w:rPr>
                <w:rFonts w:ascii="黑体" w:hAnsi="黑体" w:eastAsia="黑体"/>
                <w:snapToGrid w:val="0"/>
                <w:color w:val="auto"/>
                <w:spacing w:val="-16"/>
                <w:kern w:val="21"/>
                <w:sz w:val="24"/>
                <w:szCs w:val="24"/>
                <w:highlight w:val="none"/>
              </w:rPr>
              <w:t>本项目建成后</w:t>
            </w:r>
          </w:p>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auto"/>
                <w:spacing w:val="-16"/>
                <w:kern w:val="21"/>
                <w:sz w:val="24"/>
                <w:szCs w:val="24"/>
                <w:highlight w:val="none"/>
              </w:rPr>
            </w:pPr>
            <w:r>
              <w:rPr>
                <w:rFonts w:hint="eastAsia" w:ascii="黑体" w:hAnsi="黑体" w:eastAsia="黑体"/>
                <w:snapToGrid w:val="0"/>
                <w:color w:val="auto"/>
                <w:spacing w:val="-16"/>
                <w:kern w:val="21"/>
                <w:sz w:val="24"/>
                <w:szCs w:val="24"/>
                <w:highlight w:val="none"/>
              </w:rPr>
              <w:t>全厂</w:t>
            </w:r>
            <w:r>
              <w:rPr>
                <w:rFonts w:ascii="黑体" w:hAnsi="黑体" w:eastAsia="黑体"/>
                <w:snapToGrid w:val="0"/>
                <w:color w:val="auto"/>
                <w:spacing w:val="-16"/>
                <w:kern w:val="21"/>
                <w:sz w:val="24"/>
                <w:szCs w:val="24"/>
                <w:highlight w:val="none"/>
              </w:rPr>
              <w:t>排放量（固</w:t>
            </w:r>
            <w:r>
              <w:rPr>
                <w:rFonts w:hint="eastAsia" w:ascii="黑体" w:hAnsi="黑体" w:eastAsia="黑体"/>
                <w:snapToGrid w:val="0"/>
                <w:color w:val="auto"/>
                <w:spacing w:val="-16"/>
                <w:kern w:val="21"/>
                <w:sz w:val="24"/>
                <w:szCs w:val="24"/>
                <w:highlight w:val="none"/>
              </w:rPr>
              <w:t>体</w:t>
            </w:r>
            <w:r>
              <w:rPr>
                <w:rFonts w:ascii="黑体" w:hAnsi="黑体" w:eastAsia="黑体"/>
                <w:snapToGrid w:val="0"/>
                <w:color w:val="auto"/>
                <w:spacing w:val="-16"/>
                <w:kern w:val="21"/>
                <w:sz w:val="24"/>
                <w:szCs w:val="24"/>
                <w:highlight w:val="none"/>
              </w:rPr>
              <w:t>废</w:t>
            </w:r>
            <w:r>
              <w:rPr>
                <w:rFonts w:hint="eastAsia" w:ascii="黑体" w:hAnsi="黑体" w:eastAsia="黑体"/>
                <w:snapToGrid w:val="0"/>
                <w:color w:val="auto"/>
                <w:spacing w:val="-16"/>
                <w:kern w:val="21"/>
                <w:sz w:val="24"/>
                <w:szCs w:val="24"/>
                <w:highlight w:val="none"/>
              </w:rPr>
              <w:t>物</w:t>
            </w:r>
            <w:r>
              <w:rPr>
                <w:rFonts w:ascii="黑体" w:hAnsi="黑体" w:eastAsia="黑体"/>
                <w:snapToGrid w:val="0"/>
                <w:color w:val="auto"/>
                <w:spacing w:val="-16"/>
                <w:kern w:val="21"/>
                <w:sz w:val="24"/>
                <w:szCs w:val="24"/>
                <w:highlight w:val="none"/>
              </w:rPr>
              <w:t>产生量）</w:t>
            </w:r>
            <w:r>
              <w:rPr>
                <w:rFonts w:ascii="黑体" w:hAnsi="黑体" w:eastAsia="黑体"/>
                <w:snapToGrid w:val="0"/>
                <w:color w:val="auto"/>
                <w:spacing w:val="-16"/>
                <w:kern w:val="21"/>
                <w:sz w:val="24"/>
                <w:szCs w:val="24"/>
                <w:highlight w:val="none"/>
              </w:rPr>
              <w:fldChar w:fldCharType="begin"/>
            </w:r>
            <w:r>
              <w:rPr>
                <w:rFonts w:ascii="黑体" w:hAnsi="黑体" w:eastAsia="黑体"/>
                <w:snapToGrid w:val="0"/>
                <w:color w:val="auto"/>
                <w:spacing w:val="-16"/>
                <w:kern w:val="21"/>
                <w:sz w:val="24"/>
                <w:szCs w:val="24"/>
                <w:highlight w:val="none"/>
              </w:rPr>
              <w:instrText xml:space="preserve"> = 6 \* GB3 \* MERGEFORMAT </w:instrText>
            </w:r>
            <w:r>
              <w:rPr>
                <w:rFonts w:ascii="黑体" w:hAnsi="黑体" w:eastAsia="黑体"/>
                <w:snapToGrid w:val="0"/>
                <w:color w:val="auto"/>
                <w:spacing w:val="-16"/>
                <w:kern w:val="21"/>
                <w:sz w:val="24"/>
                <w:szCs w:val="24"/>
                <w:highlight w:val="none"/>
              </w:rPr>
              <w:fldChar w:fldCharType="separate"/>
            </w:r>
            <w:r>
              <w:rPr>
                <w:rFonts w:hint="eastAsia" w:ascii="黑体" w:hAnsi="黑体" w:eastAsia="黑体" w:cs="宋体"/>
                <w:color w:val="auto"/>
                <w:kern w:val="2"/>
                <w:sz w:val="24"/>
                <w:szCs w:val="24"/>
                <w:highlight w:val="none"/>
              </w:rPr>
              <w:t>⑥</w:t>
            </w:r>
            <w:r>
              <w:rPr>
                <w:rFonts w:ascii="黑体" w:hAnsi="黑体" w:eastAsia="黑体"/>
                <w:snapToGrid w:val="0"/>
                <w:color w:val="auto"/>
                <w:spacing w:val="-16"/>
                <w:kern w:val="21"/>
                <w:sz w:val="24"/>
                <w:szCs w:val="24"/>
                <w:highlight w:val="none"/>
              </w:rPr>
              <w:fldChar w:fldCharType="end"/>
            </w:r>
          </w:p>
        </w:tc>
        <w:tc>
          <w:tcPr>
            <w:tcW w:w="1364" w:type="dxa"/>
            <w:noWrap w:val="0"/>
            <w:tcMar>
              <w:left w:w="28" w:type="dxa"/>
              <w:right w:w="28" w:type="dxa"/>
            </w:tcMar>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t>变化量</w:t>
            </w:r>
          </w:p>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ascii="黑体" w:hAnsi="黑体" w:eastAsia="黑体"/>
                <w:snapToGrid w:val="0"/>
                <w:color w:val="auto"/>
                <w:spacing w:val="-6"/>
                <w:kern w:val="21"/>
                <w:sz w:val="24"/>
                <w:szCs w:val="24"/>
                <w:highlight w:val="none"/>
              </w:rPr>
            </w:pPr>
            <w:r>
              <w:rPr>
                <w:rFonts w:ascii="黑体" w:hAnsi="黑体" w:eastAsia="黑体"/>
                <w:snapToGrid w:val="0"/>
                <w:color w:val="auto"/>
                <w:spacing w:val="-6"/>
                <w:kern w:val="21"/>
                <w:sz w:val="24"/>
                <w:szCs w:val="24"/>
                <w:highlight w:val="none"/>
              </w:rPr>
              <w:fldChar w:fldCharType="begin"/>
            </w:r>
            <w:r>
              <w:rPr>
                <w:rFonts w:ascii="黑体" w:hAnsi="黑体" w:eastAsia="黑体"/>
                <w:snapToGrid w:val="0"/>
                <w:color w:val="auto"/>
                <w:spacing w:val="-6"/>
                <w:kern w:val="21"/>
                <w:sz w:val="24"/>
                <w:szCs w:val="24"/>
                <w:highlight w:val="none"/>
              </w:rPr>
              <w:instrText xml:space="preserve"> = 7 \* GB3 \* MERGEFORMAT </w:instrText>
            </w:r>
            <w:r>
              <w:rPr>
                <w:rFonts w:ascii="黑体" w:hAnsi="黑体" w:eastAsia="黑体"/>
                <w:snapToGrid w:val="0"/>
                <w:color w:val="auto"/>
                <w:spacing w:val="-6"/>
                <w:kern w:val="21"/>
                <w:sz w:val="24"/>
                <w:szCs w:val="24"/>
                <w:highlight w:val="none"/>
              </w:rPr>
              <w:fldChar w:fldCharType="separate"/>
            </w:r>
            <w:r>
              <w:rPr>
                <w:rFonts w:hint="eastAsia" w:ascii="黑体" w:hAnsi="黑体" w:eastAsia="黑体" w:cs="宋体"/>
                <w:color w:val="auto"/>
                <w:kern w:val="2"/>
                <w:sz w:val="24"/>
                <w:szCs w:val="24"/>
                <w:highlight w:val="none"/>
              </w:rPr>
              <w:t>⑦</w:t>
            </w:r>
            <w:r>
              <w:rPr>
                <w:rFonts w:ascii="黑体" w:hAnsi="黑体" w:eastAsia="黑体"/>
                <w:snapToGrid w:val="0"/>
                <w:color w:val="auto"/>
                <w:spacing w:val="-6"/>
                <w:kern w:val="21"/>
                <w:sz w:val="24"/>
                <w:szCs w:val="24"/>
                <w:highlight w:val="none"/>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cs="宋体"/>
                <w:snapToGrid w:val="0"/>
                <w:color w:val="auto"/>
                <w:kern w:val="21"/>
                <w:sz w:val="24"/>
                <w:szCs w:val="24"/>
                <w:highlight w:val="none"/>
              </w:rPr>
            </w:pPr>
            <w:r>
              <w:rPr>
                <w:rFonts w:hint="eastAsia" w:hAnsi="宋体" w:cs="宋体"/>
                <w:snapToGrid w:val="0"/>
                <w:color w:val="auto"/>
                <w:kern w:val="21"/>
                <w:sz w:val="24"/>
                <w:szCs w:val="24"/>
                <w:highlight w:val="none"/>
              </w:rPr>
              <w:t>废气</w:t>
            </w:r>
          </w:p>
        </w:tc>
        <w:tc>
          <w:tcPr>
            <w:tcW w:w="1417"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cs="Times New Roman"/>
                <w:snapToGrid w:val="0"/>
                <w:color w:val="auto"/>
                <w:kern w:val="21"/>
                <w:sz w:val="24"/>
                <w:szCs w:val="24"/>
                <w:highlight w:val="none"/>
                <w:lang w:val="en-US" w:eastAsia="zh-CN"/>
              </w:rPr>
              <w:t>/</w:t>
            </w: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276"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5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snapToGrid w:val="0"/>
                <w:color w:val="auto"/>
                <w:kern w:val="21"/>
                <w:sz w:val="24"/>
                <w:szCs w:val="24"/>
                <w:highlight w:val="none"/>
                <w:lang w:val="en-US" w:eastAsia="zh-CN"/>
              </w:rPr>
              <w:t>/</w:t>
            </w:r>
          </w:p>
        </w:tc>
        <w:tc>
          <w:tcPr>
            <w:tcW w:w="1575"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6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snapToGrid w:val="0"/>
                <w:color w:val="auto"/>
                <w:kern w:val="21"/>
                <w:sz w:val="24"/>
                <w:szCs w:val="24"/>
                <w:highlight w:val="none"/>
                <w:lang w:val="en-US" w:eastAsia="zh-CN"/>
              </w:rPr>
              <w:t>/</w:t>
            </w:r>
          </w:p>
        </w:tc>
        <w:tc>
          <w:tcPr>
            <w:tcW w:w="1364"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eastAsia="宋体" w:cs="宋体"/>
                <w:snapToGrid w:val="0"/>
                <w:color w:val="auto"/>
                <w:kern w:val="21"/>
                <w:sz w:val="24"/>
                <w:szCs w:val="24"/>
                <w:highlight w:val="none"/>
                <w:lang w:eastAsia="zh-CN"/>
              </w:rPr>
            </w:pPr>
            <w:r>
              <w:rPr>
                <w:rFonts w:hint="eastAsia" w:ascii="Times New Roman"/>
                <w:snapToGrid w:val="0"/>
                <w:color w:val="auto"/>
                <w:kern w:val="21"/>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cs="宋体"/>
                <w:snapToGrid w:val="0"/>
                <w:color w:val="auto"/>
                <w:kern w:val="21"/>
                <w:sz w:val="24"/>
                <w:szCs w:val="24"/>
                <w:highlight w:val="none"/>
              </w:rPr>
            </w:pPr>
          </w:p>
        </w:tc>
        <w:tc>
          <w:tcPr>
            <w:tcW w:w="1417"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lang w:val="en-US" w:eastAsia="zh-CN"/>
              </w:rPr>
            </w:pPr>
            <w:r>
              <w:rPr>
                <w:rFonts w:hint="eastAsia" w:ascii="Times New Roman" w:hAnsi="Times New Roman" w:cs="Times New Roman"/>
                <w:snapToGrid w:val="0"/>
                <w:color w:val="auto"/>
                <w:kern w:val="21"/>
                <w:sz w:val="24"/>
                <w:szCs w:val="24"/>
                <w:highlight w:val="none"/>
                <w:lang w:val="en-US" w:eastAsia="zh-CN"/>
              </w:rPr>
              <w:t>颗粒物</w:t>
            </w: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276"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5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snapToGrid w:val="0"/>
                <w:color w:val="auto"/>
                <w:kern w:val="21"/>
                <w:sz w:val="24"/>
                <w:szCs w:val="24"/>
                <w:highlight w:val="none"/>
                <w:lang w:val="en-US" w:eastAsia="zh-CN"/>
              </w:rPr>
            </w:pPr>
            <w:r>
              <w:rPr>
                <w:rFonts w:hint="eastAsia" w:ascii="Times New Roman"/>
                <w:snapToGrid w:val="0"/>
                <w:color w:val="auto"/>
                <w:kern w:val="21"/>
                <w:sz w:val="24"/>
                <w:szCs w:val="24"/>
                <w:highlight w:val="none"/>
                <w:lang w:val="en-US" w:eastAsia="zh-CN"/>
              </w:rPr>
              <w:t>2.82837</w:t>
            </w:r>
            <w:r>
              <w:rPr>
                <w:rFonts w:hint="eastAsia" w:ascii="Times New Roman"/>
                <w:snapToGrid w:val="0"/>
                <w:color w:val="auto"/>
                <w:kern w:val="21"/>
                <w:sz w:val="24"/>
                <w:szCs w:val="24"/>
                <w:highlight w:val="none"/>
              </w:rPr>
              <w:t>t/a</w:t>
            </w:r>
          </w:p>
        </w:tc>
        <w:tc>
          <w:tcPr>
            <w:tcW w:w="1575"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6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auto"/>
                <w:kern w:val="21"/>
                <w:sz w:val="24"/>
                <w:szCs w:val="24"/>
                <w:highlight w:val="none"/>
                <w:lang w:val="en-US" w:eastAsia="zh-CN"/>
              </w:rPr>
            </w:pPr>
            <w:r>
              <w:rPr>
                <w:rFonts w:hint="eastAsia" w:ascii="Times New Roman"/>
                <w:snapToGrid w:val="0"/>
                <w:color w:val="auto"/>
                <w:kern w:val="21"/>
                <w:sz w:val="24"/>
                <w:szCs w:val="24"/>
                <w:highlight w:val="none"/>
                <w:lang w:val="en-US" w:eastAsia="zh-CN"/>
              </w:rPr>
              <w:t>2.82837</w:t>
            </w:r>
            <w:r>
              <w:rPr>
                <w:rFonts w:hint="eastAsia" w:ascii="Times New Roman"/>
                <w:snapToGrid w:val="0"/>
                <w:color w:val="auto"/>
                <w:kern w:val="21"/>
                <w:sz w:val="24"/>
                <w:szCs w:val="24"/>
                <w:highlight w:val="none"/>
              </w:rPr>
              <w:t>t/a</w:t>
            </w:r>
          </w:p>
        </w:tc>
        <w:tc>
          <w:tcPr>
            <w:tcW w:w="1364"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auto"/>
                <w:kern w:val="21"/>
                <w:sz w:val="24"/>
                <w:szCs w:val="24"/>
                <w:highlight w:val="none"/>
              </w:rPr>
            </w:pPr>
            <w:r>
              <w:rPr>
                <w:rFonts w:hint="eastAsia" w:ascii="Times New Roman"/>
                <w:snapToGrid w:val="0"/>
                <w:color w:val="auto"/>
                <w:kern w:val="21"/>
                <w:sz w:val="24"/>
                <w:szCs w:val="24"/>
                <w:highlight w:val="none"/>
                <w:lang w:val="en-US" w:eastAsia="zh-CN"/>
              </w:rPr>
              <w:t>+2.82837</w:t>
            </w:r>
            <w:r>
              <w:rPr>
                <w:rFonts w:hint="eastAsia" w:ascii="Times New Roman"/>
                <w:snapToGrid w:val="0"/>
                <w:color w:val="auto"/>
                <w:kern w:val="21"/>
                <w:sz w:val="24"/>
                <w:szCs w:val="24"/>
                <w:highlight w:val="none"/>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cs="宋体"/>
                <w:snapToGrid w:val="0"/>
                <w:color w:val="auto"/>
                <w:kern w:val="21"/>
                <w:sz w:val="24"/>
                <w:szCs w:val="24"/>
                <w:highlight w:val="none"/>
              </w:rPr>
            </w:pPr>
            <w:r>
              <w:rPr>
                <w:rFonts w:hint="eastAsia" w:hAnsi="宋体" w:cs="宋体"/>
                <w:snapToGrid w:val="0"/>
                <w:color w:val="auto"/>
                <w:kern w:val="21"/>
                <w:sz w:val="24"/>
                <w:szCs w:val="24"/>
                <w:highlight w:val="none"/>
              </w:rPr>
              <w:t>废水</w:t>
            </w:r>
          </w:p>
        </w:tc>
        <w:tc>
          <w:tcPr>
            <w:tcW w:w="1417"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eastAsia="宋体" w:cs="宋体"/>
                <w:snapToGrid w:val="0"/>
                <w:color w:val="auto"/>
                <w:kern w:val="21"/>
                <w:sz w:val="24"/>
                <w:szCs w:val="24"/>
                <w:highlight w:val="none"/>
                <w:lang w:eastAsia="zh-CN"/>
              </w:rPr>
            </w:pPr>
            <w:r>
              <w:rPr>
                <w:rFonts w:hint="eastAsia" w:cs="宋体"/>
                <w:snapToGrid w:val="0"/>
                <w:color w:val="auto"/>
                <w:kern w:val="21"/>
                <w:sz w:val="24"/>
                <w:szCs w:val="24"/>
                <w:highlight w:val="none"/>
                <w:lang w:val="en-US" w:eastAsia="zh-CN"/>
              </w:rPr>
              <w:t>/</w:t>
            </w: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276"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5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snapToGrid w:val="0"/>
                <w:color w:val="auto"/>
                <w:kern w:val="21"/>
                <w:sz w:val="24"/>
                <w:szCs w:val="24"/>
                <w:highlight w:val="none"/>
                <w:lang w:val="en-US" w:eastAsia="zh-CN"/>
              </w:rPr>
              <w:t>/</w:t>
            </w:r>
          </w:p>
        </w:tc>
        <w:tc>
          <w:tcPr>
            <w:tcW w:w="1575"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6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snapToGrid w:val="0"/>
                <w:color w:val="auto"/>
                <w:kern w:val="21"/>
                <w:sz w:val="24"/>
                <w:szCs w:val="24"/>
                <w:highlight w:val="none"/>
                <w:lang w:val="en-US" w:eastAsia="zh-CN"/>
              </w:rPr>
              <w:t>/</w:t>
            </w:r>
          </w:p>
        </w:tc>
        <w:tc>
          <w:tcPr>
            <w:tcW w:w="1364"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snapToGrid w:val="0"/>
                <w:color w:val="auto"/>
                <w:kern w:val="21"/>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noWrap w:val="0"/>
            <w:vAlign w:val="center"/>
          </w:tcPr>
          <w:p>
            <w:pPr>
              <w:pStyle w:val="32"/>
              <w:keepNext w:val="0"/>
              <w:keepLines w:val="0"/>
              <w:pageBreakBefore w:val="0"/>
              <w:widowControl w:val="0"/>
              <w:kinsoku/>
              <w:wordWrap/>
              <w:overflowPunct/>
              <w:topLinePunct w:val="0"/>
              <w:autoSpaceDE/>
              <w:autoSpaceDN/>
              <w:bidi w:val="0"/>
              <w:spacing w:beforeLines="0" w:afterLines="0" w:line="360" w:lineRule="auto"/>
              <w:textAlignment w:val="auto"/>
              <w:rPr>
                <w:rFonts w:hAnsi="宋体" w:cs="宋体"/>
                <w:snapToGrid w:val="0"/>
                <w:color w:val="auto"/>
                <w:kern w:val="21"/>
                <w:sz w:val="24"/>
                <w:szCs w:val="24"/>
                <w:highlight w:val="none"/>
              </w:rPr>
            </w:pPr>
            <w:r>
              <w:rPr>
                <w:rFonts w:hint="eastAsia" w:hAnsi="宋体" w:cs="宋体"/>
                <w:snapToGrid w:val="0"/>
                <w:color w:val="auto"/>
                <w:kern w:val="21"/>
                <w:sz w:val="24"/>
                <w:szCs w:val="24"/>
                <w:highlight w:val="none"/>
              </w:rPr>
              <w:t>一般工业</w:t>
            </w:r>
          </w:p>
          <w:p>
            <w:pPr>
              <w:pStyle w:val="32"/>
              <w:keepNext w:val="0"/>
              <w:keepLines w:val="0"/>
              <w:pageBreakBefore w:val="0"/>
              <w:widowControl w:val="0"/>
              <w:kinsoku/>
              <w:wordWrap/>
              <w:overflowPunct/>
              <w:topLinePunct w:val="0"/>
              <w:autoSpaceDE/>
              <w:autoSpaceDN/>
              <w:bidi w:val="0"/>
              <w:spacing w:beforeLines="0" w:afterLines="0" w:line="360" w:lineRule="auto"/>
              <w:textAlignment w:val="auto"/>
              <w:rPr>
                <w:rFonts w:hint="eastAsia" w:hAnsi="宋体" w:cs="宋体"/>
                <w:snapToGrid w:val="0"/>
                <w:color w:val="auto"/>
                <w:kern w:val="21"/>
                <w:sz w:val="24"/>
                <w:szCs w:val="24"/>
                <w:highlight w:val="none"/>
              </w:rPr>
            </w:pPr>
            <w:r>
              <w:rPr>
                <w:rFonts w:hint="eastAsia" w:hAnsi="宋体" w:cs="宋体"/>
                <w:snapToGrid w:val="0"/>
                <w:color w:val="auto"/>
                <w:kern w:val="21"/>
                <w:sz w:val="24"/>
                <w:szCs w:val="24"/>
                <w:highlight w:val="none"/>
              </w:rPr>
              <w:t>固体废物</w:t>
            </w:r>
          </w:p>
        </w:tc>
        <w:tc>
          <w:tcPr>
            <w:tcW w:w="1417" w:type="dxa"/>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napToGrid w:val="0"/>
                <w:color w:val="auto"/>
                <w:kern w:val="21"/>
                <w:sz w:val="24"/>
                <w:highlight w:val="none"/>
                <w:lang w:val="en-US" w:eastAsia="zh-CN"/>
              </w:rPr>
            </w:pPr>
            <w:r>
              <w:rPr>
                <w:rFonts w:hint="eastAsia" w:cs="宋体"/>
                <w:snapToGrid w:val="0"/>
                <w:color w:val="auto"/>
                <w:kern w:val="21"/>
                <w:sz w:val="24"/>
                <w:highlight w:val="none"/>
                <w:lang w:val="en-US" w:eastAsia="zh-CN"/>
              </w:rPr>
              <w:t>金属杂质</w:t>
            </w: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276"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5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snapToGrid w:val="0"/>
                <w:color w:val="auto"/>
                <w:kern w:val="21"/>
                <w:sz w:val="24"/>
                <w:szCs w:val="24"/>
                <w:highlight w:val="none"/>
                <w:lang w:val="en-US" w:eastAsia="zh-CN"/>
              </w:rPr>
            </w:pPr>
            <w:r>
              <w:rPr>
                <w:rFonts w:hint="eastAsia" w:ascii="Times New Roman"/>
                <w:snapToGrid w:val="0"/>
                <w:color w:val="auto"/>
                <w:kern w:val="21"/>
                <w:sz w:val="24"/>
                <w:szCs w:val="24"/>
                <w:highlight w:val="none"/>
                <w:lang w:val="en-US" w:eastAsia="zh-CN"/>
              </w:rPr>
              <w:t>204.936t/a</w:t>
            </w:r>
          </w:p>
        </w:tc>
        <w:tc>
          <w:tcPr>
            <w:tcW w:w="1575"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6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auto"/>
                <w:kern w:val="21"/>
                <w:sz w:val="24"/>
                <w:szCs w:val="24"/>
                <w:highlight w:val="none"/>
                <w:lang w:val="en-US" w:eastAsia="zh-CN"/>
              </w:rPr>
            </w:pPr>
            <w:r>
              <w:rPr>
                <w:rFonts w:hint="eastAsia" w:ascii="Times New Roman" w:hAnsi="Times New Roman" w:cs="Times New Roman"/>
                <w:bCs/>
                <w:color w:val="auto"/>
                <w:sz w:val="24"/>
                <w:highlight w:val="none"/>
                <w:lang w:val="en-US" w:eastAsia="zh-CN"/>
              </w:rPr>
              <w:t>204.936</w:t>
            </w:r>
            <w:r>
              <w:rPr>
                <w:rFonts w:hint="eastAsia" w:ascii="Times New Roman"/>
                <w:snapToGrid w:val="0"/>
                <w:color w:val="auto"/>
                <w:kern w:val="21"/>
                <w:sz w:val="24"/>
                <w:szCs w:val="24"/>
                <w:highlight w:val="none"/>
                <w:lang w:val="en-US" w:eastAsia="zh-CN"/>
              </w:rPr>
              <w:t>t/a</w:t>
            </w:r>
          </w:p>
        </w:tc>
        <w:tc>
          <w:tcPr>
            <w:tcW w:w="1364"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auto"/>
                <w:kern w:val="21"/>
                <w:sz w:val="24"/>
                <w:szCs w:val="24"/>
                <w:highlight w:val="none"/>
              </w:rPr>
            </w:pPr>
            <w:r>
              <w:rPr>
                <w:rFonts w:hint="eastAsia" w:ascii="Times New Roman"/>
                <w:snapToGrid w:val="0"/>
                <w:color w:val="auto"/>
                <w:kern w:val="21"/>
                <w:sz w:val="24"/>
                <w:szCs w:val="24"/>
                <w:highlight w:val="none"/>
                <w:lang w:val="en-US" w:eastAsia="zh-CN"/>
              </w:rPr>
              <w:t>+</w:t>
            </w:r>
            <w:r>
              <w:rPr>
                <w:rFonts w:hint="eastAsia" w:ascii="Times New Roman" w:hAnsi="Times New Roman" w:cs="Times New Roman"/>
                <w:bCs/>
                <w:color w:val="auto"/>
                <w:sz w:val="24"/>
                <w:highlight w:val="none"/>
                <w:lang w:val="en-US" w:eastAsia="zh-CN"/>
              </w:rPr>
              <w:t>204.936</w:t>
            </w:r>
            <w:r>
              <w:rPr>
                <w:rFonts w:hint="eastAsia" w:ascii="Times New Roman"/>
                <w:snapToGrid w:val="0"/>
                <w:color w:val="auto"/>
                <w:kern w:val="21"/>
                <w:sz w:val="24"/>
                <w:szCs w:val="24"/>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noWrap w:val="0"/>
            <w:vAlign w:val="center"/>
          </w:tcPr>
          <w:p>
            <w:pPr>
              <w:pStyle w:val="32"/>
              <w:keepNext w:val="0"/>
              <w:keepLines w:val="0"/>
              <w:pageBreakBefore w:val="0"/>
              <w:widowControl w:val="0"/>
              <w:kinsoku/>
              <w:wordWrap/>
              <w:overflowPunct/>
              <w:topLinePunct w:val="0"/>
              <w:autoSpaceDE/>
              <w:autoSpaceDN/>
              <w:bidi w:val="0"/>
              <w:spacing w:beforeLines="0" w:afterLines="0" w:line="360" w:lineRule="auto"/>
              <w:textAlignment w:val="auto"/>
              <w:rPr>
                <w:rFonts w:hint="eastAsia" w:hAnsi="宋体" w:cs="宋体"/>
                <w:snapToGrid w:val="0"/>
                <w:color w:val="auto"/>
                <w:kern w:val="21"/>
                <w:sz w:val="24"/>
                <w:szCs w:val="24"/>
                <w:highlight w:val="none"/>
              </w:rPr>
            </w:pPr>
          </w:p>
        </w:tc>
        <w:tc>
          <w:tcPr>
            <w:tcW w:w="1417" w:type="dxa"/>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napToGrid w:val="0"/>
                <w:color w:val="auto"/>
                <w:kern w:val="21"/>
                <w:sz w:val="24"/>
                <w:highlight w:val="none"/>
                <w:lang w:eastAsia="zh-CN"/>
              </w:rPr>
            </w:pPr>
            <w:r>
              <w:rPr>
                <w:rFonts w:hint="eastAsia" w:ascii="Times New Roman" w:hAnsi="Times New Roman" w:cs="Times New Roman"/>
                <w:bCs/>
                <w:color w:val="auto"/>
                <w:sz w:val="24"/>
                <w:highlight w:val="none"/>
                <w:lang w:val="en-US" w:eastAsia="zh-CN"/>
              </w:rPr>
              <w:t>废料（</w:t>
            </w:r>
            <w:r>
              <w:rPr>
                <w:rFonts w:hint="eastAsia"/>
                <w:bCs/>
                <w:color w:val="auto"/>
                <w:sz w:val="24"/>
                <w:szCs w:val="24"/>
                <w:highlight w:val="none"/>
                <w:lang w:val="en-US" w:eastAsia="zh-CN"/>
              </w:rPr>
              <w:t>纸片、沙子、木屑</w:t>
            </w:r>
            <w:r>
              <w:rPr>
                <w:rFonts w:hint="eastAsia" w:ascii="Times New Roman" w:hAnsi="Times New Roman" w:cs="Times New Roman"/>
                <w:bCs/>
                <w:color w:val="auto"/>
                <w:sz w:val="24"/>
                <w:highlight w:val="none"/>
                <w:lang w:val="en-US" w:eastAsia="zh-CN"/>
              </w:rPr>
              <w:t>）</w:t>
            </w: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276"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5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hAnsi="Times New Roman" w:cs="Times New Roman"/>
                <w:bCs/>
                <w:color w:val="auto"/>
                <w:sz w:val="24"/>
                <w:highlight w:val="none"/>
                <w:lang w:val="en-US" w:eastAsia="zh-CN"/>
              </w:rPr>
              <w:t>99.1625</w:t>
            </w:r>
            <w:r>
              <w:rPr>
                <w:rFonts w:ascii="Times New Roman"/>
                <w:snapToGrid w:val="0"/>
                <w:color w:val="auto"/>
                <w:kern w:val="21"/>
                <w:sz w:val="24"/>
                <w:szCs w:val="24"/>
                <w:highlight w:val="none"/>
              </w:rPr>
              <w:t>t/a</w:t>
            </w:r>
          </w:p>
        </w:tc>
        <w:tc>
          <w:tcPr>
            <w:tcW w:w="1575"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6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hAnsi="Times New Roman" w:cs="Times New Roman"/>
                <w:bCs/>
                <w:color w:val="auto"/>
                <w:sz w:val="24"/>
                <w:highlight w:val="none"/>
                <w:lang w:val="en-US" w:eastAsia="zh-CN"/>
              </w:rPr>
              <w:t>99.1625</w:t>
            </w:r>
            <w:r>
              <w:rPr>
                <w:rFonts w:ascii="Times New Roman"/>
                <w:snapToGrid w:val="0"/>
                <w:color w:val="auto"/>
                <w:kern w:val="21"/>
                <w:sz w:val="24"/>
                <w:szCs w:val="24"/>
                <w:highlight w:val="none"/>
              </w:rPr>
              <w:t>t/a</w:t>
            </w:r>
          </w:p>
        </w:tc>
        <w:tc>
          <w:tcPr>
            <w:tcW w:w="1364"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snapToGrid w:val="0"/>
                <w:color w:val="auto"/>
                <w:kern w:val="21"/>
                <w:sz w:val="24"/>
                <w:szCs w:val="24"/>
                <w:highlight w:val="none"/>
              </w:rPr>
              <w:t>+</w:t>
            </w:r>
            <w:r>
              <w:rPr>
                <w:rFonts w:hint="eastAsia" w:ascii="Times New Roman" w:hAnsi="Times New Roman" w:cs="Times New Roman"/>
                <w:bCs/>
                <w:color w:val="auto"/>
                <w:sz w:val="24"/>
                <w:highlight w:val="none"/>
                <w:lang w:val="en-US" w:eastAsia="zh-CN"/>
              </w:rPr>
              <w:t>99.1625</w:t>
            </w:r>
            <w:r>
              <w:rPr>
                <w:rFonts w:ascii="Times New Roman"/>
                <w:snapToGrid w:val="0"/>
                <w:color w:val="auto"/>
                <w:kern w:val="21"/>
                <w:sz w:val="24"/>
                <w:szCs w:val="24"/>
                <w:highlight w:val="none"/>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noWrap w:val="0"/>
            <w:vAlign w:val="center"/>
          </w:tcPr>
          <w:p>
            <w:pPr>
              <w:pStyle w:val="32"/>
              <w:keepNext w:val="0"/>
              <w:keepLines w:val="0"/>
              <w:pageBreakBefore w:val="0"/>
              <w:widowControl w:val="0"/>
              <w:kinsoku/>
              <w:wordWrap/>
              <w:overflowPunct/>
              <w:topLinePunct w:val="0"/>
              <w:autoSpaceDE/>
              <w:autoSpaceDN/>
              <w:bidi w:val="0"/>
              <w:spacing w:beforeLines="0" w:afterLines="0" w:line="360" w:lineRule="auto"/>
              <w:textAlignment w:val="auto"/>
              <w:rPr>
                <w:rFonts w:hAnsi="宋体" w:cs="宋体"/>
                <w:snapToGrid w:val="0"/>
                <w:color w:val="auto"/>
                <w:kern w:val="21"/>
                <w:sz w:val="24"/>
                <w:szCs w:val="24"/>
                <w:highlight w:val="none"/>
              </w:rPr>
            </w:pPr>
          </w:p>
        </w:tc>
        <w:tc>
          <w:tcPr>
            <w:tcW w:w="1417" w:type="dxa"/>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napToGrid w:val="0"/>
                <w:color w:val="auto"/>
                <w:kern w:val="21"/>
                <w:sz w:val="24"/>
                <w:highlight w:val="none"/>
                <w:lang w:eastAsia="zh-CN"/>
              </w:rPr>
            </w:pPr>
            <w:r>
              <w:rPr>
                <w:rFonts w:hint="eastAsia" w:ascii="Times New Roman" w:hAnsi="Times New Roman" w:cs="Times New Roman"/>
                <w:bCs/>
                <w:color w:val="auto"/>
                <w:sz w:val="24"/>
                <w:highlight w:val="none"/>
                <w:lang w:val="en-US" w:eastAsia="zh-CN"/>
              </w:rPr>
              <w:t>废硅胶</w:t>
            </w: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276"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5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hAnsi="Times New Roman" w:cs="Times New Roman"/>
                <w:bCs/>
                <w:color w:val="auto"/>
                <w:sz w:val="24"/>
                <w:highlight w:val="none"/>
                <w:lang w:val="en-US" w:eastAsia="zh-CN"/>
              </w:rPr>
              <w:t>1.2</w:t>
            </w:r>
            <w:r>
              <w:rPr>
                <w:rFonts w:hint="eastAsia" w:ascii="Times New Roman"/>
                <w:snapToGrid w:val="0"/>
                <w:color w:val="auto"/>
                <w:kern w:val="21"/>
                <w:sz w:val="24"/>
                <w:szCs w:val="24"/>
                <w:highlight w:val="none"/>
              </w:rPr>
              <w:t>t/a</w:t>
            </w:r>
          </w:p>
        </w:tc>
        <w:tc>
          <w:tcPr>
            <w:tcW w:w="1575"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6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hAnsi="Times New Roman" w:cs="Times New Roman"/>
                <w:bCs/>
                <w:color w:val="auto"/>
                <w:sz w:val="24"/>
                <w:highlight w:val="none"/>
                <w:lang w:val="en-US" w:eastAsia="zh-CN"/>
              </w:rPr>
              <w:t>1.2</w:t>
            </w:r>
            <w:r>
              <w:rPr>
                <w:rFonts w:hint="eastAsia" w:ascii="Times New Roman"/>
                <w:snapToGrid w:val="0"/>
                <w:color w:val="auto"/>
                <w:kern w:val="21"/>
                <w:sz w:val="24"/>
                <w:szCs w:val="24"/>
                <w:highlight w:val="none"/>
              </w:rPr>
              <w:t>t/a</w:t>
            </w:r>
          </w:p>
        </w:tc>
        <w:tc>
          <w:tcPr>
            <w:tcW w:w="1364"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r>
              <w:rPr>
                <w:rFonts w:hint="eastAsia" w:ascii="Times New Roman"/>
                <w:snapToGrid w:val="0"/>
                <w:color w:val="auto"/>
                <w:kern w:val="21"/>
                <w:sz w:val="24"/>
                <w:szCs w:val="24"/>
                <w:highlight w:val="none"/>
              </w:rPr>
              <w:t>+</w:t>
            </w:r>
            <w:r>
              <w:rPr>
                <w:rFonts w:hint="eastAsia" w:ascii="Times New Roman" w:hAnsi="Times New Roman" w:cs="Times New Roman"/>
                <w:bCs/>
                <w:color w:val="auto"/>
                <w:sz w:val="24"/>
                <w:highlight w:val="none"/>
                <w:lang w:val="en-US" w:eastAsia="zh-CN"/>
              </w:rPr>
              <w:t>1.2</w:t>
            </w:r>
            <w:r>
              <w:rPr>
                <w:rFonts w:hint="eastAsia" w:ascii="Times New Roman"/>
                <w:snapToGrid w:val="0"/>
                <w:color w:val="auto"/>
                <w:kern w:val="21"/>
                <w:sz w:val="24"/>
                <w:szCs w:val="24"/>
                <w:highlight w:val="none"/>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noWrap w:val="0"/>
            <w:vAlign w:val="center"/>
          </w:tcPr>
          <w:p>
            <w:pPr>
              <w:pStyle w:val="32"/>
              <w:keepNext w:val="0"/>
              <w:keepLines w:val="0"/>
              <w:pageBreakBefore w:val="0"/>
              <w:widowControl w:val="0"/>
              <w:kinsoku/>
              <w:wordWrap/>
              <w:overflowPunct/>
              <w:topLinePunct w:val="0"/>
              <w:autoSpaceDE/>
              <w:autoSpaceDN/>
              <w:bidi w:val="0"/>
              <w:spacing w:beforeLines="0" w:afterLines="0" w:line="360" w:lineRule="auto"/>
              <w:textAlignment w:val="auto"/>
              <w:rPr>
                <w:rFonts w:hAnsi="宋体" w:cs="宋体"/>
                <w:snapToGrid w:val="0"/>
                <w:color w:val="auto"/>
                <w:kern w:val="21"/>
                <w:sz w:val="24"/>
                <w:szCs w:val="24"/>
                <w:highlight w:val="none"/>
              </w:rPr>
            </w:pPr>
          </w:p>
        </w:tc>
        <w:tc>
          <w:tcPr>
            <w:tcW w:w="1417" w:type="dxa"/>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cs="Times New Roman"/>
                <w:bCs/>
                <w:color w:val="auto"/>
                <w:sz w:val="24"/>
                <w:highlight w:val="none"/>
                <w:lang w:val="en-US" w:eastAsia="zh-CN"/>
              </w:rPr>
            </w:pPr>
            <w:r>
              <w:rPr>
                <w:rFonts w:hint="eastAsia"/>
                <w:bCs/>
                <w:color w:val="auto"/>
                <w:sz w:val="24"/>
                <w:highlight w:val="none"/>
                <w:lang w:val="en-US"/>
              </w:rPr>
              <w:t>除尘</w:t>
            </w:r>
            <w:r>
              <w:rPr>
                <w:rFonts w:hint="eastAsia"/>
                <w:bCs/>
                <w:color w:val="auto"/>
                <w:sz w:val="24"/>
                <w:highlight w:val="none"/>
                <w:lang w:val="en-US" w:eastAsia="zh-CN"/>
              </w:rPr>
              <w:t>灰</w:t>
            </w: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276"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5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hAnsi="Times New Roman" w:cs="Times New Roman"/>
                <w:bCs/>
                <w:color w:val="auto"/>
                <w:sz w:val="24"/>
                <w:highlight w:val="none"/>
                <w:lang w:val="en-US" w:eastAsia="zh-CN"/>
              </w:rPr>
            </w:pPr>
            <w:r>
              <w:rPr>
                <w:rFonts w:hint="default" w:ascii="Times New Roman" w:hAnsi="Times New Roman" w:cs="Times New Roman"/>
                <w:bCs/>
                <w:color w:val="auto"/>
                <w:sz w:val="24"/>
                <w:highlight w:val="none"/>
                <w:lang w:val="en-US" w:eastAsia="zh-CN"/>
              </w:rPr>
              <w:t>0.</w:t>
            </w:r>
            <w:r>
              <w:rPr>
                <w:rFonts w:hint="eastAsia" w:ascii="Times New Roman" w:hAnsi="Times New Roman" w:cs="Times New Roman"/>
                <w:bCs/>
                <w:color w:val="auto"/>
                <w:sz w:val="24"/>
                <w:highlight w:val="none"/>
                <w:lang w:val="en-US" w:eastAsia="zh-CN"/>
              </w:rPr>
              <w:t>2</w:t>
            </w:r>
            <w:r>
              <w:rPr>
                <w:rFonts w:hint="default" w:ascii="Times New Roman" w:hAnsi="Times New Roman" w:cs="Times New Roman"/>
                <w:bCs/>
                <w:color w:val="auto"/>
                <w:sz w:val="24"/>
                <w:highlight w:val="none"/>
                <w:lang w:val="en-US" w:eastAsia="zh-CN"/>
              </w:rPr>
              <w:t>t/a</w:t>
            </w:r>
          </w:p>
        </w:tc>
        <w:tc>
          <w:tcPr>
            <w:tcW w:w="1575"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6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hAnsi="Times New Roman" w:cs="Times New Roman"/>
                <w:bCs/>
                <w:color w:val="auto"/>
                <w:sz w:val="24"/>
                <w:highlight w:val="none"/>
                <w:lang w:val="en-US" w:eastAsia="zh-CN"/>
              </w:rPr>
            </w:pPr>
            <w:r>
              <w:rPr>
                <w:rFonts w:hint="default" w:ascii="Times New Roman" w:hAnsi="Times New Roman" w:cs="Times New Roman"/>
                <w:bCs/>
                <w:color w:val="auto"/>
                <w:sz w:val="24"/>
                <w:highlight w:val="none"/>
                <w:lang w:val="en-US" w:eastAsia="zh-CN"/>
              </w:rPr>
              <w:t>0.</w:t>
            </w:r>
            <w:r>
              <w:rPr>
                <w:rFonts w:hint="eastAsia" w:ascii="Times New Roman" w:hAnsi="Times New Roman" w:cs="Times New Roman"/>
                <w:bCs/>
                <w:color w:val="auto"/>
                <w:sz w:val="24"/>
                <w:highlight w:val="none"/>
                <w:lang w:val="en-US" w:eastAsia="zh-CN"/>
              </w:rPr>
              <w:t>2</w:t>
            </w:r>
            <w:r>
              <w:rPr>
                <w:rFonts w:hint="default" w:ascii="Times New Roman" w:hAnsi="Times New Roman" w:cs="Times New Roman"/>
                <w:bCs/>
                <w:color w:val="auto"/>
                <w:sz w:val="24"/>
                <w:highlight w:val="none"/>
                <w:lang w:val="en-US" w:eastAsia="zh-CN"/>
              </w:rPr>
              <w:t>t/a</w:t>
            </w:r>
          </w:p>
        </w:tc>
        <w:tc>
          <w:tcPr>
            <w:tcW w:w="1364"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auto"/>
                <w:kern w:val="21"/>
                <w:sz w:val="24"/>
                <w:szCs w:val="24"/>
                <w:highlight w:val="none"/>
              </w:rPr>
            </w:pPr>
            <w:r>
              <w:rPr>
                <w:rFonts w:hint="eastAsia" w:ascii="Times New Roman" w:hAnsi="Times New Roman" w:cs="Times New Roman"/>
                <w:bCs/>
                <w:color w:val="auto"/>
                <w:sz w:val="24"/>
                <w:highlight w:val="none"/>
                <w:lang w:val="en-US" w:eastAsia="zh-CN"/>
              </w:rPr>
              <w:t>+</w:t>
            </w:r>
            <w:r>
              <w:rPr>
                <w:rFonts w:hint="default" w:ascii="Times New Roman" w:hAnsi="Times New Roman" w:cs="Times New Roman"/>
                <w:bCs/>
                <w:color w:val="auto"/>
                <w:sz w:val="24"/>
                <w:highlight w:val="none"/>
                <w:lang w:val="en-US" w:eastAsia="zh-CN"/>
              </w:rPr>
              <w:t>0.</w:t>
            </w:r>
            <w:r>
              <w:rPr>
                <w:rFonts w:hint="eastAsia" w:ascii="Times New Roman" w:hAnsi="Times New Roman" w:cs="Times New Roman"/>
                <w:bCs/>
                <w:color w:val="auto"/>
                <w:sz w:val="24"/>
                <w:highlight w:val="none"/>
                <w:lang w:val="en-US" w:eastAsia="zh-CN"/>
              </w:rPr>
              <w:t>2</w:t>
            </w:r>
            <w:r>
              <w:rPr>
                <w:rFonts w:hint="default" w:ascii="Times New Roman" w:hAnsi="Times New Roman" w:cs="Times New Roman"/>
                <w:bCs/>
                <w:color w:val="auto"/>
                <w:sz w:val="24"/>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noWrap w:val="0"/>
            <w:vAlign w:val="center"/>
          </w:tcPr>
          <w:p>
            <w:pPr>
              <w:pStyle w:val="32"/>
              <w:keepNext w:val="0"/>
              <w:keepLines w:val="0"/>
              <w:pageBreakBefore w:val="0"/>
              <w:widowControl w:val="0"/>
              <w:kinsoku/>
              <w:wordWrap/>
              <w:overflowPunct/>
              <w:topLinePunct w:val="0"/>
              <w:autoSpaceDE/>
              <w:autoSpaceDN/>
              <w:bidi w:val="0"/>
              <w:spacing w:beforeLines="0" w:afterLines="0" w:line="360" w:lineRule="auto"/>
              <w:textAlignment w:val="auto"/>
              <w:rPr>
                <w:rFonts w:hAnsi="宋体" w:cs="宋体"/>
                <w:snapToGrid w:val="0"/>
                <w:color w:val="auto"/>
                <w:kern w:val="21"/>
                <w:sz w:val="24"/>
                <w:szCs w:val="24"/>
                <w:highlight w:val="none"/>
              </w:rPr>
            </w:pPr>
          </w:p>
        </w:tc>
        <w:tc>
          <w:tcPr>
            <w:tcW w:w="1417" w:type="dxa"/>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cs="Times New Roman"/>
                <w:bCs/>
                <w:color w:val="auto"/>
                <w:sz w:val="24"/>
                <w:highlight w:val="none"/>
                <w:lang w:val="en-US" w:eastAsia="zh-CN"/>
              </w:rPr>
            </w:pPr>
            <w:r>
              <w:rPr>
                <w:rFonts w:hint="eastAsia" w:ascii="Times New Roman" w:hAnsi="Times New Roman" w:cs="Times New Roman"/>
                <w:bCs/>
                <w:color w:val="auto"/>
                <w:sz w:val="24"/>
                <w:highlight w:val="none"/>
                <w:lang w:val="en-US" w:eastAsia="zh-CN"/>
              </w:rPr>
              <w:t>沉淀池底泥</w:t>
            </w: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276"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5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hAnsi="Times New Roman" w:cs="Times New Roman"/>
                <w:bCs/>
                <w:color w:val="auto"/>
                <w:sz w:val="24"/>
                <w:highlight w:val="none"/>
                <w:lang w:val="en-US" w:eastAsia="zh-CN"/>
              </w:rPr>
            </w:pPr>
            <w:r>
              <w:rPr>
                <w:rFonts w:hint="default" w:ascii="Times New Roman" w:hAnsi="Times New Roman" w:cs="Times New Roman"/>
                <w:bCs/>
                <w:color w:val="auto"/>
                <w:sz w:val="24"/>
                <w:highlight w:val="none"/>
                <w:lang w:val="en-US" w:eastAsia="zh-CN"/>
              </w:rPr>
              <w:t>0.</w:t>
            </w:r>
            <w:r>
              <w:rPr>
                <w:rFonts w:hint="eastAsia" w:ascii="Times New Roman" w:hAnsi="Times New Roman" w:cs="Times New Roman"/>
                <w:bCs/>
                <w:color w:val="auto"/>
                <w:sz w:val="24"/>
                <w:highlight w:val="none"/>
                <w:lang w:val="en-US" w:eastAsia="zh-CN"/>
              </w:rPr>
              <w:t>01</w:t>
            </w:r>
            <w:r>
              <w:rPr>
                <w:rFonts w:hint="default" w:ascii="Times New Roman" w:hAnsi="Times New Roman" w:cs="Times New Roman"/>
                <w:bCs/>
                <w:color w:val="auto"/>
                <w:sz w:val="24"/>
                <w:highlight w:val="none"/>
                <w:lang w:val="en-US" w:eastAsia="zh-CN"/>
              </w:rPr>
              <w:t>t/a</w:t>
            </w:r>
          </w:p>
        </w:tc>
        <w:tc>
          <w:tcPr>
            <w:tcW w:w="1575"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6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hAnsi="Times New Roman" w:cs="Times New Roman"/>
                <w:bCs/>
                <w:color w:val="auto"/>
                <w:sz w:val="24"/>
                <w:highlight w:val="none"/>
                <w:lang w:val="en-US" w:eastAsia="zh-CN"/>
              </w:rPr>
            </w:pPr>
            <w:r>
              <w:rPr>
                <w:rFonts w:hint="default" w:ascii="Times New Roman" w:hAnsi="Times New Roman" w:cs="Times New Roman"/>
                <w:bCs/>
                <w:color w:val="auto"/>
                <w:sz w:val="24"/>
                <w:highlight w:val="none"/>
                <w:lang w:val="en-US" w:eastAsia="zh-CN"/>
              </w:rPr>
              <w:t>0.</w:t>
            </w:r>
            <w:r>
              <w:rPr>
                <w:rFonts w:hint="eastAsia" w:ascii="Times New Roman" w:hAnsi="Times New Roman" w:cs="Times New Roman"/>
                <w:bCs/>
                <w:color w:val="auto"/>
                <w:sz w:val="24"/>
                <w:highlight w:val="none"/>
                <w:lang w:val="en-US" w:eastAsia="zh-CN"/>
              </w:rPr>
              <w:t>01</w:t>
            </w:r>
            <w:r>
              <w:rPr>
                <w:rFonts w:hint="default" w:ascii="Times New Roman" w:hAnsi="Times New Roman" w:cs="Times New Roman"/>
                <w:bCs/>
                <w:color w:val="auto"/>
                <w:sz w:val="24"/>
                <w:highlight w:val="none"/>
                <w:lang w:val="en-US" w:eastAsia="zh-CN"/>
              </w:rPr>
              <w:t>t/a</w:t>
            </w:r>
          </w:p>
        </w:tc>
        <w:tc>
          <w:tcPr>
            <w:tcW w:w="1364"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ascii="Times New Roman"/>
                <w:snapToGrid w:val="0"/>
                <w:color w:val="auto"/>
                <w:kern w:val="21"/>
                <w:sz w:val="24"/>
                <w:szCs w:val="24"/>
                <w:highlight w:val="none"/>
              </w:rPr>
            </w:pPr>
            <w:r>
              <w:rPr>
                <w:rFonts w:hint="eastAsia" w:ascii="Times New Roman" w:hAnsi="Times New Roman" w:cs="Times New Roman"/>
                <w:bCs/>
                <w:color w:val="auto"/>
                <w:sz w:val="24"/>
                <w:highlight w:val="none"/>
                <w:lang w:val="en-US" w:eastAsia="zh-CN"/>
              </w:rPr>
              <w:t>+</w:t>
            </w:r>
            <w:r>
              <w:rPr>
                <w:rFonts w:hint="default" w:ascii="Times New Roman" w:hAnsi="Times New Roman" w:cs="Times New Roman"/>
                <w:bCs/>
                <w:color w:val="auto"/>
                <w:sz w:val="24"/>
                <w:highlight w:val="none"/>
                <w:lang w:val="en-US" w:eastAsia="zh-CN"/>
              </w:rPr>
              <w:t>0.</w:t>
            </w:r>
            <w:r>
              <w:rPr>
                <w:rFonts w:hint="eastAsia" w:ascii="Times New Roman" w:hAnsi="Times New Roman" w:cs="Times New Roman"/>
                <w:bCs/>
                <w:color w:val="auto"/>
                <w:sz w:val="24"/>
                <w:highlight w:val="none"/>
                <w:lang w:val="en-US" w:eastAsia="zh-CN"/>
              </w:rPr>
              <w:t>01</w:t>
            </w:r>
            <w:r>
              <w:rPr>
                <w:rFonts w:hint="default" w:ascii="Times New Roman" w:hAnsi="Times New Roman" w:cs="Times New Roman"/>
                <w:bCs/>
                <w:color w:val="auto"/>
                <w:sz w:val="24"/>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noWrap w:val="0"/>
            <w:vAlign w:val="center"/>
          </w:tcPr>
          <w:p>
            <w:pPr>
              <w:pStyle w:val="32"/>
              <w:keepNext w:val="0"/>
              <w:keepLines w:val="0"/>
              <w:pageBreakBefore w:val="0"/>
              <w:widowControl w:val="0"/>
              <w:kinsoku/>
              <w:wordWrap/>
              <w:overflowPunct/>
              <w:topLinePunct w:val="0"/>
              <w:autoSpaceDE/>
              <w:autoSpaceDN/>
              <w:bidi w:val="0"/>
              <w:spacing w:beforeLines="0" w:afterLines="0" w:line="360" w:lineRule="auto"/>
              <w:textAlignment w:val="auto"/>
              <w:rPr>
                <w:rFonts w:hint="eastAsia" w:hAnsi="宋体" w:cs="宋体"/>
                <w:snapToGrid w:val="0"/>
                <w:color w:val="auto"/>
                <w:kern w:val="21"/>
                <w:sz w:val="24"/>
                <w:szCs w:val="24"/>
                <w:highlight w:val="none"/>
              </w:rPr>
            </w:pPr>
            <w:r>
              <w:rPr>
                <w:rFonts w:hint="eastAsia" w:hAnsi="宋体" w:cs="宋体"/>
                <w:snapToGrid w:val="0"/>
                <w:color w:val="auto"/>
                <w:kern w:val="21"/>
                <w:sz w:val="24"/>
                <w:szCs w:val="24"/>
                <w:highlight w:val="none"/>
              </w:rPr>
              <w:t>危险废物</w:t>
            </w:r>
          </w:p>
        </w:tc>
        <w:tc>
          <w:tcPr>
            <w:tcW w:w="1417"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eastAsia="宋体" w:cs="宋体"/>
                <w:snapToGrid w:val="0"/>
                <w:color w:val="auto"/>
                <w:kern w:val="21"/>
                <w:sz w:val="24"/>
                <w:szCs w:val="24"/>
                <w:highlight w:val="none"/>
                <w:lang w:eastAsia="zh-CN"/>
              </w:rPr>
            </w:pPr>
            <w:r>
              <w:rPr>
                <w:rFonts w:hint="eastAsia" w:cs="宋体"/>
                <w:snapToGrid w:val="0"/>
                <w:color w:val="auto"/>
                <w:kern w:val="21"/>
                <w:sz w:val="24"/>
                <w:szCs w:val="24"/>
                <w:highlight w:val="none"/>
                <w:lang w:val="en-US" w:eastAsia="zh-CN"/>
              </w:rPr>
              <w:t>废机油</w:t>
            </w: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276"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rPr>
            </w:pP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rPr>
            </w:pPr>
          </w:p>
        </w:tc>
        <w:tc>
          <w:tcPr>
            <w:tcW w:w="15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cs="Times New Roman"/>
                <w:snapToGrid w:val="0"/>
                <w:color w:val="auto"/>
                <w:kern w:val="21"/>
                <w:sz w:val="24"/>
                <w:szCs w:val="24"/>
                <w:highlight w:val="none"/>
                <w:lang w:val="en-US" w:eastAsia="zh-CN"/>
              </w:rPr>
              <w:t>0.1</w:t>
            </w:r>
            <w:r>
              <w:rPr>
                <w:rFonts w:hint="eastAsia" w:ascii="Times New Roman"/>
                <w:snapToGrid w:val="0"/>
                <w:color w:val="auto"/>
                <w:kern w:val="21"/>
                <w:sz w:val="24"/>
                <w:szCs w:val="24"/>
                <w:highlight w:val="none"/>
              </w:rPr>
              <w:t>t/a</w:t>
            </w:r>
          </w:p>
        </w:tc>
        <w:tc>
          <w:tcPr>
            <w:tcW w:w="1575"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rPr>
            </w:pPr>
          </w:p>
        </w:tc>
        <w:tc>
          <w:tcPr>
            <w:tcW w:w="16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rPr>
            </w:pPr>
            <w:r>
              <w:rPr>
                <w:rFonts w:hint="eastAsia" w:ascii="Times New Roman" w:hAnsi="Times New Roman" w:cs="Times New Roman"/>
                <w:snapToGrid w:val="0"/>
                <w:color w:val="auto"/>
                <w:kern w:val="21"/>
                <w:sz w:val="24"/>
                <w:szCs w:val="24"/>
                <w:highlight w:val="none"/>
                <w:lang w:val="en-US" w:eastAsia="zh-CN"/>
              </w:rPr>
              <w:t>0.1</w:t>
            </w:r>
            <w:r>
              <w:rPr>
                <w:rFonts w:hint="eastAsia" w:ascii="Times New Roman"/>
                <w:snapToGrid w:val="0"/>
                <w:color w:val="auto"/>
                <w:kern w:val="21"/>
                <w:sz w:val="24"/>
                <w:szCs w:val="24"/>
                <w:highlight w:val="none"/>
              </w:rPr>
              <w:t>t/a</w:t>
            </w:r>
          </w:p>
        </w:tc>
        <w:tc>
          <w:tcPr>
            <w:tcW w:w="1364"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rPr>
            </w:pPr>
            <w:r>
              <w:rPr>
                <w:rFonts w:hint="eastAsia" w:ascii="Times New Roman" w:cs="Times New Roman"/>
                <w:snapToGrid w:val="0"/>
                <w:color w:val="auto"/>
                <w:kern w:val="21"/>
                <w:sz w:val="24"/>
                <w:szCs w:val="24"/>
                <w:highlight w:val="none"/>
                <w:lang w:val="en-US" w:eastAsia="zh-CN"/>
              </w:rPr>
              <w:t>+</w:t>
            </w:r>
            <w:r>
              <w:rPr>
                <w:rFonts w:hint="eastAsia" w:ascii="Times New Roman" w:hAnsi="Times New Roman" w:cs="Times New Roman"/>
                <w:snapToGrid w:val="0"/>
                <w:color w:val="auto"/>
                <w:kern w:val="21"/>
                <w:sz w:val="24"/>
                <w:szCs w:val="24"/>
                <w:highlight w:val="none"/>
                <w:lang w:val="en-US" w:eastAsia="zh-CN"/>
              </w:rPr>
              <w:t>0.1</w:t>
            </w:r>
            <w:r>
              <w:rPr>
                <w:rFonts w:hint="eastAsia" w:ascii="Times New Roman"/>
                <w:snapToGrid w:val="0"/>
                <w:color w:val="auto"/>
                <w:kern w:val="21"/>
                <w:sz w:val="24"/>
                <w:szCs w:val="24"/>
                <w:highlight w:val="none"/>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noWrap w:val="0"/>
            <w:vAlign w:val="center"/>
          </w:tcPr>
          <w:p>
            <w:pPr>
              <w:pStyle w:val="32"/>
              <w:keepNext w:val="0"/>
              <w:keepLines w:val="0"/>
              <w:pageBreakBefore w:val="0"/>
              <w:widowControl w:val="0"/>
              <w:kinsoku/>
              <w:wordWrap/>
              <w:overflowPunct/>
              <w:topLinePunct w:val="0"/>
              <w:autoSpaceDE/>
              <w:autoSpaceDN/>
              <w:bidi w:val="0"/>
              <w:spacing w:beforeLines="0" w:afterLines="0" w:line="360" w:lineRule="auto"/>
              <w:textAlignment w:val="auto"/>
              <w:rPr>
                <w:rFonts w:hAnsi="宋体" w:cs="宋体"/>
                <w:snapToGrid w:val="0"/>
                <w:color w:val="auto"/>
                <w:kern w:val="21"/>
                <w:sz w:val="24"/>
                <w:szCs w:val="24"/>
                <w:highlight w:val="none"/>
              </w:rPr>
            </w:pPr>
          </w:p>
        </w:tc>
        <w:tc>
          <w:tcPr>
            <w:tcW w:w="1417"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eastAsia" w:hAnsi="宋体" w:eastAsia="宋体" w:cs="宋体"/>
                <w:snapToGrid w:val="0"/>
                <w:color w:val="auto"/>
                <w:kern w:val="21"/>
                <w:sz w:val="24"/>
                <w:szCs w:val="24"/>
                <w:highlight w:val="none"/>
                <w:lang w:eastAsia="zh-CN"/>
              </w:rPr>
            </w:pPr>
            <w:r>
              <w:rPr>
                <w:rFonts w:hint="eastAsia" w:cs="宋体"/>
                <w:snapToGrid w:val="0"/>
                <w:color w:val="auto"/>
                <w:kern w:val="21"/>
                <w:sz w:val="24"/>
                <w:szCs w:val="24"/>
                <w:highlight w:val="none"/>
                <w:lang w:val="en-US" w:eastAsia="zh-CN"/>
              </w:rPr>
              <w:t>废油桶</w:t>
            </w: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Ansi="宋体" w:cs="宋体"/>
                <w:snapToGrid w:val="0"/>
                <w:color w:val="auto"/>
                <w:kern w:val="21"/>
                <w:sz w:val="24"/>
                <w:szCs w:val="24"/>
                <w:highlight w:val="none"/>
              </w:rPr>
            </w:pPr>
          </w:p>
        </w:tc>
        <w:tc>
          <w:tcPr>
            <w:tcW w:w="1276"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rPr>
            </w:pPr>
          </w:p>
        </w:tc>
        <w:tc>
          <w:tcPr>
            <w:tcW w:w="1701"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rPr>
            </w:pPr>
          </w:p>
        </w:tc>
        <w:tc>
          <w:tcPr>
            <w:tcW w:w="15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cs="Times New Roman"/>
                <w:color w:val="auto"/>
                <w:sz w:val="24"/>
                <w:highlight w:val="none"/>
                <w:lang w:val="en-US" w:eastAsia="zh-CN"/>
              </w:rPr>
              <w:t>1个/a</w:t>
            </w:r>
          </w:p>
        </w:tc>
        <w:tc>
          <w:tcPr>
            <w:tcW w:w="1575"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rPr>
            </w:pPr>
          </w:p>
        </w:tc>
        <w:tc>
          <w:tcPr>
            <w:tcW w:w="1673"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lang w:val="en-US"/>
              </w:rPr>
            </w:pPr>
            <w:r>
              <w:rPr>
                <w:rFonts w:hint="eastAsia" w:ascii="Times New Roman" w:hAnsi="Times New Roman" w:cs="Times New Roman"/>
                <w:color w:val="auto"/>
                <w:sz w:val="24"/>
                <w:highlight w:val="none"/>
                <w:lang w:val="en-US" w:eastAsia="zh-CN"/>
              </w:rPr>
              <w:t>1个/a</w:t>
            </w:r>
          </w:p>
        </w:tc>
        <w:tc>
          <w:tcPr>
            <w:tcW w:w="1364" w:type="dxa"/>
            <w:noWrap w:val="0"/>
            <w:vAlign w:val="center"/>
          </w:tcPr>
          <w:p>
            <w:pPr>
              <w:pStyle w:val="32"/>
              <w:keepNext w:val="0"/>
              <w:keepLines w:val="0"/>
              <w:pageBreakBefore w:val="0"/>
              <w:widowControl w:val="0"/>
              <w:kinsoku/>
              <w:wordWrap/>
              <w:overflowPunct/>
              <w:topLinePunct w:val="0"/>
              <w:autoSpaceDE/>
              <w:autoSpaceDN/>
              <w:bidi w:val="0"/>
              <w:spacing w:beforeLines="0" w:afterLines="0" w:line="240" w:lineRule="auto"/>
              <w:textAlignment w:val="auto"/>
              <w:rPr>
                <w:rFonts w:hint="default" w:ascii="Times New Roman" w:hAnsi="Times New Roman" w:cs="Times New Roman"/>
                <w:snapToGrid w:val="0"/>
                <w:color w:val="auto"/>
                <w:kern w:val="21"/>
                <w:sz w:val="24"/>
                <w:szCs w:val="24"/>
                <w:highlight w:val="none"/>
                <w:lang w:val="en-US"/>
              </w:rPr>
            </w:pPr>
            <w:r>
              <w:rPr>
                <w:rFonts w:hint="eastAsia" w:ascii="Times New Roman" w:hAnsi="Times New Roman" w:cs="Times New Roman"/>
                <w:color w:val="auto"/>
                <w:sz w:val="24"/>
                <w:highlight w:val="none"/>
                <w:lang w:val="en-US" w:eastAsia="zh-CN"/>
              </w:rPr>
              <w:t>+1个/a</w:t>
            </w:r>
          </w:p>
        </w:tc>
      </w:tr>
    </w:tbl>
    <w:p>
      <w:pPr>
        <w:pStyle w:val="10"/>
        <w:spacing w:before="66"/>
        <w:ind w:left="140"/>
        <w:rPr>
          <w:rFonts w:ascii="Times New Roman" w:hAnsi="Times New Roman" w:eastAsia="仿宋" w:cs="Times New Roman"/>
          <w:color w:val="auto"/>
          <w:sz w:val="21"/>
          <w:szCs w:val="21"/>
          <w:highlight w:val="none"/>
        </w:rPr>
      </w:pPr>
      <w:r>
        <w:rPr>
          <w:rFonts w:ascii="Times New Roman" w:hAnsi="Times New Roman" w:eastAsia="仿宋" w:cs="Times New Roman"/>
          <w:color w:val="auto"/>
          <w:sz w:val="21"/>
          <w:szCs w:val="21"/>
          <w:highlight w:val="none"/>
        </w:rPr>
        <w:t>注：⑥</w:t>
      </w:r>
      <w:r>
        <w:rPr>
          <w:rFonts w:ascii="Times New Roman" w:hAnsi="Times New Roman" w:cs="Times New Roman"/>
          <w:color w:val="auto"/>
          <w:sz w:val="21"/>
          <w:szCs w:val="21"/>
          <w:highlight w:val="none"/>
        </w:rPr>
        <w:t>=</w:t>
      </w:r>
      <w:r>
        <w:rPr>
          <w:rFonts w:ascii="Times New Roman" w:hAnsi="Times New Roman" w:eastAsia="仿宋" w:cs="Times New Roman"/>
          <w:color w:val="auto"/>
          <w:sz w:val="21"/>
          <w:szCs w:val="21"/>
          <w:highlight w:val="none"/>
        </w:rPr>
        <w:t>①</w:t>
      </w:r>
      <w:r>
        <w:rPr>
          <w:rFonts w:ascii="Times New Roman" w:hAnsi="Times New Roman" w:cs="Times New Roman"/>
          <w:color w:val="auto"/>
          <w:sz w:val="21"/>
          <w:szCs w:val="21"/>
          <w:highlight w:val="none"/>
        </w:rPr>
        <w:t>+</w:t>
      </w:r>
      <w:r>
        <w:rPr>
          <w:rFonts w:ascii="Times New Roman" w:hAnsi="Times New Roman" w:eastAsia="仿宋" w:cs="Times New Roman"/>
          <w:color w:val="auto"/>
          <w:sz w:val="21"/>
          <w:szCs w:val="21"/>
          <w:highlight w:val="none"/>
        </w:rPr>
        <w:t>③</w:t>
      </w:r>
      <w:r>
        <w:rPr>
          <w:rFonts w:ascii="Times New Roman" w:hAnsi="Times New Roman" w:cs="Times New Roman"/>
          <w:color w:val="auto"/>
          <w:sz w:val="21"/>
          <w:szCs w:val="21"/>
          <w:highlight w:val="none"/>
        </w:rPr>
        <w:t>+</w:t>
      </w:r>
      <w:r>
        <w:rPr>
          <w:rFonts w:ascii="Times New Roman" w:hAnsi="Times New Roman" w:eastAsia="仿宋" w:cs="Times New Roman"/>
          <w:color w:val="auto"/>
          <w:sz w:val="21"/>
          <w:szCs w:val="21"/>
          <w:highlight w:val="none"/>
        </w:rPr>
        <w:t>④</w:t>
      </w:r>
      <w:r>
        <w:rPr>
          <w:rFonts w:ascii="Times New Roman" w:hAnsi="Times New Roman" w:cs="Times New Roman"/>
          <w:color w:val="auto"/>
          <w:sz w:val="21"/>
          <w:szCs w:val="21"/>
          <w:highlight w:val="none"/>
        </w:rPr>
        <w:t>-</w:t>
      </w:r>
      <w:r>
        <w:rPr>
          <w:rFonts w:ascii="Times New Roman" w:hAnsi="Times New Roman" w:eastAsia="仿宋" w:cs="Times New Roman"/>
          <w:color w:val="auto"/>
          <w:sz w:val="21"/>
          <w:szCs w:val="21"/>
          <w:highlight w:val="none"/>
        </w:rPr>
        <w:t>⑤；⑦</w:t>
      </w:r>
      <w:r>
        <w:rPr>
          <w:rFonts w:ascii="Times New Roman" w:hAnsi="Times New Roman" w:cs="Times New Roman"/>
          <w:color w:val="auto"/>
          <w:sz w:val="21"/>
          <w:szCs w:val="21"/>
          <w:highlight w:val="none"/>
        </w:rPr>
        <w:t>=</w:t>
      </w:r>
      <w:r>
        <w:rPr>
          <w:rFonts w:ascii="Times New Roman" w:hAnsi="Times New Roman" w:eastAsia="仿宋" w:cs="Times New Roman"/>
          <w:color w:val="auto"/>
          <w:sz w:val="21"/>
          <w:szCs w:val="21"/>
          <w:highlight w:val="none"/>
        </w:rPr>
        <w:t>⑥</w:t>
      </w:r>
      <w:r>
        <w:rPr>
          <w:rFonts w:ascii="Times New Roman" w:hAnsi="Times New Roman" w:cs="Times New Roman"/>
          <w:color w:val="auto"/>
          <w:sz w:val="21"/>
          <w:szCs w:val="21"/>
          <w:highlight w:val="none"/>
        </w:rPr>
        <w:t>-</w:t>
      </w:r>
      <w:r>
        <w:rPr>
          <w:rFonts w:ascii="Times New Roman" w:hAnsi="Times New Roman" w:eastAsia="仿宋" w:cs="Times New Roman"/>
          <w:color w:val="auto"/>
          <w:sz w:val="21"/>
          <w:szCs w:val="21"/>
          <w:highlight w:val="none"/>
        </w:rPr>
        <w:t>①</w:t>
      </w:r>
    </w:p>
    <w:p>
      <w:pPr>
        <w:spacing w:before="62"/>
        <w:ind w:right="4070"/>
        <w:jc w:val="both"/>
        <w:rPr>
          <w:rFonts w:ascii="Times New Roman" w:hAnsi="Times New Roman" w:cs="Times New Roman"/>
          <w:color w:val="auto"/>
          <w:sz w:val="28"/>
          <w:highlight w:val="none"/>
        </w:rPr>
      </w:pPr>
    </w:p>
    <w:p>
      <w:pPr>
        <w:jc w:val="center"/>
        <w:rPr>
          <w:color w:val="auto"/>
          <w:highlight w:val="none"/>
        </w:rPr>
      </w:pPr>
      <w:r>
        <w:rPr>
          <w:rFonts w:ascii="Times New Roman" w:hAnsi="Times New Roman" w:cs="Times New Roman"/>
          <w:color w:val="auto"/>
          <w:highlight w:val="none"/>
        </w:rPr>
        <w:br w:type="page"/>
      </w:r>
    </w:p>
    <w:p>
      <w:pPr>
        <w:jc w:val="center"/>
        <w:rPr>
          <w:rFonts w:cs="Times New Roman"/>
          <w:b/>
          <w:bCs/>
          <w:color w:val="auto"/>
          <w:highlight w:val="none"/>
        </w:rPr>
        <w:sectPr>
          <w:footerReference r:id="rId9" w:type="default"/>
          <w:footerReference r:id="rId10" w:type="even"/>
          <w:pgSz w:w="16838" w:h="11905" w:orient="landscape"/>
          <w:pgMar w:top="901" w:right="1440" w:bottom="879" w:left="918" w:header="0" w:footer="737" w:gutter="0"/>
          <w:pgBorders>
            <w:top w:val="none" w:sz="0" w:space="0"/>
            <w:left w:val="none" w:sz="0" w:space="0"/>
            <w:bottom w:val="none" w:sz="0" w:space="0"/>
            <w:right w:val="none" w:sz="0" w:space="0"/>
          </w:pgBorders>
          <w:pgNumType w:fmt="decimal"/>
          <w:cols w:space="0" w:num="1"/>
          <w:rtlGutter w:val="0"/>
          <w:docGrid w:linePitch="0" w:charSpace="0"/>
        </w:sectPr>
      </w:pPr>
    </w:p>
    <w:p>
      <w:pPr>
        <w:jc w:val="center"/>
        <w:rPr>
          <w:rFonts w:hint="eastAsia" w:eastAsia="宋体" w:cs="Times New Roman"/>
          <w:b/>
          <w:bCs/>
          <w:color w:val="auto"/>
          <w:highlight w:val="none"/>
          <w:lang w:eastAsia="zh-CN"/>
        </w:rPr>
        <w:sectPr>
          <w:pgSz w:w="16838" w:h="11905" w:orient="landscape"/>
          <w:pgMar w:top="901" w:right="1440" w:bottom="879" w:left="918" w:header="0" w:footer="737" w:gutter="0"/>
          <w:pgBorders>
            <w:top w:val="none" w:sz="0" w:space="0"/>
            <w:left w:val="none" w:sz="0" w:space="0"/>
            <w:bottom w:val="none" w:sz="0" w:space="0"/>
            <w:right w:val="none" w:sz="0" w:space="0"/>
          </w:pgBorders>
          <w:pgNumType w:fmt="decimal"/>
          <w:cols w:space="0" w:num="1"/>
          <w:rtlGutter w:val="0"/>
          <w:docGrid w:linePitch="0" w:charSpace="0"/>
        </w:sectPr>
      </w:pPr>
      <w:r>
        <w:rPr>
          <w:color w:val="auto"/>
          <w:highlight w:val="none"/>
        </w:rPr>
        <w:drawing>
          <wp:inline distT="0" distB="0" distL="114300" distR="114300">
            <wp:extent cx="9189720" cy="5109845"/>
            <wp:effectExtent l="0" t="0" r="11430" b="1460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46"/>
                    <a:stretch>
                      <a:fillRect/>
                    </a:stretch>
                  </pic:blipFill>
                  <pic:spPr>
                    <a:xfrm>
                      <a:off x="0" y="0"/>
                      <a:ext cx="9189720" cy="5109845"/>
                    </a:xfrm>
                    <a:prstGeom prst="rect">
                      <a:avLst/>
                    </a:prstGeom>
                    <a:noFill/>
                    <a:ln>
                      <a:noFill/>
                    </a:ln>
                  </pic:spPr>
                </pic:pic>
              </a:graphicData>
            </a:graphic>
          </wp:inline>
        </w:drawing>
      </w:r>
      <w:r>
        <w:rPr>
          <w:rFonts w:cs="Times New Roman"/>
          <w:color w:val="auto"/>
          <w:highlight w:val="none"/>
          <w:lang w:val="en-US" w:bidi="ar-SA"/>
        </w:rPr>
        <mc:AlternateContent>
          <mc:Choice Requires="wps">
            <w:drawing>
              <wp:anchor distT="0" distB="0" distL="114300" distR="114300" simplePos="0" relativeHeight="251665408" behindDoc="0" locked="0" layoutInCell="1" allowOverlap="1">
                <wp:simplePos x="0" y="0"/>
                <wp:positionH relativeFrom="page">
                  <wp:posOffset>3161030</wp:posOffset>
                </wp:positionH>
                <wp:positionV relativeFrom="paragraph">
                  <wp:posOffset>7026910</wp:posOffset>
                </wp:positionV>
                <wp:extent cx="1702435" cy="398145"/>
                <wp:effectExtent l="669290" t="4445" r="5715" b="207010"/>
                <wp:wrapNone/>
                <wp:docPr id="110" name="AutoShape 5004"/>
                <wp:cNvGraphicFramePr/>
                <a:graphic xmlns:a="http://schemas.openxmlformats.org/drawingml/2006/main">
                  <a:graphicData uri="http://schemas.microsoft.com/office/word/2010/wordprocessingShape">
                    <wps:wsp>
                      <wps:cNvSpPr>
                        <a:spLocks noChangeArrowheads="1"/>
                      </wps:cNvSpPr>
                      <wps:spPr bwMode="auto">
                        <a:xfrm>
                          <a:off x="0" y="0"/>
                          <a:ext cx="1702435" cy="398145"/>
                        </a:xfrm>
                        <a:prstGeom prst="wedgeRoundRectCallout">
                          <a:avLst>
                            <a:gd name="adj1" fmla="val -87075"/>
                            <a:gd name="adj2" fmla="val 97049"/>
                            <a:gd name="adj3" fmla="val 16667"/>
                          </a:avLst>
                        </a:prstGeom>
                        <a:solidFill>
                          <a:srgbClr val="F79646">
                            <a:lumMod val="100000"/>
                            <a:lumOff val="0"/>
                            <a:alpha val="47000"/>
                          </a:srgbClr>
                        </a:solidFill>
                        <a:ln w="9525">
                          <a:solidFill>
                            <a:srgbClr val="F79646">
                              <a:lumMod val="100000"/>
                              <a:lumOff val="0"/>
                            </a:srgbClr>
                          </a:solidFill>
                          <a:miter lim="800000"/>
                        </a:ln>
                      </wps:spPr>
                      <wps:txbx>
                        <w:txbxContent>
                          <w:p>
                            <w:pPr>
                              <w:rPr>
                                <w:sz w:val="24"/>
                                <w:szCs w:val="24"/>
                              </w:rPr>
                            </w:pPr>
                            <w:r>
                              <w:rPr>
                                <w:rFonts w:hint="eastAsia"/>
                                <w:sz w:val="24"/>
                                <w:szCs w:val="24"/>
                              </w:rPr>
                              <w:t>本项目地理位置</w:t>
                            </w:r>
                          </w:p>
                        </w:txbxContent>
                      </wps:txbx>
                      <wps:bodyPr rot="0" vert="horz" wrap="square" lIns="91440" tIns="45720" rIns="91440" bIns="45720" anchor="t" anchorCtr="0" upright="1">
                        <a:noAutofit/>
                      </wps:bodyPr>
                    </wps:wsp>
                  </a:graphicData>
                </a:graphic>
              </wp:anchor>
            </w:drawing>
          </mc:Choice>
          <mc:Fallback>
            <w:pict>
              <v:shape id="AutoShape 5004" o:spid="_x0000_s1026" o:spt="62" type="#_x0000_t62" style="position:absolute;left:0pt;margin-left:248.9pt;margin-top:553.3pt;height:31.35pt;width:134.05pt;mso-position-horizontal-relative:page;z-index:251665408;mso-width-relative:page;mso-height-relative:page;" fillcolor="#F79646" filled="t" stroked="t" coordsize="21600,21600" o:gfxdata="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CKURnC2AAAAA0BAAAPAAAAAAAAAAEAIAAAADgAAABkcnMvZG93bnJl&#10;di54bWxQSwECFAAUAAAACACHTuJAH6vOB5ICAACLBQAADgAAAAAAAAABACAAAAA9AQAAZHJzL2Uy&#10;b0RvYy54bWxQSwUGAAAAAAYABgBZAQAAQQYAAAAA&#10;" adj="-8008,31763,14400">
                <v:fill on="t" opacity="30801f" focussize="0,0"/>
                <v:stroke color="#F79646" miterlimit="8" joinstyle="miter"/>
                <v:imagedata o:title=""/>
                <o:lock v:ext="edit" aspectratio="f"/>
                <v:textbox>
                  <w:txbxContent>
                    <w:p>
                      <w:pPr>
                        <w:rPr>
                          <w:sz w:val="24"/>
                          <w:szCs w:val="24"/>
                        </w:rPr>
                      </w:pPr>
                      <w:r>
                        <w:rPr>
                          <w:rFonts w:hint="eastAsia"/>
                          <w:sz w:val="24"/>
                          <w:szCs w:val="24"/>
                        </w:rPr>
                        <w:t>本项目地理位置</w:t>
                      </w:r>
                    </w:p>
                  </w:txbxContent>
                </v:textbox>
              </v:shape>
            </w:pict>
          </mc:Fallback>
        </mc:AlternateContent>
      </w:r>
      <w:r>
        <w:rPr>
          <w:color w:val="auto"/>
          <w:highlight w:val="none"/>
        </w:rPr>
        <mc:AlternateContent>
          <mc:Choice Requires="wps">
            <w:drawing>
              <wp:anchor distT="0" distB="0" distL="114300" distR="114300" simplePos="0" relativeHeight="251667456" behindDoc="0" locked="0" layoutInCell="1" allowOverlap="1">
                <wp:simplePos x="0" y="0"/>
                <wp:positionH relativeFrom="column">
                  <wp:posOffset>1901825</wp:posOffset>
                </wp:positionH>
                <wp:positionV relativeFrom="paragraph">
                  <wp:posOffset>7546340</wp:posOffset>
                </wp:positionV>
                <wp:extent cx="135890" cy="118110"/>
                <wp:effectExtent l="21590" t="19050" r="33020" b="34290"/>
                <wp:wrapNone/>
                <wp:docPr id="9" name="五角星 9"/>
                <wp:cNvGraphicFramePr/>
                <a:graphic xmlns:a="http://schemas.openxmlformats.org/drawingml/2006/main">
                  <a:graphicData uri="http://schemas.microsoft.com/office/word/2010/wordprocessingShape">
                    <wps:wsp>
                      <wps:cNvSpPr/>
                      <wps:spPr>
                        <a:xfrm>
                          <a:off x="0" y="0"/>
                          <a:ext cx="135890" cy="118110"/>
                        </a:xfrm>
                        <a:prstGeom prst="star5">
                          <a:avLst>
                            <a:gd name="adj" fmla="val 18877"/>
                            <a:gd name="hf" fmla="val 105146"/>
                            <a:gd name="vf" fmla="val 110557"/>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49.75pt;margin-top:594.2pt;height:9.3pt;width:10.7pt;z-index:251667456;v-text-anchor:middle;mso-width-relative:page;mso-height-relative:page;" fillcolor="#FF0000" filled="t" stroked="t" coordsize="135890,118110" o:gfxdata="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FgAAAGRycy9QSwECFAAUAAAACACHTuJABa12EtsAAAANAQAADwAAAAAAAAAB&#10;ACAAAAA4AAAAZHJzL2Rvd25yZXYueG1sUEsBAhQAFAAAAAgAh07iQEHR6e2iAgAAaQUAAA4AAAAA&#10;AAAAAQAgAAAAQAEAAGRycy9lMm9Eb2MueG1sUEsFBgAAAAAGAAYAWQEAAFQGAAAAAA==&#10;" path="m0,45113l52091,45347,67945,0,83798,45347,135889,45113,93596,72906,109937,118109,67945,89938,25952,118109,42293,72906xe">
                <v:path o:connectlocs="67945,0;0,45113;25952,118109;109937,118109;135889,45113" o:connectangles="247,164,82,82,0"/>
                <v:fill on="t" focussize="0,0"/>
                <v:stroke weight="1pt" color="#000000 [3213]" miterlimit="8" joinstyle="miter"/>
                <v:imagedata o:title=""/>
                <o:lock v:ext="edit" aspectratio="f"/>
              </v:shape>
            </w:pict>
          </mc:Fallback>
        </mc:AlternateContent>
      </w:r>
      <w:r>
        <w:rPr>
          <w:rFonts w:cs="Times New Roman"/>
          <w:b/>
          <w:bCs/>
          <w:color w:val="auto"/>
          <w:sz w:val="24"/>
          <w:szCs w:val="24"/>
          <w:highlight w:val="none"/>
        </w:rPr>
        <w:t>附图</w:t>
      </w:r>
      <w:r>
        <w:rPr>
          <w:rFonts w:cs="Times New Roman"/>
          <w:b/>
          <w:bCs/>
          <w:color w:val="auto"/>
          <w:sz w:val="24"/>
          <w:szCs w:val="24"/>
          <w:highlight w:val="none"/>
          <w:lang w:val="en-US"/>
        </w:rPr>
        <w:t>1、项目地理位置</w:t>
      </w:r>
      <w:r>
        <w:rPr>
          <w:color w:val="auto"/>
          <w:highlight w:val="none"/>
        </w:rPr>
        <w:drawing>
          <wp:inline distT="0" distB="0" distL="114300" distR="114300">
            <wp:extent cx="9192260" cy="5026660"/>
            <wp:effectExtent l="0" t="0" r="8890" b="2540"/>
            <wp:docPr id="4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6"/>
                    <pic:cNvPicPr>
                      <a:picLocks noChangeAspect="1"/>
                    </pic:cNvPicPr>
                  </pic:nvPicPr>
                  <pic:blipFill>
                    <a:blip r:embed="rId47"/>
                    <a:stretch>
                      <a:fillRect/>
                    </a:stretch>
                  </pic:blipFill>
                  <pic:spPr>
                    <a:xfrm>
                      <a:off x="0" y="0"/>
                      <a:ext cx="9192260" cy="5026660"/>
                    </a:xfrm>
                    <a:prstGeom prst="rect">
                      <a:avLst/>
                    </a:prstGeom>
                    <a:noFill/>
                    <a:ln>
                      <a:noFill/>
                    </a:ln>
                  </pic:spPr>
                </pic:pic>
              </a:graphicData>
            </a:graphic>
          </wp:inline>
        </w:drawing>
      </w:r>
      <w:r>
        <w:rPr>
          <w:rFonts w:ascii="Times New Roman" w:hAnsi="Times New Roman" w:cs="Times New Roman"/>
          <w:b/>
          <w:bCs/>
          <w:color w:val="auto"/>
          <w:sz w:val="24"/>
          <w:szCs w:val="24"/>
          <w:highlight w:val="none"/>
        </w:rPr>
        <w:t>附图</w:t>
      </w:r>
      <w:r>
        <w:rPr>
          <w:rFonts w:ascii="Times New Roman" w:hAnsi="Times New Roman" w:cs="Times New Roman"/>
          <w:b/>
          <w:bCs/>
          <w:color w:val="auto"/>
          <w:sz w:val="24"/>
          <w:szCs w:val="24"/>
          <w:highlight w:val="none"/>
          <w:lang w:val="en-US"/>
        </w:rPr>
        <w:t>2</w:t>
      </w:r>
      <w:r>
        <w:rPr>
          <w:rFonts w:hint="eastAsia" w:ascii="Times New Roman" w:hAnsi="Times New Roman" w:cs="Times New Roman"/>
          <w:b/>
          <w:bCs/>
          <w:color w:val="auto"/>
          <w:sz w:val="24"/>
          <w:szCs w:val="24"/>
          <w:highlight w:val="none"/>
          <w:lang w:val="en-US" w:eastAsia="zh-CN"/>
        </w:rPr>
        <w:t>、总</w:t>
      </w:r>
      <w:r>
        <w:rPr>
          <w:rFonts w:ascii="Times New Roman" w:hAnsi="Times New Roman" w:cs="Times New Roman"/>
          <w:b/>
          <w:bCs/>
          <w:color w:val="auto"/>
          <w:sz w:val="24"/>
          <w:szCs w:val="24"/>
          <w:highlight w:val="none"/>
          <w:lang w:val="en-US"/>
        </w:rPr>
        <w:t>平面布置图</w:t>
      </w:r>
    </w:p>
    <w:p>
      <w:pPr>
        <w:rPr>
          <w:rFonts w:hint="eastAsia" w:ascii="Times New Roman" w:hAnsi="Times New Roman" w:cs="Times New Roman"/>
          <w:b/>
          <w:bCs/>
          <w:color w:val="auto"/>
          <w:sz w:val="24"/>
          <w:szCs w:val="24"/>
          <w:highlight w:val="none"/>
          <w:lang w:eastAsia="zh-CN"/>
        </w:rPr>
      </w:pPr>
      <w:r>
        <w:rPr>
          <w:rFonts w:hint="eastAsia" w:ascii="Times New Roman" w:hAnsi="Times New Roman" w:cs="Times New Roman"/>
          <w:b/>
          <w:bCs/>
          <w:color w:val="auto"/>
          <w:sz w:val="24"/>
          <w:szCs w:val="24"/>
          <w:highlight w:val="none"/>
          <w:lang w:eastAsia="zh-CN"/>
        </w:rPr>
        <w:t>附件</w:t>
      </w:r>
      <w:r>
        <w:rPr>
          <w:rFonts w:hint="eastAsia" w:ascii="Times New Roman" w:hAnsi="Times New Roman" w:cs="Times New Roman"/>
          <w:b/>
          <w:bCs/>
          <w:color w:val="auto"/>
          <w:sz w:val="24"/>
          <w:szCs w:val="24"/>
          <w:highlight w:val="none"/>
          <w:lang w:val="en-US" w:eastAsia="zh-CN"/>
        </w:rPr>
        <w:t>1、</w:t>
      </w:r>
      <w:r>
        <w:rPr>
          <w:rFonts w:hint="eastAsia" w:ascii="Times New Roman" w:hAnsi="Times New Roman" w:cs="Times New Roman"/>
          <w:b/>
          <w:bCs/>
          <w:color w:val="auto"/>
          <w:sz w:val="24"/>
          <w:szCs w:val="24"/>
          <w:highlight w:val="none"/>
          <w:lang w:eastAsia="zh-CN"/>
        </w:rPr>
        <w:t>委托书</w:t>
      </w:r>
    </w:p>
    <w:p>
      <w:pPr>
        <w:snapToGrid w:val="0"/>
        <w:spacing w:line="355" w:lineRule="auto"/>
        <w:jc w:val="left"/>
        <w:outlineLvl w:val="9"/>
        <w:rPr>
          <w:rFonts w:hint="default" w:ascii="Times New Roman" w:hAnsi="Times New Roman" w:eastAsia="宋体" w:cs="Times New Roman"/>
          <w:color w:val="auto"/>
          <w:sz w:val="24"/>
          <w:szCs w:val="24"/>
          <w:highlight w:val="none"/>
          <w:lang w:val="en-US" w:eastAsia="zh-CN"/>
        </w:rPr>
      </w:pPr>
    </w:p>
    <w:p>
      <w:pPr>
        <w:spacing w:line="360" w:lineRule="auto"/>
        <w:jc w:val="center"/>
        <w:rPr>
          <w:rFonts w:hint="default" w:ascii="Times New Roman" w:hAnsi="Times New Roman" w:eastAsia="宋体" w:cs="Times New Roman"/>
          <w:color w:val="auto"/>
          <w:sz w:val="44"/>
          <w:szCs w:val="44"/>
          <w:highlight w:val="none"/>
        </w:rPr>
      </w:pPr>
      <w:r>
        <w:drawing>
          <wp:inline distT="0" distB="0" distL="114300" distR="114300">
            <wp:extent cx="5271135" cy="7452360"/>
            <wp:effectExtent l="0" t="0" r="5715" b="15240"/>
            <wp:docPr id="7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1"/>
                    <pic:cNvPicPr>
                      <a:picLocks noChangeAspect="1"/>
                    </pic:cNvPicPr>
                  </pic:nvPicPr>
                  <pic:blipFill>
                    <a:blip r:embed="rId48"/>
                    <a:stretch>
                      <a:fillRect/>
                    </a:stretch>
                  </pic:blipFill>
                  <pic:spPr>
                    <a:xfrm>
                      <a:off x="0" y="0"/>
                      <a:ext cx="5271135" cy="7452360"/>
                    </a:xfrm>
                    <a:prstGeom prst="rect">
                      <a:avLst/>
                    </a:prstGeom>
                    <a:noFill/>
                    <a:ln>
                      <a:noFill/>
                    </a:ln>
                  </pic:spPr>
                </pic:pic>
              </a:graphicData>
            </a:graphic>
          </wp:inline>
        </w:drawing>
      </w:r>
    </w:p>
    <w:p>
      <w:pPr>
        <w:spacing w:line="360" w:lineRule="auto"/>
        <w:jc w:val="center"/>
        <w:rPr>
          <w:rFonts w:hint="default" w:ascii="Times New Roman" w:hAnsi="Times New Roman" w:eastAsia="宋体" w:cs="Times New Roman"/>
          <w:color w:val="auto"/>
          <w:sz w:val="44"/>
          <w:szCs w:val="44"/>
          <w:highlight w:val="none"/>
        </w:rPr>
      </w:pP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560" w:firstLineChars="200"/>
        <w:jc w:val="center"/>
        <w:textAlignment w:val="auto"/>
        <w:rPr>
          <w:rFonts w:hint="default" w:ascii="Times New Roman" w:hAnsi="Times New Roman" w:eastAsia="宋体" w:cs="Times New Roman"/>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6"/>
        <w:ind w:left="0" w:leftChars="0" w:firstLine="0" w:firstLineChars="0"/>
        <w:rPr>
          <w:rFonts w:hint="default"/>
          <w:b/>
          <w:bCs/>
          <w:color w:val="auto"/>
          <w:highlight w:val="none"/>
          <w:lang w:val="en-US" w:eastAsia="zh-CN"/>
        </w:rPr>
      </w:pPr>
      <w:r>
        <w:rPr>
          <w:rFonts w:hint="eastAsia"/>
          <w:b/>
          <w:bCs/>
          <w:color w:val="auto"/>
          <w:highlight w:val="none"/>
          <w:lang w:val="en-US" w:eastAsia="zh-CN"/>
        </w:rPr>
        <w:t>附件2、项目立项文件</w:t>
      </w:r>
    </w:p>
    <w:p>
      <w:pPr>
        <w:jc w:val="center"/>
        <w:rPr>
          <w:rFonts w:hint="eastAsia"/>
          <w:b/>
          <w:bCs/>
          <w:color w:val="auto"/>
          <w:highlight w:val="none"/>
          <w:lang w:val="en-US" w:eastAsia="zh-CN"/>
        </w:rPr>
      </w:pPr>
    </w:p>
    <w:p>
      <w:pPr>
        <w:pStyle w:val="5"/>
        <w:ind w:left="0" w:leftChars="0" w:firstLine="0" w:firstLineChars="0"/>
        <w:jc w:val="center"/>
        <w:rPr>
          <w:rFonts w:hint="eastAsia"/>
          <w:b/>
          <w:bCs/>
          <w:color w:val="auto"/>
          <w:highlight w:val="none"/>
          <w:lang w:val="en-US" w:eastAsia="zh-CN"/>
        </w:rPr>
      </w:pPr>
      <w:r>
        <w:rPr>
          <w:color w:val="auto"/>
          <w:highlight w:val="none"/>
        </w:rPr>
        <w:drawing>
          <wp:inline distT="0" distB="0" distL="114300" distR="114300">
            <wp:extent cx="5667375" cy="8020050"/>
            <wp:effectExtent l="0" t="0" r="9525" b="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49"/>
                    <a:stretch>
                      <a:fillRect/>
                    </a:stretch>
                  </pic:blipFill>
                  <pic:spPr>
                    <a:xfrm>
                      <a:off x="0" y="0"/>
                      <a:ext cx="5667375" cy="8020050"/>
                    </a:xfrm>
                    <a:prstGeom prst="rect">
                      <a:avLst/>
                    </a:prstGeom>
                    <a:noFill/>
                    <a:ln>
                      <a:noFill/>
                    </a:ln>
                  </pic:spPr>
                </pic:pic>
              </a:graphicData>
            </a:graphic>
          </wp:inline>
        </w:drawing>
      </w:r>
    </w:p>
    <w:p>
      <w:pPr>
        <w:pStyle w:val="6"/>
        <w:ind w:left="0" w:leftChars="0" w:firstLine="0" w:firstLineChars="0"/>
        <w:rPr>
          <w:rFonts w:hint="default"/>
          <w:color w:val="auto"/>
          <w:highlight w:val="none"/>
          <w:lang w:val="en-US" w:eastAsia="zh-CN"/>
        </w:rPr>
      </w:pPr>
      <w:r>
        <w:rPr>
          <w:rFonts w:hint="default"/>
          <w:color w:val="auto"/>
          <w:highlight w:val="none"/>
          <w:lang w:val="en-US" w:eastAsia="zh-CN"/>
        </w:rPr>
        <w:br w:type="page"/>
      </w:r>
    </w:p>
    <w:p>
      <w:pPr>
        <w:pStyle w:val="6"/>
        <w:spacing w:line="360" w:lineRule="auto"/>
        <w:ind w:left="0" w:leftChars="0" w:firstLine="0" w:firstLineChars="0"/>
        <w:rPr>
          <w:rFonts w:hint="default"/>
          <w:b/>
          <w:bCs/>
          <w:color w:val="auto"/>
          <w:highlight w:val="none"/>
          <w:lang w:val="en-US" w:eastAsia="zh-CN"/>
        </w:rPr>
      </w:pPr>
      <w:r>
        <w:rPr>
          <w:rFonts w:hint="eastAsia"/>
          <w:b/>
          <w:bCs/>
          <w:color w:val="auto"/>
          <w:highlight w:val="none"/>
          <w:lang w:val="en-US" w:eastAsia="zh-CN"/>
        </w:rPr>
        <w:t>附件3、项目不动产证</w:t>
      </w:r>
      <w:r>
        <w:rPr>
          <w:color w:val="auto"/>
          <w:highlight w:val="none"/>
        </w:rPr>
        <w:drawing>
          <wp:inline distT="0" distB="0" distL="114300" distR="114300">
            <wp:extent cx="6428105" cy="4537710"/>
            <wp:effectExtent l="0" t="0" r="10795" b="15240"/>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50"/>
                    <a:stretch>
                      <a:fillRect/>
                    </a:stretch>
                  </pic:blipFill>
                  <pic:spPr>
                    <a:xfrm>
                      <a:off x="0" y="0"/>
                      <a:ext cx="6428105" cy="4537710"/>
                    </a:xfrm>
                    <a:prstGeom prst="rect">
                      <a:avLst/>
                    </a:prstGeom>
                    <a:noFill/>
                    <a:ln>
                      <a:noFill/>
                    </a:ln>
                  </pic:spPr>
                </pic:pic>
              </a:graphicData>
            </a:graphic>
          </wp:inline>
        </w:drawing>
      </w:r>
    </w:p>
    <w:p>
      <w:pPr>
        <w:jc w:val="center"/>
        <w:rPr>
          <w:rFonts w:hint="eastAsia"/>
          <w:color w:val="auto"/>
          <w:highlight w:val="none"/>
          <w:lang w:val="en-US" w:eastAsia="zh-CN"/>
        </w:rPr>
        <w:sectPr>
          <w:footerReference r:id="rId11" w:type="default"/>
          <w:pgSz w:w="11905" w:h="16838"/>
          <w:pgMar w:top="1440" w:right="879" w:bottom="918" w:left="901" w:header="0" w:footer="737" w:gutter="0"/>
          <w:pgBorders>
            <w:top w:val="none" w:sz="0" w:space="0"/>
            <w:left w:val="none" w:sz="0" w:space="0"/>
            <w:bottom w:val="none" w:sz="0" w:space="0"/>
            <w:right w:val="none" w:sz="0" w:space="0"/>
          </w:pgBorders>
          <w:pgNumType w:fmt="decimal"/>
          <w:cols w:space="0" w:num="1"/>
          <w:rtlGutter w:val="0"/>
          <w:docGrid w:linePitch="312" w:charSpace="0"/>
        </w:sectPr>
      </w:pPr>
    </w:p>
    <w:p>
      <w:pPr>
        <w:spacing w:line="360" w:lineRule="auto"/>
        <w:jc w:val="both"/>
        <w:rPr>
          <w:rFonts w:hint="default" w:ascii="Times New Roman" w:hAnsi="Times New Roman" w:cs="Times New Roman"/>
          <w:color w:val="auto"/>
          <w:sz w:val="24"/>
          <w:szCs w:val="24"/>
          <w:highlight w:val="none"/>
          <w:lang w:val="en-US"/>
        </w:rPr>
      </w:pPr>
      <w:r>
        <w:rPr>
          <w:rFonts w:hint="default" w:ascii="Times New Roman" w:hAnsi="Times New Roman" w:cs="Times New Roman"/>
          <w:b/>
          <w:bCs/>
          <w:color w:val="auto"/>
          <w:sz w:val="24"/>
          <w:szCs w:val="24"/>
          <w:highlight w:val="none"/>
          <w:lang w:val="en-US" w:eastAsia="zh-CN"/>
        </w:rPr>
        <w:t>附件</w:t>
      </w:r>
      <w:r>
        <w:rPr>
          <w:rFonts w:hint="eastAsia" w:ascii="Times New Roman" w:hAnsi="Times New Roman"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lang w:val="en-US" w:eastAsia="zh-CN"/>
        </w:rPr>
        <w:t>、</w:t>
      </w:r>
      <w:r>
        <w:rPr>
          <w:rFonts w:hint="eastAsia" w:ascii="Times New Roman" w:hAnsi="Times New Roman" w:cs="Times New Roman"/>
          <w:b/>
          <w:bCs/>
          <w:color w:val="auto"/>
          <w:sz w:val="24"/>
          <w:szCs w:val="24"/>
          <w:highlight w:val="none"/>
          <w:lang w:val="en-US" w:eastAsia="zh-CN"/>
        </w:rPr>
        <w:t>入园协议</w:t>
      </w:r>
    </w:p>
    <w:p>
      <w:pPr>
        <w:jc w:val="center"/>
        <w:rPr>
          <w:color w:val="auto"/>
          <w:highlight w:val="none"/>
        </w:rPr>
      </w:pPr>
      <w:r>
        <w:rPr>
          <w:color w:val="auto"/>
          <w:highlight w:val="none"/>
        </w:rPr>
        <w:drawing>
          <wp:inline distT="0" distB="0" distL="114300" distR="114300">
            <wp:extent cx="6028690" cy="8681085"/>
            <wp:effectExtent l="0" t="0" r="10160" b="571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1"/>
                    <a:stretch>
                      <a:fillRect/>
                    </a:stretch>
                  </pic:blipFill>
                  <pic:spPr>
                    <a:xfrm>
                      <a:off x="0" y="0"/>
                      <a:ext cx="6028690" cy="8681085"/>
                    </a:xfrm>
                    <a:prstGeom prst="rect">
                      <a:avLst/>
                    </a:prstGeom>
                    <a:noFill/>
                    <a:ln>
                      <a:noFill/>
                    </a:ln>
                  </pic:spPr>
                </pic:pic>
              </a:graphicData>
            </a:graphic>
          </wp:inline>
        </w:drawing>
      </w:r>
    </w:p>
    <w:p>
      <w:pPr>
        <w:jc w:val="center"/>
        <w:rPr>
          <w:color w:val="auto"/>
          <w:highlight w:val="none"/>
        </w:rPr>
      </w:pPr>
      <w:r>
        <w:rPr>
          <w:color w:val="auto"/>
          <w:highlight w:val="none"/>
        </w:rPr>
        <w:drawing>
          <wp:inline distT="0" distB="0" distL="114300" distR="114300">
            <wp:extent cx="5761355" cy="8869045"/>
            <wp:effectExtent l="0" t="0" r="10795" b="825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52"/>
                    <a:stretch>
                      <a:fillRect/>
                    </a:stretch>
                  </pic:blipFill>
                  <pic:spPr>
                    <a:xfrm>
                      <a:off x="0" y="0"/>
                      <a:ext cx="5761355" cy="8869045"/>
                    </a:xfrm>
                    <a:prstGeom prst="rect">
                      <a:avLst/>
                    </a:prstGeom>
                    <a:noFill/>
                    <a:ln>
                      <a:noFill/>
                    </a:ln>
                  </pic:spPr>
                </pic:pic>
              </a:graphicData>
            </a:graphic>
          </wp:inline>
        </w:drawing>
      </w:r>
      <w:r>
        <w:rPr>
          <w:color w:val="auto"/>
          <w:highlight w:val="none"/>
        </w:rPr>
        <w:drawing>
          <wp:inline distT="0" distB="0" distL="114300" distR="114300">
            <wp:extent cx="6262370" cy="8807450"/>
            <wp:effectExtent l="0" t="0" r="5080" b="1270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53"/>
                    <a:stretch>
                      <a:fillRect/>
                    </a:stretch>
                  </pic:blipFill>
                  <pic:spPr>
                    <a:xfrm>
                      <a:off x="0" y="0"/>
                      <a:ext cx="6262370" cy="8807450"/>
                    </a:xfrm>
                    <a:prstGeom prst="rect">
                      <a:avLst/>
                    </a:prstGeom>
                    <a:noFill/>
                    <a:ln>
                      <a:noFill/>
                    </a:ln>
                  </pic:spPr>
                </pic:pic>
              </a:graphicData>
            </a:graphic>
          </wp:inline>
        </w:drawing>
      </w:r>
      <w:r>
        <w:rPr>
          <w:color w:val="auto"/>
          <w:highlight w:val="none"/>
        </w:rPr>
        <w:drawing>
          <wp:inline distT="0" distB="0" distL="114300" distR="114300">
            <wp:extent cx="5928360" cy="8451850"/>
            <wp:effectExtent l="0" t="0" r="15240" b="635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54"/>
                    <a:stretch>
                      <a:fillRect/>
                    </a:stretch>
                  </pic:blipFill>
                  <pic:spPr>
                    <a:xfrm>
                      <a:off x="0" y="0"/>
                      <a:ext cx="5928360" cy="8451850"/>
                    </a:xfrm>
                    <a:prstGeom prst="rect">
                      <a:avLst/>
                    </a:prstGeom>
                    <a:noFill/>
                    <a:ln>
                      <a:noFill/>
                    </a:ln>
                  </pic:spPr>
                </pic:pic>
              </a:graphicData>
            </a:graphic>
          </wp:inline>
        </w:drawing>
      </w:r>
      <w:r>
        <w:rPr>
          <w:color w:val="auto"/>
          <w:highlight w:val="none"/>
        </w:rPr>
        <w:drawing>
          <wp:inline distT="0" distB="0" distL="114300" distR="114300">
            <wp:extent cx="5975985" cy="8465820"/>
            <wp:effectExtent l="0" t="0" r="5715" b="11430"/>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55"/>
                    <a:stretch>
                      <a:fillRect/>
                    </a:stretch>
                  </pic:blipFill>
                  <pic:spPr>
                    <a:xfrm>
                      <a:off x="0" y="0"/>
                      <a:ext cx="5975985" cy="8465820"/>
                    </a:xfrm>
                    <a:prstGeom prst="rect">
                      <a:avLst/>
                    </a:prstGeom>
                    <a:noFill/>
                    <a:ln>
                      <a:noFill/>
                    </a:ln>
                  </pic:spPr>
                </pic:pic>
              </a:graphicData>
            </a:graphic>
          </wp:inline>
        </w:drawing>
      </w:r>
      <w:r>
        <w:rPr>
          <w:color w:val="auto"/>
          <w:highlight w:val="none"/>
        </w:rPr>
        <w:drawing>
          <wp:inline distT="0" distB="0" distL="114300" distR="114300">
            <wp:extent cx="5572125" cy="7858125"/>
            <wp:effectExtent l="0" t="0" r="9525" b="952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56"/>
                    <a:stretch>
                      <a:fillRect/>
                    </a:stretch>
                  </pic:blipFill>
                  <pic:spPr>
                    <a:xfrm>
                      <a:off x="0" y="0"/>
                      <a:ext cx="5572125" cy="7858125"/>
                    </a:xfrm>
                    <a:prstGeom prst="rect">
                      <a:avLst/>
                    </a:prstGeom>
                    <a:noFill/>
                    <a:ln>
                      <a:noFill/>
                    </a:ln>
                  </pic:spPr>
                </pic:pic>
              </a:graphicData>
            </a:graphic>
          </wp:inline>
        </w:drawing>
      </w:r>
      <w:r>
        <w:rPr>
          <w:color w:val="auto"/>
          <w:highlight w:val="none"/>
        </w:rPr>
        <w:drawing>
          <wp:inline distT="0" distB="0" distL="114300" distR="114300">
            <wp:extent cx="5655945" cy="8017510"/>
            <wp:effectExtent l="0" t="0" r="1905" b="254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57"/>
                    <a:stretch>
                      <a:fillRect/>
                    </a:stretch>
                  </pic:blipFill>
                  <pic:spPr>
                    <a:xfrm>
                      <a:off x="0" y="0"/>
                      <a:ext cx="5655945" cy="8017510"/>
                    </a:xfrm>
                    <a:prstGeom prst="rect">
                      <a:avLst/>
                    </a:prstGeom>
                    <a:noFill/>
                    <a:ln>
                      <a:noFill/>
                    </a:ln>
                  </pic:spPr>
                </pic:pic>
              </a:graphicData>
            </a:graphic>
          </wp:inline>
        </w:drawing>
      </w:r>
      <w:r>
        <w:rPr>
          <w:color w:val="auto"/>
          <w:highlight w:val="none"/>
        </w:rPr>
        <w:drawing>
          <wp:inline distT="0" distB="0" distL="114300" distR="114300">
            <wp:extent cx="5900420" cy="8319770"/>
            <wp:effectExtent l="0" t="0" r="5080" b="5080"/>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58"/>
                    <a:stretch>
                      <a:fillRect/>
                    </a:stretch>
                  </pic:blipFill>
                  <pic:spPr>
                    <a:xfrm>
                      <a:off x="0" y="0"/>
                      <a:ext cx="5900420" cy="8319770"/>
                    </a:xfrm>
                    <a:prstGeom prst="rect">
                      <a:avLst/>
                    </a:prstGeom>
                    <a:noFill/>
                    <a:ln>
                      <a:noFill/>
                    </a:ln>
                  </pic:spPr>
                </pic:pic>
              </a:graphicData>
            </a:graphic>
          </wp:inline>
        </w:drawing>
      </w:r>
    </w:p>
    <w:p>
      <w:pPr>
        <w:jc w:val="center"/>
        <w:rPr>
          <w:color w:val="auto"/>
          <w:highlight w:val="none"/>
        </w:rPr>
      </w:pPr>
    </w:p>
    <w:p>
      <w:pPr>
        <w:jc w:val="center"/>
        <w:rPr>
          <w:color w:val="auto"/>
          <w:highlight w:val="none"/>
        </w:rPr>
      </w:pPr>
    </w:p>
    <w:p>
      <w:pPr>
        <w:jc w:val="center"/>
        <w:rPr>
          <w:rFonts w:hint="eastAsia"/>
          <w:color w:val="auto"/>
          <w:highlight w:val="none"/>
          <w:lang w:val="en-US" w:eastAsia="zh-CN"/>
        </w:rPr>
      </w:pPr>
    </w:p>
    <w:p>
      <w:pPr>
        <w:pStyle w:val="6"/>
        <w:ind w:left="0" w:leftChars="0" w:firstLine="0" w:firstLineChars="0"/>
        <w:rPr>
          <w:rFonts w:hint="default"/>
          <w:b/>
          <w:bCs/>
          <w:color w:val="auto"/>
          <w:highlight w:val="none"/>
          <w:lang w:val="en-US" w:eastAsia="zh-CN"/>
        </w:rPr>
      </w:pPr>
      <w:r>
        <w:rPr>
          <w:rFonts w:hint="eastAsia"/>
          <w:b/>
          <w:bCs/>
          <w:color w:val="auto"/>
          <w:highlight w:val="none"/>
          <w:lang w:val="en-US" w:eastAsia="zh-CN"/>
        </w:rPr>
        <w:t>附件5、规划承诺函</w:t>
      </w:r>
    </w:p>
    <w:p>
      <w:pPr>
        <w:pStyle w:val="5"/>
        <w:ind w:left="0" w:leftChars="0" w:firstLine="0" w:firstLineChars="0"/>
        <w:jc w:val="center"/>
        <w:rPr>
          <w:color w:val="auto"/>
          <w:highlight w:val="none"/>
        </w:rPr>
      </w:pPr>
      <w:r>
        <w:rPr>
          <w:color w:val="auto"/>
          <w:highlight w:val="none"/>
        </w:rPr>
        <w:drawing>
          <wp:inline distT="0" distB="0" distL="114300" distR="114300">
            <wp:extent cx="6106160" cy="8686800"/>
            <wp:effectExtent l="0" t="0" r="889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59"/>
                    <a:stretch>
                      <a:fillRect/>
                    </a:stretch>
                  </pic:blipFill>
                  <pic:spPr>
                    <a:xfrm>
                      <a:off x="0" y="0"/>
                      <a:ext cx="6106160" cy="8686800"/>
                    </a:xfrm>
                    <a:prstGeom prst="rect">
                      <a:avLst/>
                    </a:prstGeom>
                    <a:noFill/>
                    <a:ln>
                      <a:noFill/>
                    </a:ln>
                  </pic:spPr>
                </pic:pic>
              </a:graphicData>
            </a:graphic>
          </wp:inline>
        </w:drawing>
      </w:r>
      <w:r>
        <w:rPr>
          <w:color w:val="auto"/>
          <w:highlight w:val="none"/>
        </w:rPr>
        <w:drawing>
          <wp:inline distT="0" distB="0" distL="114300" distR="114300">
            <wp:extent cx="6296660" cy="8929370"/>
            <wp:effectExtent l="0" t="0" r="8890" b="5080"/>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pic:cNvPicPr>
                  </pic:nvPicPr>
                  <pic:blipFill>
                    <a:blip r:embed="rId60"/>
                    <a:stretch>
                      <a:fillRect/>
                    </a:stretch>
                  </pic:blipFill>
                  <pic:spPr>
                    <a:xfrm>
                      <a:off x="0" y="0"/>
                      <a:ext cx="6296660" cy="8929370"/>
                    </a:xfrm>
                    <a:prstGeom prst="rect">
                      <a:avLst/>
                    </a:prstGeom>
                    <a:noFill/>
                    <a:ln>
                      <a:noFill/>
                    </a:ln>
                  </pic:spPr>
                </pic:pic>
              </a:graphicData>
            </a:graphic>
          </wp:inline>
        </w:drawing>
      </w:r>
    </w:p>
    <w:p>
      <w:pPr>
        <w:pStyle w:val="6"/>
        <w:ind w:left="0" w:leftChars="0" w:firstLine="0" w:firstLineChars="0"/>
        <w:rPr>
          <w:rFonts w:hint="default"/>
          <w:b/>
          <w:bCs/>
          <w:color w:val="auto"/>
          <w:highlight w:val="none"/>
          <w:lang w:val="en-US" w:eastAsia="zh-CN"/>
        </w:rPr>
      </w:pPr>
      <w:r>
        <w:rPr>
          <w:rFonts w:hint="eastAsia"/>
          <w:b/>
          <w:bCs/>
          <w:color w:val="auto"/>
          <w:highlight w:val="none"/>
          <w:lang w:val="en-US" w:eastAsia="zh-CN"/>
        </w:rPr>
        <w:t>附件6、园区文物文件</w:t>
      </w:r>
    </w:p>
    <w:p>
      <w:pPr>
        <w:pStyle w:val="12"/>
        <w:ind w:left="0" w:leftChars="0" w:firstLine="0" w:firstLineChars="0"/>
        <w:jc w:val="center"/>
        <w:outlineLvl w:val="9"/>
        <w:rPr>
          <w:color w:val="auto"/>
          <w:highlight w:val="none"/>
        </w:rPr>
      </w:pPr>
      <w:r>
        <w:rPr>
          <w:color w:val="auto"/>
          <w:highlight w:val="none"/>
        </w:rPr>
        <w:drawing>
          <wp:inline distT="0" distB="0" distL="114300" distR="114300">
            <wp:extent cx="5807075" cy="8140065"/>
            <wp:effectExtent l="0" t="0" r="3175" b="13335"/>
            <wp:docPr id="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3"/>
                    <pic:cNvPicPr>
                      <a:picLocks noChangeAspect="1"/>
                    </pic:cNvPicPr>
                  </pic:nvPicPr>
                  <pic:blipFill>
                    <a:blip r:embed="rId61"/>
                    <a:stretch>
                      <a:fillRect/>
                    </a:stretch>
                  </pic:blipFill>
                  <pic:spPr>
                    <a:xfrm>
                      <a:off x="0" y="0"/>
                      <a:ext cx="5807075" cy="8140065"/>
                    </a:xfrm>
                    <a:prstGeom prst="rect">
                      <a:avLst/>
                    </a:prstGeom>
                    <a:noFill/>
                    <a:ln>
                      <a:noFill/>
                    </a:ln>
                  </pic:spPr>
                </pic:pic>
              </a:graphicData>
            </a:graphic>
          </wp:inline>
        </w:drawing>
      </w:r>
      <w:r>
        <w:rPr>
          <w:color w:val="auto"/>
          <w:highlight w:val="none"/>
        </w:rPr>
        <w:drawing>
          <wp:inline distT="0" distB="0" distL="114300" distR="114300">
            <wp:extent cx="5662930" cy="8032115"/>
            <wp:effectExtent l="0" t="0" r="13970" b="6985"/>
            <wp:docPr id="4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4"/>
                    <pic:cNvPicPr>
                      <a:picLocks noChangeAspect="1"/>
                    </pic:cNvPicPr>
                  </pic:nvPicPr>
                  <pic:blipFill>
                    <a:blip r:embed="rId62"/>
                    <a:stretch>
                      <a:fillRect/>
                    </a:stretch>
                  </pic:blipFill>
                  <pic:spPr>
                    <a:xfrm>
                      <a:off x="0" y="0"/>
                      <a:ext cx="5662930" cy="8032115"/>
                    </a:xfrm>
                    <a:prstGeom prst="rect">
                      <a:avLst/>
                    </a:prstGeom>
                    <a:noFill/>
                    <a:ln>
                      <a:noFill/>
                    </a:ln>
                  </pic:spPr>
                </pic:pic>
              </a:graphicData>
            </a:graphic>
          </wp:inline>
        </w:drawing>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rFonts w:hint="default"/>
          <w:color w:val="auto"/>
          <w:highlight w:val="none"/>
          <w:lang w:val="en-US" w:eastAsia="zh-CN"/>
        </w:rPr>
      </w:pPr>
    </w:p>
    <w:p>
      <w:pPr>
        <w:pStyle w:val="5"/>
        <w:spacing w:line="360" w:lineRule="auto"/>
        <w:ind w:left="0" w:leftChars="0" w:firstLine="0" w:firstLineChars="0"/>
        <w:jc w:val="both"/>
        <w:rPr>
          <w:rFonts w:hint="eastAsia"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附件</w:t>
      </w:r>
      <w:r>
        <w:rPr>
          <w:rFonts w:hint="eastAsia" w:ascii="Times New Roman" w:hAnsi="Times New Roman" w:cs="Times New Roman"/>
          <w:b/>
          <w:bCs/>
          <w:color w:val="auto"/>
          <w:sz w:val="24"/>
          <w:szCs w:val="24"/>
          <w:highlight w:val="none"/>
          <w:lang w:val="en-US" w:eastAsia="zh-CN"/>
        </w:rPr>
        <w:t>7</w:t>
      </w:r>
      <w:r>
        <w:rPr>
          <w:rFonts w:hint="default" w:ascii="Times New Roman" w:hAnsi="Times New Roman" w:cs="Times New Roman"/>
          <w:b/>
          <w:bCs/>
          <w:color w:val="auto"/>
          <w:sz w:val="24"/>
          <w:szCs w:val="24"/>
          <w:highlight w:val="none"/>
          <w:lang w:val="en-US" w:eastAsia="zh-CN"/>
        </w:rPr>
        <w:t>、</w:t>
      </w:r>
      <w:r>
        <w:rPr>
          <w:rFonts w:hint="eastAsia" w:ascii="Times New Roman" w:hAnsi="Times New Roman" w:cs="Times New Roman"/>
          <w:b/>
          <w:bCs/>
          <w:color w:val="auto"/>
          <w:sz w:val="24"/>
          <w:szCs w:val="24"/>
          <w:highlight w:val="none"/>
          <w:lang w:val="en-US" w:eastAsia="zh-CN"/>
        </w:rPr>
        <w:t>“三线一单”查询文件</w:t>
      </w:r>
    </w:p>
    <w:p>
      <w:pPr>
        <w:pStyle w:val="5"/>
        <w:spacing w:line="360" w:lineRule="auto"/>
        <w:ind w:left="0" w:leftChars="0" w:firstLine="0" w:firstLineChars="0"/>
        <w:jc w:val="center"/>
        <w:rPr>
          <w:rFonts w:hint="default" w:ascii="Times New Roman" w:hAnsi="Times New Roman" w:cs="Times New Roman"/>
          <w:b/>
          <w:bCs/>
          <w:color w:val="auto"/>
          <w:sz w:val="24"/>
          <w:szCs w:val="24"/>
          <w:highlight w:val="none"/>
          <w:lang w:val="en-US" w:eastAsia="zh-CN"/>
        </w:rPr>
      </w:pPr>
      <w:r>
        <w:rPr>
          <w:color w:val="auto"/>
          <w:highlight w:val="none"/>
        </w:rPr>
        <w:drawing>
          <wp:inline distT="0" distB="0" distL="114300" distR="114300">
            <wp:extent cx="5543550" cy="7848600"/>
            <wp:effectExtent l="0" t="0" r="0" b="0"/>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63"/>
                    <a:stretch>
                      <a:fillRect/>
                    </a:stretch>
                  </pic:blipFill>
                  <pic:spPr>
                    <a:xfrm>
                      <a:off x="0" y="0"/>
                      <a:ext cx="5543550" cy="7848600"/>
                    </a:xfrm>
                    <a:prstGeom prst="rect">
                      <a:avLst/>
                    </a:prstGeom>
                    <a:noFill/>
                    <a:ln>
                      <a:noFill/>
                    </a:ln>
                  </pic:spPr>
                </pic:pic>
              </a:graphicData>
            </a:graphic>
          </wp:inline>
        </w:drawing>
      </w:r>
    </w:p>
    <w:p>
      <w:pPr>
        <w:jc w:val="center"/>
        <w:rPr>
          <w:rFonts w:hint="default"/>
          <w:color w:val="auto"/>
          <w:highlight w:val="none"/>
          <w:lang w:val="en-US" w:eastAsia="zh-CN"/>
        </w:rPr>
      </w:pPr>
    </w:p>
    <w:p>
      <w:pPr>
        <w:jc w:val="center"/>
        <w:rPr>
          <w:rFonts w:hint="default"/>
          <w:color w:val="auto"/>
          <w:highlight w:val="none"/>
          <w:lang w:val="en-US" w:eastAsia="zh-CN"/>
        </w:rPr>
      </w:pPr>
    </w:p>
    <w:p>
      <w:pPr>
        <w:jc w:val="center"/>
        <w:rPr>
          <w:rFonts w:hint="default"/>
          <w:color w:val="auto"/>
          <w:highlight w:val="none"/>
          <w:lang w:val="en-US" w:eastAsia="zh-CN"/>
        </w:rPr>
      </w:pPr>
    </w:p>
    <w:p>
      <w:pPr>
        <w:jc w:val="center"/>
        <w:rPr>
          <w:rFonts w:hint="default"/>
          <w:color w:val="auto"/>
          <w:highlight w:val="none"/>
          <w:lang w:val="en-US" w:eastAsia="zh-CN"/>
        </w:rPr>
      </w:pPr>
    </w:p>
    <w:p>
      <w:pPr>
        <w:jc w:val="center"/>
        <w:rPr>
          <w:rFonts w:hint="default"/>
          <w:color w:val="auto"/>
          <w:highlight w:val="none"/>
          <w:lang w:val="en-US" w:eastAsia="zh-CN"/>
        </w:rPr>
      </w:pPr>
    </w:p>
    <w:p>
      <w:pPr>
        <w:jc w:val="center"/>
        <w:rPr>
          <w:rFonts w:hint="default"/>
          <w:color w:val="auto"/>
          <w:highlight w:val="none"/>
          <w:lang w:val="en-US" w:eastAsia="zh-CN"/>
        </w:rPr>
      </w:pPr>
    </w:p>
    <w:p>
      <w:pPr>
        <w:pStyle w:val="5"/>
        <w:spacing w:line="360" w:lineRule="auto"/>
        <w:ind w:left="0" w:leftChars="0" w:firstLine="0" w:firstLineChars="0"/>
        <w:jc w:val="both"/>
        <w:rPr>
          <w:rFonts w:hint="eastAsia"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附件</w:t>
      </w:r>
      <w:r>
        <w:rPr>
          <w:rFonts w:hint="eastAsia" w:ascii="Times New Roman" w:hAnsi="Times New Roman" w:cs="Times New Roman"/>
          <w:b/>
          <w:bCs/>
          <w:color w:val="auto"/>
          <w:sz w:val="24"/>
          <w:szCs w:val="24"/>
          <w:highlight w:val="none"/>
          <w:lang w:val="en-US" w:eastAsia="zh-CN"/>
        </w:rPr>
        <w:t>8</w:t>
      </w:r>
      <w:r>
        <w:rPr>
          <w:rFonts w:hint="default" w:ascii="Times New Roman" w:hAnsi="Times New Roman" w:cs="Times New Roman"/>
          <w:b/>
          <w:bCs/>
          <w:color w:val="auto"/>
          <w:sz w:val="24"/>
          <w:szCs w:val="24"/>
          <w:highlight w:val="none"/>
          <w:lang w:val="en-US" w:eastAsia="zh-CN"/>
        </w:rPr>
        <w:t>、</w:t>
      </w:r>
      <w:r>
        <w:rPr>
          <w:rFonts w:hint="eastAsia" w:ascii="Times New Roman" w:hAnsi="Times New Roman" w:cs="Times New Roman"/>
          <w:b/>
          <w:bCs/>
          <w:color w:val="auto"/>
          <w:sz w:val="24"/>
          <w:szCs w:val="24"/>
          <w:highlight w:val="none"/>
          <w:lang w:val="en-US" w:eastAsia="zh-CN"/>
        </w:rPr>
        <w:t>“三线一单”查询图</w:t>
      </w:r>
    </w:p>
    <w:p>
      <w:pPr>
        <w:pStyle w:val="5"/>
        <w:spacing w:line="360" w:lineRule="auto"/>
        <w:ind w:left="0" w:leftChars="0" w:firstLine="0" w:firstLineChars="0"/>
        <w:jc w:val="center"/>
        <w:rPr>
          <w:rFonts w:hint="default"/>
          <w:color w:val="auto"/>
          <w:highlight w:val="none"/>
          <w:lang w:val="en-US" w:eastAsia="zh-CN"/>
        </w:rPr>
        <w:sectPr>
          <w:pgSz w:w="11905" w:h="16838"/>
          <w:pgMar w:top="1440" w:right="879" w:bottom="918" w:left="901" w:header="0" w:footer="737" w:gutter="0"/>
          <w:pgBorders>
            <w:top w:val="none" w:sz="0" w:space="0"/>
            <w:left w:val="none" w:sz="0" w:space="0"/>
            <w:bottom w:val="none" w:sz="0" w:space="0"/>
            <w:right w:val="none" w:sz="0" w:space="0"/>
          </w:pgBorders>
          <w:pgNumType w:fmt="decimal"/>
          <w:cols w:space="0" w:num="1"/>
          <w:rtlGutter w:val="0"/>
          <w:docGrid w:linePitch="312" w:charSpace="0"/>
        </w:sectPr>
      </w:pPr>
      <w:r>
        <w:rPr>
          <w:rFonts w:hint="default" w:ascii="Times New Roman" w:hAnsi="Times New Roman" w:cs="Times New Roman"/>
          <w:b/>
          <w:bCs/>
          <w:color w:val="auto"/>
          <w:sz w:val="24"/>
          <w:szCs w:val="24"/>
          <w:highlight w:val="none"/>
          <w:lang w:val="en-US" w:eastAsia="zh-CN"/>
        </w:rPr>
        <w:drawing>
          <wp:inline distT="0" distB="0" distL="114300" distR="114300">
            <wp:extent cx="6424930" cy="4203700"/>
            <wp:effectExtent l="0" t="0" r="13970" b="6350"/>
            <wp:docPr id="43" name="图片 43" descr="三线一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三线一单"/>
                    <pic:cNvPicPr>
                      <a:picLocks noChangeAspect="1"/>
                    </pic:cNvPicPr>
                  </pic:nvPicPr>
                  <pic:blipFill>
                    <a:blip r:embed="rId64"/>
                    <a:stretch>
                      <a:fillRect/>
                    </a:stretch>
                  </pic:blipFill>
                  <pic:spPr>
                    <a:xfrm>
                      <a:off x="0" y="0"/>
                      <a:ext cx="6424930" cy="4203700"/>
                    </a:xfrm>
                    <a:prstGeom prst="rect">
                      <a:avLst/>
                    </a:prstGeom>
                  </pic:spPr>
                </pic:pic>
              </a:graphicData>
            </a:graphic>
          </wp:inline>
        </w:drawing>
      </w:r>
    </w:p>
    <w:p>
      <w:pPr>
        <w:pStyle w:val="5"/>
        <w:spacing w:line="360" w:lineRule="auto"/>
        <w:ind w:left="0" w:leftChars="0" w:firstLine="0" w:firstLineChars="0"/>
        <w:jc w:val="both"/>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附件</w:t>
      </w:r>
      <w:r>
        <w:rPr>
          <w:rFonts w:hint="eastAsia" w:ascii="Times New Roman" w:hAnsi="Times New Roman" w:cs="Times New Roman"/>
          <w:b/>
          <w:bCs/>
          <w:color w:val="auto"/>
          <w:sz w:val="24"/>
          <w:szCs w:val="24"/>
          <w:highlight w:val="none"/>
          <w:lang w:val="en-US" w:eastAsia="zh-CN"/>
        </w:rPr>
        <w:t>9</w:t>
      </w:r>
      <w:r>
        <w:rPr>
          <w:rFonts w:hint="default" w:ascii="Times New Roman" w:hAnsi="Times New Roman" w:cs="Times New Roman"/>
          <w:b/>
          <w:bCs/>
          <w:color w:val="auto"/>
          <w:sz w:val="24"/>
          <w:szCs w:val="24"/>
          <w:highlight w:val="none"/>
          <w:lang w:val="en-US" w:eastAsia="zh-CN"/>
        </w:rPr>
        <w:t>、</w:t>
      </w:r>
      <w:r>
        <w:rPr>
          <w:rFonts w:hint="eastAsia" w:ascii="Times New Roman" w:hAnsi="Times New Roman" w:cs="Times New Roman"/>
          <w:b/>
          <w:bCs/>
          <w:color w:val="auto"/>
          <w:sz w:val="24"/>
          <w:szCs w:val="24"/>
          <w:highlight w:val="none"/>
          <w:lang w:val="en-US" w:eastAsia="zh-CN"/>
        </w:rPr>
        <w:t>现状</w:t>
      </w:r>
      <w:r>
        <w:rPr>
          <w:rFonts w:hint="default" w:ascii="Times New Roman" w:hAnsi="Times New Roman" w:cs="Times New Roman"/>
          <w:b/>
          <w:bCs/>
          <w:color w:val="auto"/>
          <w:sz w:val="24"/>
          <w:szCs w:val="24"/>
          <w:highlight w:val="none"/>
          <w:lang w:val="en-US" w:eastAsia="zh-CN"/>
        </w:rPr>
        <w:t>检测报告</w:t>
      </w:r>
    </w:p>
    <w:p>
      <w:pPr>
        <w:pStyle w:val="5"/>
        <w:spacing w:line="360" w:lineRule="auto"/>
        <w:ind w:left="0" w:leftChars="0" w:firstLine="0" w:firstLineChars="0"/>
        <w:jc w:val="center"/>
        <w:rPr>
          <w:rFonts w:hint="default" w:ascii="Times New Roman" w:hAnsi="Times New Roman" w:cs="Times New Roman"/>
          <w:b/>
          <w:bCs/>
          <w:color w:val="auto"/>
          <w:sz w:val="24"/>
          <w:szCs w:val="24"/>
          <w:highlight w:val="none"/>
          <w:lang w:val="en-US" w:eastAsia="zh-CN"/>
        </w:rPr>
      </w:pPr>
      <w:r>
        <w:drawing>
          <wp:inline distT="0" distB="0" distL="114300" distR="114300">
            <wp:extent cx="5695950" cy="8048625"/>
            <wp:effectExtent l="0" t="0" r="0" b="9525"/>
            <wp:docPr id="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
                    <pic:cNvPicPr>
                      <a:picLocks noChangeAspect="1"/>
                    </pic:cNvPicPr>
                  </pic:nvPicPr>
                  <pic:blipFill>
                    <a:blip r:embed="rId65"/>
                    <a:stretch>
                      <a:fillRect/>
                    </a:stretch>
                  </pic:blipFill>
                  <pic:spPr>
                    <a:xfrm>
                      <a:off x="0" y="0"/>
                      <a:ext cx="5695950" cy="8048625"/>
                    </a:xfrm>
                    <a:prstGeom prst="rect">
                      <a:avLst/>
                    </a:prstGeom>
                    <a:noFill/>
                    <a:ln>
                      <a:noFill/>
                    </a:ln>
                  </pic:spPr>
                </pic:pic>
              </a:graphicData>
            </a:graphic>
          </wp:inline>
        </w:drawing>
      </w:r>
      <w:r>
        <w:drawing>
          <wp:inline distT="0" distB="0" distL="114300" distR="114300">
            <wp:extent cx="5676900" cy="8048625"/>
            <wp:effectExtent l="0" t="0" r="0" b="9525"/>
            <wp:docPr id="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
                    <pic:cNvPicPr>
                      <a:picLocks noChangeAspect="1"/>
                    </pic:cNvPicPr>
                  </pic:nvPicPr>
                  <pic:blipFill>
                    <a:blip r:embed="rId66"/>
                    <a:stretch>
                      <a:fillRect/>
                    </a:stretch>
                  </pic:blipFill>
                  <pic:spPr>
                    <a:xfrm>
                      <a:off x="0" y="0"/>
                      <a:ext cx="5676900" cy="8048625"/>
                    </a:xfrm>
                    <a:prstGeom prst="rect">
                      <a:avLst/>
                    </a:prstGeom>
                    <a:noFill/>
                    <a:ln>
                      <a:noFill/>
                    </a:ln>
                  </pic:spPr>
                </pic:pic>
              </a:graphicData>
            </a:graphic>
          </wp:inline>
        </w:drawing>
      </w:r>
      <w:r>
        <w:drawing>
          <wp:inline distT="0" distB="0" distL="114300" distR="114300">
            <wp:extent cx="5686425" cy="7943850"/>
            <wp:effectExtent l="0" t="0" r="9525" b="0"/>
            <wp:docPr id="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
                    <pic:cNvPicPr>
                      <a:picLocks noChangeAspect="1"/>
                    </pic:cNvPicPr>
                  </pic:nvPicPr>
                  <pic:blipFill>
                    <a:blip r:embed="rId67"/>
                    <a:stretch>
                      <a:fillRect/>
                    </a:stretch>
                  </pic:blipFill>
                  <pic:spPr>
                    <a:xfrm>
                      <a:off x="0" y="0"/>
                      <a:ext cx="5686425" cy="7943850"/>
                    </a:xfrm>
                    <a:prstGeom prst="rect">
                      <a:avLst/>
                    </a:prstGeom>
                    <a:noFill/>
                    <a:ln>
                      <a:noFill/>
                    </a:ln>
                  </pic:spPr>
                </pic:pic>
              </a:graphicData>
            </a:graphic>
          </wp:inline>
        </w:drawing>
      </w:r>
      <w:r>
        <w:drawing>
          <wp:inline distT="0" distB="0" distL="114300" distR="114300">
            <wp:extent cx="5686425" cy="8029575"/>
            <wp:effectExtent l="0" t="0" r="9525" b="9525"/>
            <wp:docPr id="7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
                    <pic:cNvPicPr>
                      <a:picLocks noChangeAspect="1"/>
                    </pic:cNvPicPr>
                  </pic:nvPicPr>
                  <pic:blipFill>
                    <a:blip r:embed="rId68"/>
                    <a:stretch>
                      <a:fillRect/>
                    </a:stretch>
                  </pic:blipFill>
                  <pic:spPr>
                    <a:xfrm>
                      <a:off x="0" y="0"/>
                      <a:ext cx="5686425" cy="8029575"/>
                    </a:xfrm>
                    <a:prstGeom prst="rect">
                      <a:avLst/>
                    </a:prstGeom>
                    <a:noFill/>
                    <a:ln>
                      <a:noFill/>
                    </a:ln>
                  </pic:spPr>
                </pic:pic>
              </a:graphicData>
            </a:graphic>
          </wp:inline>
        </w:drawing>
      </w:r>
      <w:r>
        <w:drawing>
          <wp:inline distT="0" distB="0" distL="114300" distR="114300">
            <wp:extent cx="5695950" cy="8039100"/>
            <wp:effectExtent l="0" t="0" r="0" b="0"/>
            <wp:docPr id="7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8"/>
                    <pic:cNvPicPr>
                      <a:picLocks noChangeAspect="1"/>
                    </pic:cNvPicPr>
                  </pic:nvPicPr>
                  <pic:blipFill>
                    <a:blip r:embed="rId69"/>
                    <a:stretch>
                      <a:fillRect/>
                    </a:stretch>
                  </pic:blipFill>
                  <pic:spPr>
                    <a:xfrm>
                      <a:off x="0" y="0"/>
                      <a:ext cx="5695950" cy="8039100"/>
                    </a:xfrm>
                    <a:prstGeom prst="rect">
                      <a:avLst/>
                    </a:prstGeom>
                    <a:noFill/>
                    <a:ln>
                      <a:noFill/>
                    </a:ln>
                  </pic:spPr>
                </pic:pic>
              </a:graphicData>
            </a:graphic>
          </wp:inline>
        </w:drawing>
      </w:r>
    </w:p>
    <w:p>
      <w:pPr>
        <w:pStyle w:val="5"/>
        <w:ind w:left="0" w:leftChars="0" w:firstLine="0" w:firstLineChars="0"/>
        <w:jc w:val="center"/>
        <w:rPr>
          <w:color w:val="auto"/>
          <w:highlight w:val="none"/>
        </w:rPr>
        <w:sectPr>
          <w:pgSz w:w="11905" w:h="16838"/>
          <w:pgMar w:top="1440" w:right="879" w:bottom="918" w:left="901" w:header="0" w:footer="737" w:gutter="0"/>
          <w:pgBorders>
            <w:top w:val="none" w:sz="0" w:space="0"/>
            <w:left w:val="none" w:sz="0" w:space="0"/>
            <w:bottom w:val="none" w:sz="0" w:space="0"/>
            <w:right w:val="none" w:sz="0" w:space="0"/>
          </w:pgBorders>
          <w:pgNumType w:fmt="decimal"/>
          <w:cols w:space="0" w:num="1"/>
          <w:rtlGutter w:val="0"/>
          <w:docGrid w:linePitch="312" w:charSpace="0"/>
        </w:sectPr>
      </w:pPr>
    </w:p>
    <w:p>
      <w:pPr>
        <w:pStyle w:val="5"/>
        <w:ind w:left="0" w:leftChars="0" w:firstLine="0" w:firstLineChars="0"/>
        <w:jc w:val="both"/>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附件10 项目与园区位置关系图</w:t>
      </w:r>
    </w:p>
    <w:p>
      <w:pPr>
        <w:jc w:val="center"/>
        <w:rPr>
          <w:rFonts w:hint="default" w:ascii="Times New Roman" w:hAnsi="Times New Roman" w:cs="Times New Roman"/>
          <w:b/>
          <w:bCs/>
          <w:color w:val="auto"/>
          <w:sz w:val="24"/>
          <w:szCs w:val="24"/>
          <w:highlight w:val="none"/>
          <w:lang w:val="en-US" w:eastAsia="zh-CN"/>
        </w:rPr>
      </w:pPr>
      <w:r>
        <w:rPr>
          <w:color w:val="auto"/>
          <w:highlight w:val="none"/>
        </w:rPr>
        <w:drawing>
          <wp:inline distT="0" distB="0" distL="114300" distR="114300">
            <wp:extent cx="5953125" cy="7924800"/>
            <wp:effectExtent l="0" t="0" r="9525" b="0"/>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pic:cNvPicPr>
                  </pic:nvPicPr>
                  <pic:blipFill>
                    <a:blip r:embed="rId70"/>
                    <a:stretch>
                      <a:fillRect/>
                    </a:stretch>
                  </pic:blipFill>
                  <pic:spPr>
                    <a:xfrm>
                      <a:off x="0" y="0"/>
                      <a:ext cx="5953125" cy="7924800"/>
                    </a:xfrm>
                    <a:prstGeom prst="rect">
                      <a:avLst/>
                    </a:prstGeom>
                    <a:noFill/>
                    <a:ln>
                      <a:noFill/>
                    </a:ln>
                  </pic:spPr>
                </pic:pic>
              </a:graphicData>
            </a:graphic>
          </wp:inline>
        </w:drawing>
      </w:r>
    </w:p>
    <w:p>
      <w:pPr>
        <w:rPr>
          <w:rFonts w:hint="default" w:ascii="Times New Roman" w:hAnsi="Times New Roman" w:cs="Times New Roman"/>
          <w:b/>
          <w:bCs/>
          <w:color w:val="auto"/>
          <w:sz w:val="24"/>
          <w:szCs w:val="24"/>
          <w:highlight w:val="none"/>
          <w:lang w:val="en-US" w:eastAsia="zh-CN"/>
        </w:rPr>
      </w:pPr>
    </w:p>
    <w:p>
      <w:pPr>
        <w:pStyle w:val="6"/>
        <w:ind w:left="0" w:leftChars="0" w:firstLine="0" w:firstLineChars="0"/>
        <w:jc w:val="both"/>
        <w:rPr>
          <w:rFonts w:hint="default"/>
          <w:color w:val="auto"/>
          <w:highlight w:val="none"/>
          <w:lang w:val="en-US" w:eastAsia="zh-CN"/>
        </w:rPr>
        <w:sectPr>
          <w:pgSz w:w="11905" w:h="16838"/>
          <w:pgMar w:top="1440" w:right="879" w:bottom="918" w:left="901" w:header="0" w:footer="737" w:gutter="0"/>
          <w:pgBorders>
            <w:top w:val="none" w:sz="0" w:space="0"/>
            <w:left w:val="none" w:sz="0" w:space="0"/>
            <w:bottom w:val="none" w:sz="0" w:space="0"/>
            <w:right w:val="none" w:sz="0" w:space="0"/>
          </w:pgBorders>
          <w:pgNumType w:fmt="decimal"/>
          <w:cols w:space="0" w:num="1"/>
          <w:rtlGutter w:val="0"/>
          <w:docGrid w:linePitch="312" w:charSpace="0"/>
        </w:sectPr>
      </w:pPr>
    </w:p>
    <w:p>
      <w:pPr>
        <w:pStyle w:val="6"/>
        <w:ind w:left="0" w:leftChars="0" w:firstLine="0" w:firstLineChars="0"/>
        <w:jc w:val="both"/>
        <w:rPr>
          <w:rFonts w:hint="eastAsia"/>
          <w:b/>
          <w:bCs/>
          <w:color w:val="auto"/>
          <w:highlight w:val="none"/>
          <w:lang w:val="en-US" w:eastAsia="zh-CN"/>
        </w:rPr>
      </w:pPr>
      <w:r>
        <w:rPr>
          <w:rFonts w:hint="eastAsia"/>
          <w:b/>
          <w:bCs/>
          <w:color w:val="auto"/>
          <w:highlight w:val="none"/>
          <w:lang w:val="en-US" w:eastAsia="zh-CN"/>
        </w:rPr>
        <w:t>附件13 企业承诺</w:t>
      </w:r>
    </w:p>
    <w:p>
      <w:pPr>
        <w:jc w:val="center"/>
        <w:rPr>
          <w:rFonts w:hint="default"/>
          <w:lang w:val="en-US" w:eastAsia="zh-CN"/>
        </w:rPr>
      </w:pPr>
      <w:r>
        <w:drawing>
          <wp:inline distT="0" distB="0" distL="114300" distR="114300">
            <wp:extent cx="5798185" cy="8202930"/>
            <wp:effectExtent l="0" t="0" r="12065" b="7620"/>
            <wp:docPr id="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9"/>
                    <pic:cNvPicPr>
                      <a:picLocks noChangeAspect="1"/>
                    </pic:cNvPicPr>
                  </pic:nvPicPr>
                  <pic:blipFill>
                    <a:blip r:embed="rId71"/>
                    <a:stretch>
                      <a:fillRect/>
                    </a:stretch>
                  </pic:blipFill>
                  <pic:spPr>
                    <a:xfrm>
                      <a:off x="0" y="0"/>
                      <a:ext cx="5798185" cy="8202930"/>
                    </a:xfrm>
                    <a:prstGeom prst="rect">
                      <a:avLst/>
                    </a:prstGeom>
                    <a:noFill/>
                    <a:ln>
                      <a:noFill/>
                    </a:ln>
                  </pic:spPr>
                </pic:pic>
              </a:graphicData>
            </a:graphic>
          </wp:inline>
        </w:drawing>
      </w:r>
    </w:p>
    <w:sectPr>
      <w:pgSz w:w="11905" w:h="16838"/>
      <w:pgMar w:top="1440" w:right="879" w:bottom="918" w:left="901" w:header="0" w:footer="737"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楷体">
    <w:altName w:val="方正楷体_GBK"/>
    <w:panose1 w:val="02010609060101010101"/>
    <w:charset w:val="86"/>
    <w:family w:val="auto"/>
    <w:pitch w:val="default"/>
    <w:sig w:usb0="00000000" w:usb1="00000000" w:usb2="00000016" w:usb3="00000000" w:csb0="00040001" w:csb1="00000000"/>
  </w:font>
  <w:font w:name="新宋体">
    <w:altName w:val="方正书宋_GBK"/>
    <w:panose1 w:val="02010609030101010101"/>
    <w:charset w:val="86"/>
    <w:family w:val="modern"/>
    <w:pitch w:val="default"/>
    <w:sig w:usb0="00000000" w:usb1="0000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jc w:val="center"/>
    </w:pPr>
    <w:r>
      <w:rPr>
        <w:lang w:val="en-US"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EF5ZPDAQAAjwMAAA4AAABkcnMv&#10;ZTJvRG9jLnhtbK1TzY7TMBC+I/EOlu/U2UqL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fU2J4xYnfv754/zrz/n3d4I+FKgPUGPefcDMNLzzA67N7Ad0Zt6DijZ/kRHBOMp7usgr&#10;h0REfrRarlYVhgTG5gvis4fnIUJ6L70l2WhoxPkVWfnxI6QxdU7J1Zy/08aUGRr3jwMxs4fl3sce&#10;s5WG3TAR2vn2hHx6HH1DHW46JeaDQ2XzlsxGnI3dZOQaEG4PCQuXfjLqCDUVwzkVRtNO5UV4fC9Z&#10;D//R5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AQXlk8MBAACPAwAADgAAAAAAAAABACAA&#10;AAA0AQAAZHJzL2Uyb0RvYy54bWxQSwUGAAAAAAYABgBZAQAAaQUAAAAA&#10;">
              <v:fill on="f" focussize="0,0"/>
              <v:stroke on="f"/>
              <v:imagedata o:title=""/>
              <o:lock v:ext="edit" aspectratio="f"/>
              <v:textbox inset="0mm,0mm,0mm,0mm" style="mso-fit-shape-to-text:t;">
                <w:txbxContent>
                  <w:p>
                    <w:pPr>
                      <w:pStyle w:val="14"/>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0"/>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fldChar w:fldCharType="begin"/>
                          </w:r>
                          <w:r>
                            <w:instrText xml:space="preserve"> PAGE  \* MERGEFORMAT </w:instrText>
                          </w:r>
                          <w:r>
                            <w:fldChar w:fldCharType="separate"/>
                          </w:r>
                          <w:r>
                            <w:t>21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iIqEM8MBAACPAwAADgAAAAAAAAABACAA&#10;AAA0AQAAZHJzL2Uyb0RvYy54bWxQSwUGAAAAAAYABgBZAQAAaQU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0"/>
        <w:lang w:val="en-US"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fldChar w:fldCharType="begin"/>
                          </w:r>
                          <w:r>
                            <w:instrText xml:space="preserve"> PAGE  \* MERGEFORMAT </w:instrText>
                          </w:r>
                          <w:r>
                            <w:fldChar w:fldCharType="separate"/>
                          </w:r>
                          <w:r>
                            <w:t>18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DGcrfsMBAACPAwAADgAAAAAAAAABACAA&#10;AAA0AQAAZHJzL2Uyb0RvYy54bWxQSwUGAAAAAAYABgBZAQAAaQU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0"/>
        <w:lang w:val="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fldChar w:fldCharType="begin"/>
                          </w:r>
                          <w:r>
                            <w:instrText xml:space="preserve"> PAGE  \* MERGEFORMAT </w:instrText>
                          </w:r>
                          <w:r>
                            <w:fldChar w:fldCharType="separate"/>
                          </w:r>
                          <w:r>
                            <w:t>26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IdqOXMMBAACPAwAADgAAAAAAAAABACAA&#10;AAA0AQAAZHJzL2Uyb0RvYy54bWxQSwUGAAAAAAYABgBZAQAAaQU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0"/>
        <w:lang w:val="en-US"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fldChar w:fldCharType="begin"/>
                          </w:r>
                          <w:r>
                            <w:instrText xml:space="preserve"> PAGE  \* MERGEFORMAT </w:instrText>
                          </w:r>
                          <w:r>
                            <w:fldChar w:fldCharType="separate"/>
                          </w:r>
                          <w:r>
                            <w:t>34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5fkbscMBAACPAwAADgAAAAAAAAABACAA&#10;AAA0AQAAZHJzL2Uyb0RvYy54bWxQSwUGAAAAAAYABgBZAQAAaQU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
      </w:rPr>
    </w:pPr>
    <w:r>
      <w:rPr>
        <w:sz w:val="2"/>
        <w:lang w:val="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fldChar w:fldCharType="begin"/>
                          </w:r>
                          <w:r>
                            <w:instrText xml:space="preserve"> PAGE  \* MERGEFORMAT </w:instrText>
                          </w:r>
                          <w:r>
                            <w:fldChar w:fldCharType="separate"/>
                          </w:r>
                          <w:r>
                            <w:t>52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D69PsiwgEAAI8DAAAOAAAAAAAAAAEAIAAA&#10;ADQBAABkcnMvZTJvRG9jLnhtbFBLBQYAAAAABgAGAFkBAABoBQ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
      </w:rPr>
    </w:pPr>
    <w:r>
      <w:rPr>
        <w:sz w:val="2"/>
        <w:lang w:val="en-US"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fldChar w:fldCharType="begin"/>
                          </w:r>
                          <w:r>
                            <w:instrText xml:space="preserve"> PAGE  \* MERGEFORMAT </w:instrText>
                          </w:r>
                          <w:r>
                            <w:fldChar w:fldCharType="separate"/>
                          </w:r>
                          <w:r>
                            <w:t>36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DIRL6TwgEAAI8DAAAOAAAAAAAAAAEAIAAA&#10;ADQBAABkcnMvZTJvRG9jLnhtbFBLBQYAAAAABgAGAFkBAABoBQ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48750"/>
    <w:multiLevelType w:val="singleLevel"/>
    <w:tmpl w:val="B3F48750"/>
    <w:lvl w:ilvl="0" w:tentative="0">
      <w:start w:val="1"/>
      <w:numFmt w:val="decimal"/>
      <w:suff w:val="nothing"/>
      <w:lvlText w:val="%1、"/>
      <w:lvlJc w:val="left"/>
      <w:rPr>
        <w:rFonts w:hint="default"/>
        <w:b/>
        <w:bCs/>
      </w:rPr>
    </w:lvl>
  </w:abstractNum>
  <w:abstractNum w:abstractNumId="1">
    <w:nsid w:val="C17AA742"/>
    <w:multiLevelType w:val="singleLevel"/>
    <w:tmpl w:val="C17AA742"/>
    <w:lvl w:ilvl="0" w:tentative="0">
      <w:start w:val="7"/>
      <w:numFmt w:val="decimal"/>
      <w:suff w:val="nothing"/>
      <w:lvlText w:val="%1、"/>
      <w:lvlJc w:val="left"/>
      <w:rPr>
        <w:rFonts w:hint="default"/>
        <w:sz w:val="24"/>
        <w:szCs w:val="24"/>
      </w:rPr>
    </w:lvl>
  </w:abstractNum>
  <w:abstractNum w:abstractNumId="2">
    <w:nsid w:val="1880A2B0"/>
    <w:multiLevelType w:val="singleLevel"/>
    <w:tmpl w:val="1880A2B0"/>
    <w:lvl w:ilvl="0" w:tentative="0">
      <w:start w:val="2"/>
      <w:numFmt w:val="decimal"/>
      <w:suff w:val="nothing"/>
      <w:lvlText w:val="（%1）"/>
      <w:lvlJc w:val="left"/>
    </w:lvl>
  </w:abstractNum>
  <w:abstractNum w:abstractNumId="3">
    <w:nsid w:val="534ED665"/>
    <w:multiLevelType w:val="singleLevel"/>
    <w:tmpl w:val="534ED665"/>
    <w:lvl w:ilvl="0" w:tentative="0">
      <w:start w:val="1"/>
      <w:numFmt w:val="decimal"/>
      <w:suff w:val="nothing"/>
      <w:lvlText w:val="%1"/>
      <w:lvlJc w:val="left"/>
      <w:pPr>
        <w:ind w:left="425" w:hanging="425"/>
      </w:pPr>
      <w:rPr>
        <w:rFonts w:hint="default"/>
      </w:rPr>
    </w:lvl>
  </w:abstractNum>
  <w:abstractNum w:abstractNumId="4">
    <w:nsid w:val="606DBFB8"/>
    <w:multiLevelType w:val="singleLevel"/>
    <w:tmpl w:val="606DBFB8"/>
    <w:lvl w:ilvl="0" w:tentative="0">
      <w:start w:val="2"/>
      <w:numFmt w:val="decimal"/>
      <w:suff w:val="nothing"/>
      <w:lvlText w:val="%1、"/>
      <w:lvlJc w:val="left"/>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rawingGridHorizontalSpacing w:val="22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zZmM0ZWVmYjdmNjRjODUxMzllYjhhNzNkMWJlYjAifQ=="/>
  </w:docVars>
  <w:rsids>
    <w:rsidRoot w:val="72646FB1"/>
    <w:rsid w:val="00016398"/>
    <w:rsid w:val="00041ADE"/>
    <w:rsid w:val="000475C3"/>
    <w:rsid w:val="00053FBF"/>
    <w:rsid w:val="000869BA"/>
    <w:rsid w:val="000948D6"/>
    <w:rsid w:val="000E3AC8"/>
    <w:rsid w:val="000E4FBA"/>
    <w:rsid w:val="000E78A8"/>
    <w:rsid w:val="00105A55"/>
    <w:rsid w:val="001367ED"/>
    <w:rsid w:val="001546F6"/>
    <w:rsid w:val="0018184B"/>
    <w:rsid w:val="0019515A"/>
    <w:rsid w:val="001A52F7"/>
    <w:rsid w:val="001C01EA"/>
    <w:rsid w:val="001D6A0B"/>
    <w:rsid w:val="002A0F76"/>
    <w:rsid w:val="002C261C"/>
    <w:rsid w:val="002C3AE1"/>
    <w:rsid w:val="002C55B5"/>
    <w:rsid w:val="002F7A41"/>
    <w:rsid w:val="003365B8"/>
    <w:rsid w:val="00383130"/>
    <w:rsid w:val="00385810"/>
    <w:rsid w:val="003B6082"/>
    <w:rsid w:val="003D19BF"/>
    <w:rsid w:val="003F12DB"/>
    <w:rsid w:val="003F5092"/>
    <w:rsid w:val="004855D0"/>
    <w:rsid w:val="00490937"/>
    <w:rsid w:val="00497BC7"/>
    <w:rsid w:val="004A24A4"/>
    <w:rsid w:val="004B08BB"/>
    <w:rsid w:val="004D31C5"/>
    <w:rsid w:val="005C16EF"/>
    <w:rsid w:val="005E709D"/>
    <w:rsid w:val="006142D8"/>
    <w:rsid w:val="00632F5D"/>
    <w:rsid w:val="00636C85"/>
    <w:rsid w:val="00667A79"/>
    <w:rsid w:val="00680141"/>
    <w:rsid w:val="006A6EC8"/>
    <w:rsid w:val="006E0DB0"/>
    <w:rsid w:val="006F004F"/>
    <w:rsid w:val="00702895"/>
    <w:rsid w:val="00724A79"/>
    <w:rsid w:val="007729D2"/>
    <w:rsid w:val="00785E3C"/>
    <w:rsid w:val="00786285"/>
    <w:rsid w:val="00795339"/>
    <w:rsid w:val="007D1672"/>
    <w:rsid w:val="007F7FE9"/>
    <w:rsid w:val="00833362"/>
    <w:rsid w:val="008A0CD7"/>
    <w:rsid w:val="008C2811"/>
    <w:rsid w:val="008C3D29"/>
    <w:rsid w:val="00905144"/>
    <w:rsid w:val="0094540C"/>
    <w:rsid w:val="00966759"/>
    <w:rsid w:val="009A6A3C"/>
    <w:rsid w:val="009B0C51"/>
    <w:rsid w:val="009B47E3"/>
    <w:rsid w:val="009F212A"/>
    <w:rsid w:val="00A16BE5"/>
    <w:rsid w:val="00A3740C"/>
    <w:rsid w:val="00A454E5"/>
    <w:rsid w:val="00A72A5E"/>
    <w:rsid w:val="00A766E5"/>
    <w:rsid w:val="00A86B0C"/>
    <w:rsid w:val="00AC219D"/>
    <w:rsid w:val="00AC68F2"/>
    <w:rsid w:val="00AD4522"/>
    <w:rsid w:val="00B15597"/>
    <w:rsid w:val="00B34467"/>
    <w:rsid w:val="00B53E5C"/>
    <w:rsid w:val="00B65961"/>
    <w:rsid w:val="00B71410"/>
    <w:rsid w:val="00B91FDA"/>
    <w:rsid w:val="00B95920"/>
    <w:rsid w:val="00C0369D"/>
    <w:rsid w:val="00C127B2"/>
    <w:rsid w:val="00C44299"/>
    <w:rsid w:val="00CB7D4C"/>
    <w:rsid w:val="00D17F7E"/>
    <w:rsid w:val="00D465C4"/>
    <w:rsid w:val="00D667F9"/>
    <w:rsid w:val="00D70A22"/>
    <w:rsid w:val="00D71238"/>
    <w:rsid w:val="00D80AB5"/>
    <w:rsid w:val="00DA10C0"/>
    <w:rsid w:val="00DC6B8E"/>
    <w:rsid w:val="00DD25EC"/>
    <w:rsid w:val="00DE4D72"/>
    <w:rsid w:val="00E0258D"/>
    <w:rsid w:val="00E13CE9"/>
    <w:rsid w:val="00E66B71"/>
    <w:rsid w:val="00E82678"/>
    <w:rsid w:val="00E85EC6"/>
    <w:rsid w:val="00E93B4E"/>
    <w:rsid w:val="00EA05BD"/>
    <w:rsid w:val="00F14C92"/>
    <w:rsid w:val="00F25206"/>
    <w:rsid w:val="00F62859"/>
    <w:rsid w:val="00FA43C6"/>
    <w:rsid w:val="00FB4F93"/>
    <w:rsid w:val="00FE7B94"/>
    <w:rsid w:val="01223C4D"/>
    <w:rsid w:val="01883901"/>
    <w:rsid w:val="01DD71C2"/>
    <w:rsid w:val="01FD7EBC"/>
    <w:rsid w:val="02057D93"/>
    <w:rsid w:val="027F1726"/>
    <w:rsid w:val="02902C0D"/>
    <w:rsid w:val="02BE4389"/>
    <w:rsid w:val="02D76C65"/>
    <w:rsid w:val="03252145"/>
    <w:rsid w:val="0461795C"/>
    <w:rsid w:val="046B249C"/>
    <w:rsid w:val="050761FA"/>
    <w:rsid w:val="053129D2"/>
    <w:rsid w:val="055413A7"/>
    <w:rsid w:val="05E86FC7"/>
    <w:rsid w:val="060F1FF2"/>
    <w:rsid w:val="06655EF0"/>
    <w:rsid w:val="0694519E"/>
    <w:rsid w:val="07267E44"/>
    <w:rsid w:val="074838EF"/>
    <w:rsid w:val="079F3018"/>
    <w:rsid w:val="08F04266"/>
    <w:rsid w:val="095C5CBE"/>
    <w:rsid w:val="097C3D4B"/>
    <w:rsid w:val="0A23009E"/>
    <w:rsid w:val="0A406834"/>
    <w:rsid w:val="0A4345A1"/>
    <w:rsid w:val="0AA84328"/>
    <w:rsid w:val="0B29141D"/>
    <w:rsid w:val="0C08692E"/>
    <w:rsid w:val="0C6A127A"/>
    <w:rsid w:val="0C6C5A7C"/>
    <w:rsid w:val="0CC223BD"/>
    <w:rsid w:val="0CD46AFC"/>
    <w:rsid w:val="0CE37B05"/>
    <w:rsid w:val="0CF2375F"/>
    <w:rsid w:val="0D0A2872"/>
    <w:rsid w:val="0D1B1ACD"/>
    <w:rsid w:val="0D883440"/>
    <w:rsid w:val="0DB43899"/>
    <w:rsid w:val="0DE44009"/>
    <w:rsid w:val="0DE80625"/>
    <w:rsid w:val="0E0E77B8"/>
    <w:rsid w:val="0E594DFD"/>
    <w:rsid w:val="0F54788F"/>
    <w:rsid w:val="0F7B5FEC"/>
    <w:rsid w:val="0FF64D7A"/>
    <w:rsid w:val="10AD7F70"/>
    <w:rsid w:val="111A5595"/>
    <w:rsid w:val="112B287C"/>
    <w:rsid w:val="114E5FCA"/>
    <w:rsid w:val="124B4C03"/>
    <w:rsid w:val="127C6656"/>
    <w:rsid w:val="12CF319F"/>
    <w:rsid w:val="12D60970"/>
    <w:rsid w:val="13627C7B"/>
    <w:rsid w:val="13ED369A"/>
    <w:rsid w:val="14171240"/>
    <w:rsid w:val="14305E5E"/>
    <w:rsid w:val="14E46919"/>
    <w:rsid w:val="152C139B"/>
    <w:rsid w:val="16603AA7"/>
    <w:rsid w:val="174B3D05"/>
    <w:rsid w:val="174D1D96"/>
    <w:rsid w:val="17F42620"/>
    <w:rsid w:val="17F95728"/>
    <w:rsid w:val="18174102"/>
    <w:rsid w:val="19043097"/>
    <w:rsid w:val="19895C06"/>
    <w:rsid w:val="199756B1"/>
    <w:rsid w:val="19B36876"/>
    <w:rsid w:val="19B84ED2"/>
    <w:rsid w:val="19CA0B03"/>
    <w:rsid w:val="1A0E09F0"/>
    <w:rsid w:val="1AE57FEC"/>
    <w:rsid w:val="1B2D30F7"/>
    <w:rsid w:val="1B3460ED"/>
    <w:rsid w:val="1B8371BB"/>
    <w:rsid w:val="1BC874AE"/>
    <w:rsid w:val="1BF66DA8"/>
    <w:rsid w:val="1C331776"/>
    <w:rsid w:val="1CF8228F"/>
    <w:rsid w:val="1D042BFA"/>
    <w:rsid w:val="1D9E4312"/>
    <w:rsid w:val="1E8B7FE2"/>
    <w:rsid w:val="1EF45CD2"/>
    <w:rsid w:val="1F6D2FA1"/>
    <w:rsid w:val="1F766979"/>
    <w:rsid w:val="1F772508"/>
    <w:rsid w:val="1FCC49F9"/>
    <w:rsid w:val="1FD75549"/>
    <w:rsid w:val="2016409F"/>
    <w:rsid w:val="205402B1"/>
    <w:rsid w:val="20621A95"/>
    <w:rsid w:val="212449CF"/>
    <w:rsid w:val="213867CF"/>
    <w:rsid w:val="21AD17CE"/>
    <w:rsid w:val="21E210D2"/>
    <w:rsid w:val="21F97245"/>
    <w:rsid w:val="224F5540"/>
    <w:rsid w:val="22B462FF"/>
    <w:rsid w:val="23914AB3"/>
    <w:rsid w:val="23CA5D99"/>
    <w:rsid w:val="23EC5308"/>
    <w:rsid w:val="2467729B"/>
    <w:rsid w:val="256D4922"/>
    <w:rsid w:val="271B6B2E"/>
    <w:rsid w:val="272C6959"/>
    <w:rsid w:val="275706C5"/>
    <w:rsid w:val="276C3720"/>
    <w:rsid w:val="27A7096F"/>
    <w:rsid w:val="27BE6D61"/>
    <w:rsid w:val="281042B8"/>
    <w:rsid w:val="28352F87"/>
    <w:rsid w:val="28357428"/>
    <w:rsid w:val="28726F47"/>
    <w:rsid w:val="28A80C51"/>
    <w:rsid w:val="294B3F37"/>
    <w:rsid w:val="296F7D88"/>
    <w:rsid w:val="29EC66D5"/>
    <w:rsid w:val="29F302C0"/>
    <w:rsid w:val="2A124392"/>
    <w:rsid w:val="2A147280"/>
    <w:rsid w:val="2A225D30"/>
    <w:rsid w:val="2B135ADE"/>
    <w:rsid w:val="2B984CE0"/>
    <w:rsid w:val="2BC02EFD"/>
    <w:rsid w:val="2BC5737C"/>
    <w:rsid w:val="2C321089"/>
    <w:rsid w:val="2CBD3EE4"/>
    <w:rsid w:val="2CEF6878"/>
    <w:rsid w:val="2D381F2C"/>
    <w:rsid w:val="2D636E4D"/>
    <w:rsid w:val="2DAF369C"/>
    <w:rsid w:val="2DFA79E3"/>
    <w:rsid w:val="2E40206D"/>
    <w:rsid w:val="2E7B6930"/>
    <w:rsid w:val="2EC073F0"/>
    <w:rsid w:val="2EF02962"/>
    <w:rsid w:val="2F266384"/>
    <w:rsid w:val="2F854729"/>
    <w:rsid w:val="2FFF3E25"/>
    <w:rsid w:val="30185B61"/>
    <w:rsid w:val="30304E5A"/>
    <w:rsid w:val="306B5A48"/>
    <w:rsid w:val="30902574"/>
    <w:rsid w:val="312321A8"/>
    <w:rsid w:val="31420B4D"/>
    <w:rsid w:val="31624B44"/>
    <w:rsid w:val="318A1295"/>
    <w:rsid w:val="31A42E6E"/>
    <w:rsid w:val="31D02A3D"/>
    <w:rsid w:val="32056724"/>
    <w:rsid w:val="32180206"/>
    <w:rsid w:val="328B3B5E"/>
    <w:rsid w:val="328E671A"/>
    <w:rsid w:val="32D8735B"/>
    <w:rsid w:val="337F462E"/>
    <w:rsid w:val="34563A3B"/>
    <w:rsid w:val="345C3E6B"/>
    <w:rsid w:val="345F63B0"/>
    <w:rsid w:val="35213875"/>
    <w:rsid w:val="35674F30"/>
    <w:rsid w:val="36251143"/>
    <w:rsid w:val="36913605"/>
    <w:rsid w:val="36A734A5"/>
    <w:rsid w:val="36DB579C"/>
    <w:rsid w:val="36FA193E"/>
    <w:rsid w:val="371C339C"/>
    <w:rsid w:val="374E00AC"/>
    <w:rsid w:val="37FA03AE"/>
    <w:rsid w:val="383D10FE"/>
    <w:rsid w:val="38FE7A6D"/>
    <w:rsid w:val="39B7377D"/>
    <w:rsid w:val="39DC26CC"/>
    <w:rsid w:val="39F47982"/>
    <w:rsid w:val="3AA9763B"/>
    <w:rsid w:val="3AC017B9"/>
    <w:rsid w:val="3AFB3576"/>
    <w:rsid w:val="3B0261A4"/>
    <w:rsid w:val="3BC201B2"/>
    <w:rsid w:val="3BF3281F"/>
    <w:rsid w:val="3C190DAF"/>
    <w:rsid w:val="3C5F6A31"/>
    <w:rsid w:val="3C7640D8"/>
    <w:rsid w:val="3C8A28B7"/>
    <w:rsid w:val="3C913A94"/>
    <w:rsid w:val="3D64174D"/>
    <w:rsid w:val="3D736C38"/>
    <w:rsid w:val="3DD11C90"/>
    <w:rsid w:val="3DE829B8"/>
    <w:rsid w:val="3E0025B1"/>
    <w:rsid w:val="3E092D57"/>
    <w:rsid w:val="3E27375F"/>
    <w:rsid w:val="3EF43CA7"/>
    <w:rsid w:val="3EFB5137"/>
    <w:rsid w:val="400704F6"/>
    <w:rsid w:val="401A0C89"/>
    <w:rsid w:val="402A3BE5"/>
    <w:rsid w:val="402A4543"/>
    <w:rsid w:val="40A228FE"/>
    <w:rsid w:val="41C47275"/>
    <w:rsid w:val="41EC0D67"/>
    <w:rsid w:val="421C2A29"/>
    <w:rsid w:val="429E423B"/>
    <w:rsid w:val="430F5DF4"/>
    <w:rsid w:val="438C25AF"/>
    <w:rsid w:val="43962E37"/>
    <w:rsid w:val="43BB030F"/>
    <w:rsid w:val="43CE1B2D"/>
    <w:rsid w:val="441C22A6"/>
    <w:rsid w:val="44B12BBA"/>
    <w:rsid w:val="459B368C"/>
    <w:rsid w:val="45CC0ABC"/>
    <w:rsid w:val="4625594A"/>
    <w:rsid w:val="464E5F5F"/>
    <w:rsid w:val="46F27D72"/>
    <w:rsid w:val="470B114E"/>
    <w:rsid w:val="4735587B"/>
    <w:rsid w:val="474A33A6"/>
    <w:rsid w:val="47583AF4"/>
    <w:rsid w:val="476D294A"/>
    <w:rsid w:val="4781549E"/>
    <w:rsid w:val="47C16776"/>
    <w:rsid w:val="4800556C"/>
    <w:rsid w:val="481934C6"/>
    <w:rsid w:val="48811923"/>
    <w:rsid w:val="48906E6C"/>
    <w:rsid w:val="48B32FE7"/>
    <w:rsid w:val="49E13E74"/>
    <w:rsid w:val="4A0F1D6B"/>
    <w:rsid w:val="4A205B37"/>
    <w:rsid w:val="4A557D21"/>
    <w:rsid w:val="4A9E0E32"/>
    <w:rsid w:val="4B1C7C4F"/>
    <w:rsid w:val="4B5F6E76"/>
    <w:rsid w:val="4BAC4A08"/>
    <w:rsid w:val="4BCE4B24"/>
    <w:rsid w:val="4BD27618"/>
    <w:rsid w:val="4BDE7B60"/>
    <w:rsid w:val="4C99321D"/>
    <w:rsid w:val="4CA46602"/>
    <w:rsid w:val="4CEC7BDF"/>
    <w:rsid w:val="4DA150FB"/>
    <w:rsid w:val="4EDD3A2B"/>
    <w:rsid w:val="4F2442A7"/>
    <w:rsid w:val="4F3C33CD"/>
    <w:rsid w:val="4F3D0199"/>
    <w:rsid w:val="4F54674E"/>
    <w:rsid w:val="4FB14184"/>
    <w:rsid w:val="4FD25CA0"/>
    <w:rsid w:val="507E7976"/>
    <w:rsid w:val="50F81DA4"/>
    <w:rsid w:val="513F2B93"/>
    <w:rsid w:val="51D75590"/>
    <w:rsid w:val="51D755CE"/>
    <w:rsid w:val="521E6BB4"/>
    <w:rsid w:val="52B766CA"/>
    <w:rsid w:val="52BD3567"/>
    <w:rsid w:val="52F16EE2"/>
    <w:rsid w:val="52FF53F9"/>
    <w:rsid w:val="538E6122"/>
    <w:rsid w:val="53DD4C88"/>
    <w:rsid w:val="53E618C5"/>
    <w:rsid w:val="54491545"/>
    <w:rsid w:val="54ED50CA"/>
    <w:rsid w:val="55BB49A2"/>
    <w:rsid w:val="567105F6"/>
    <w:rsid w:val="56C208BA"/>
    <w:rsid w:val="56E10060"/>
    <w:rsid w:val="56ED4FD1"/>
    <w:rsid w:val="575A09F5"/>
    <w:rsid w:val="578C0DF0"/>
    <w:rsid w:val="57A047DB"/>
    <w:rsid w:val="57A54701"/>
    <w:rsid w:val="58A253FD"/>
    <w:rsid w:val="58F62940"/>
    <w:rsid w:val="593057D8"/>
    <w:rsid w:val="599069D0"/>
    <w:rsid w:val="5A0668EA"/>
    <w:rsid w:val="5AC21658"/>
    <w:rsid w:val="5ACE14FA"/>
    <w:rsid w:val="5AF24E72"/>
    <w:rsid w:val="5BF87A73"/>
    <w:rsid w:val="5C0177AE"/>
    <w:rsid w:val="5C0D3A46"/>
    <w:rsid w:val="5C456B8A"/>
    <w:rsid w:val="5C5C50EC"/>
    <w:rsid w:val="5C6A5252"/>
    <w:rsid w:val="5C9B6EC2"/>
    <w:rsid w:val="5CB55884"/>
    <w:rsid w:val="5CBF7859"/>
    <w:rsid w:val="5D8C5CBE"/>
    <w:rsid w:val="5DFF396F"/>
    <w:rsid w:val="5E146A5A"/>
    <w:rsid w:val="5E514FDC"/>
    <w:rsid w:val="5EFB0920"/>
    <w:rsid w:val="603E55B5"/>
    <w:rsid w:val="604364E6"/>
    <w:rsid w:val="61547A34"/>
    <w:rsid w:val="618128C3"/>
    <w:rsid w:val="61E9793B"/>
    <w:rsid w:val="6248284E"/>
    <w:rsid w:val="62D106EE"/>
    <w:rsid w:val="63424DE8"/>
    <w:rsid w:val="63782FC9"/>
    <w:rsid w:val="639233EE"/>
    <w:rsid w:val="6508325D"/>
    <w:rsid w:val="66030E7E"/>
    <w:rsid w:val="660A5273"/>
    <w:rsid w:val="664D3236"/>
    <w:rsid w:val="66801728"/>
    <w:rsid w:val="67814A7A"/>
    <w:rsid w:val="678371C8"/>
    <w:rsid w:val="68030A35"/>
    <w:rsid w:val="68491FB4"/>
    <w:rsid w:val="68505B76"/>
    <w:rsid w:val="68892FE3"/>
    <w:rsid w:val="68E65620"/>
    <w:rsid w:val="69212035"/>
    <w:rsid w:val="693A1292"/>
    <w:rsid w:val="69A41278"/>
    <w:rsid w:val="6AA843A2"/>
    <w:rsid w:val="6AAE395B"/>
    <w:rsid w:val="6B58660B"/>
    <w:rsid w:val="6B5C78EC"/>
    <w:rsid w:val="6BAB172D"/>
    <w:rsid w:val="6BE30BB5"/>
    <w:rsid w:val="6C7B7A21"/>
    <w:rsid w:val="6D370821"/>
    <w:rsid w:val="6D3760FD"/>
    <w:rsid w:val="6D587BEC"/>
    <w:rsid w:val="6D7970A3"/>
    <w:rsid w:val="6DD72BB3"/>
    <w:rsid w:val="6DDE18C1"/>
    <w:rsid w:val="6DEF7F90"/>
    <w:rsid w:val="6E1157CE"/>
    <w:rsid w:val="6EA86236"/>
    <w:rsid w:val="6EAF2DAB"/>
    <w:rsid w:val="6F21173D"/>
    <w:rsid w:val="6F7C5FDE"/>
    <w:rsid w:val="6FA4584D"/>
    <w:rsid w:val="6FEC72B2"/>
    <w:rsid w:val="70195159"/>
    <w:rsid w:val="707D41AD"/>
    <w:rsid w:val="710552D0"/>
    <w:rsid w:val="7186321C"/>
    <w:rsid w:val="71C91957"/>
    <w:rsid w:val="72343F30"/>
    <w:rsid w:val="72457FD8"/>
    <w:rsid w:val="72646FB1"/>
    <w:rsid w:val="726522EC"/>
    <w:rsid w:val="72D45177"/>
    <w:rsid w:val="72E96A79"/>
    <w:rsid w:val="73092AA6"/>
    <w:rsid w:val="734D2C7A"/>
    <w:rsid w:val="73895B97"/>
    <w:rsid w:val="73AD0CAE"/>
    <w:rsid w:val="73F57D42"/>
    <w:rsid w:val="741D5ED7"/>
    <w:rsid w:val="745866BA"/>
    <w:rsid w:val="7508360D"/>
    <w:rsid w:val="76614049"/>
    <w:rsid w:val="768E1EBF"/>
    <w:rsid w:val="76C157D4"/>
    <w:rsid w:val="771B3FE8"/>
    <w:rsid w:val="77487377"/>
    <w:rsid w:val="77972F48"/>
    <w:rsid w:val="781065A3"/>
    <w:rsid w:val="7831087C"/>
    <w:rsid w:val="78F711F8"/>
    <w:rsid w:val="794D016C"/>
    <w:rsid w:val="799A6D1F"/>
    <w:rsid w:val="7A106FE1"/>
    <w:rsid w:val="7A693EE6"/>
    <w:rsid w:val="7A930EA3"/>
    <w:rsid w:val="7A955B6F"/>
    <w:rsid w:val="7B75702B"/>
    <w:rsid w:val="7B7D260A"/>
    <w:rsid w:val="7BE30A1F"/>
    <w:rsid w:val="7C1223D2"/>
    <w:rsid w:val="7C771DE8"/>
    <w:rsid w:val="7D762829"/>
    <w:rsid w:val="7D9A3DF6"/>
    <w:rsid w:val="7DFA4A81"/>
    <w:rsid w:val="7EF83656"/>
    <w:rsid w:val="7EFD3345"/>
    <w:rsid w:val="7F423565"/>
    <w:rsid w:val="7F60206F"/>
    <w:rsid w:val="7FAB5A8B"/>
    <w:rsid w:val="FFBFA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Times New Roman" w:hAnsi="Times New Roman"/>
      <w:b/>
      <w:sz w:val="32"/>
    </w:rPr>
  </w:style>
  <w:style w:type="paragraph" w:styleId="4">
    <w:name w:val="heading 3"/>
    <w:basedOn w:val="1"/>
    <w:next w:val="1"/>
    <w:semiHidden/>
    <w:unhideWhenUsed/>
    <w:qFormat/>
    <w:uiPriority w:val="0"/>
    <w:pPr>
      <w:keepNext/>
      <w:keepLines/>
      <w:spacing w:before="260" w:after="260" w:line="413" w:lineRule="auto"/>
      <w:outlineLvl w:val="2"/>
    </w:pPr>
    <w:rPr>
      <w:rFonts w:ascii="Times New Roman" w:hAnsi="Times New Roman"/>
      <w:b/>
      <w:sz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style>
  <w:style w:type="paragraph" w:styleId="6">
    <w:name w:val="Body Text First Indent 2"/>
    <w:basedOn w:val="7"/>
    <w:next w:val="1"/>
    <w:unhideWhenUsed/>
    <w:qFormat/>
    <w:uiPriority w:val="99"/>
    <w:pPr>
      <w:spacing w:after="120" w:line="480" w:lineRule="exact"/>
      <w:ind w:left="420" w:leftChars="200" w:firstLine="420" w:firstLineChars="200"/>
    </w:pPr>
    <w:rPr>
      <w:rFonts w:ascii="Times New Roman" w:hAnsi="Times New Roman" w:eastAsia="宋体"/>
      <w:kern w:val="2"/>
      <w:sz w:val="24"/>
      <w:szCs w:val="24"/>
    </w:rPr>
  </w:style>
  <w:style w:type="paragraph" w:styleId="7">
    <w:name w:val="Body Text Indent"/>
    <w:basedOn w:val="1"/>
    <w:next w:val="1"/>
    <w:unhideWhenUsed/>
    <w:qFormat/>
    <w:uiPriority w:val="99"/>
    <w:pPr>
      <w:spacing w:line="500" w:lineRule="exact"/>
      <w:ind w:firstLine="540"/>
    </w:pPr>
    <w:rPr>
      <w:rFonts w:ascii="Calibri" w:hAnsi="Calibri" w:eastAsia="仿宋_GB2312"/>
      <w:sz w:val="28"/>
      <w:szCs w:val="28"/>
    </w:rPr>
  </w:style>
  <w:style w:type="paragraph" w:styleId="8">
    <w:name w:val="caption"/>
    <w:basedOn w:val="1"/>
    <w:next w:val="1"/>
    <w:qFormat/>
    <w:uiPriority w:val="99"/>
    <w:pPr>
      <w:keepNext/>
      <w:snapToGrid w:val="0"/>
      <w:spacing w:line="360" w:lineRule="auto"/>
      <w:jc w:val="center"/>
    </w:pPr>
    <w:rPr>
      <w:b/>
      <w:bCs/>
      <w:color w:val="0070C0"/>
      <w:sz w:val="24"/>
    </w:rPr>
  </w:style>
  <w:style w:type="paragraph" w:styleId="9">
    <w:name w:val="annotation text"/>
    <w:basedOn w:val="1"/>
    <w:link w:val="40"/>
    <w:qFormat/>
    <w:uiPriority w:val="0"/>
  </w:style>
  <w:style w:type="paragraph" w:styleId="10">
    <w:name w:val="Body Text"/>
    <w:basedOn w:val="1"/>
    <w:qFormat/>
    <w:uiPriority w:val="1"/>
    <w:rPr>
      <w:sz w:val="24"/>
      <w:szCs w:val="24"/>
    </w:rPr>
  </w:style>
  <w:style w:type="paragraph" w:styleId="11">
    <w:name w:val="Plain Text"/>
    <w:basedOn w:val="1"/>
    <w:qFormat/>
    <w:uiPriority w:val="99"/>
    <w:rPr>
      <w:rFonts w:hAnsi="Courier New"/>
      <w:szCs w:val="21"/>
    </w:rPr>
  </w:style>
  <w:style w:type="paragraph" w:styleId="12">
    <w:name w:val="Body Text Indent 2"/>
    <w:basedOn w:val="1"/>
    <w:next w:val="1"/>
    <w:qFormat/>
    <w:uiPriority w:val="0"/>
    <w:pPr>
      <w:spacing w:line="360" w:lineRule="auto"/>
      <w:ind w:firstLine="624"/>
    </w:pPr>
    <w:rPr>
      <w:sz w:val="28"/>
    </w:rPr>
  </w:style>
  <w:style w:type="paragraph" w:styleId="13">
    <w:name w:val="Balloon Text"/>
    <w:basedOn w:val="1"/>
    <w:link w:val="39"/>
    <w:qFormat/>
    <w:uiPriority w:val="0"/>
    <w:rPr>
      <w:sz w:val="18"/>
      <w:szCs w:val="18"/>
    </w:rPr>
  </w:style>
  <w:style w:type="paragraph" w:styleId="14">
    <w:name w:val="footer"/>
    <w:basedOn w:val="1"/>
    <w:next w:val="1"/>
    <w:qFormat/>
    <w:uiPriority w:val="99"/>
    <w:pPr>
      <w:tabs>
        <w:tab w:val="center" w:pos="4153"/>
        <w:tab w:val="right" w:pos="8306"/>
      </w:tabs>
      <w:snapToGrid w:val="0"/>
    </w:pPr>
    <w:rPr>
      <w:sz w:val="18"/>
      <w:szCs w:val="20"/>
    </w:rPr>
  </w:style>
  <w:style w:type="paragraph" w:styleId="15">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List"/>
    <w:basedOn w:val="1"/>
    <w:qFormat/>
    <w:uiPriority w:val="0"/>
    <w:pPr>
      <w:ind w:left="200" w:hanging="200" w:hangingChars="200"/>
      <w:contextualSpacing/>
    </w:pPr>
  </w:style>
  <w:style w:type="paragraph" w:styleId="1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qFormat/>
    <w:uiPriority w:val="99"/>
    <w:pPr>
      <w:widowControl/>
      <w:spacing w:before="100" w:beforeAutospacing="1" w:after="100" w:afterAutospacing="1"/>
    </w:pPr>
    <w:rPr>
      <w:sz w:val="24"/>
      <w:szCs w:val="20"/>
    </w:rPr>
  </w:style>
  <w:style w:type="paragraph" w:styleId="20">
    <w:name w:val="annotation subject"/>
    <w:basedOn w:val="9"/>
    <w:next w:val="9"/>
    <w:link w:val="41"/>
    <w:qFormat/>
    <w:uiPriority w:val="0"/>
    <w:rPr>
      <w:b/>
      <w:bCs/>
    </w:rPr>
  </w:style>
  <w:style w:type="paragraph" w:styleId="21">
    <w:name w:val="Body Text First Indent"/>
    <w:basedOn w:val="10"/>
    <w:next w:val="1"/>
    <w:qFormat/>
    <w:uiPriority w:val="0"/>
    <w:pPr>
      <w:ind w:firstLine="420" w:firstLineChars="1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qFormat/>
    <w:uiPriority w:val="0"/>
  </w:style>
  <w:style w:type="character" w:styleId="26">
    <w:name w:val="Hyperlink"/>
    <w:basedOn w:val="24"/>
    <w:qFormat/>
    <w:uiPriority w:val="0"/>
    <w:rPr>
      <w:color w:val="0000FF"/>
      <w:u w:val="single"/>
    </w:rPr>
  </w:style>
  <w:style w:type="character" w:styleId="27">
    <w:name w:val="annotation reference"/>
    <w:basedOn w:val="24"/>
    <w:qFormat/>
    <w:uiPriority w:val="0"/>
    <w:rPr>
      <w:sz w:val="21"/>
      <w:szCs w:val="21"/>
    </w:rPr>
  </w:style>
  <w:style w:type="paragraph" w:customStyle="1" w:styleId="28">
    <w:name w:val="Date1"/>
    <w:basedOn w:val="1"/>
    <w:next w:val="1"/>
    <w:qFormat/>
    <w:uiPriority w:val="0"/>
    <w:pPr>
      <w:adjustRightInd w:val="0"/>
      <w:textAlignment w:val="baseline"/>
    </w:pPr>
    <w:rPr>
      <w:szCs w:val="20"/>
    </w:rPr>
  </w:style>
  <w:style w:type="paragraph" w:customStyle="1" w:styleId="29">
    <w:name w:val="Table Paragraph"/>
    <w:basedOn w:val="1"/>
    <w:qFormat/>
    <w:uiPriority w:val="1"/>
  </w:style>
  <w:style w:type="paragraph" w:customStyle="1" w:styleId="30">
    <w:name w:val="龙正文表格"/>
    <w:basedOn w:val="1"/>
    <w:qFormat/>
    <w:uiPriority w:val="0"/>
    <w:pPr>
      <w:adjustRightInd w:val="0"/>
      <w:jc w:val="center"/>
    </w:pPr>
    <w:rPr>
      <w:szCs w:val="21"/>
    </w:rPr>
  </w:style>
  <w:style w:type="paragraph" w:customStyle="1" w:styleId="31">
    <w:name w:val="正文文字缩进一"/>
    <w:basedOn w:val="1"/>
    <w:qFormat/>
    <w:uiPriority w:val="0"/>
    <w:pPr>
      <w:adjustRightInd w:val="0"/>
      <w:snapToGrid w:val="0"/>
      <w:spacing w:line="360" w:lineRule="auto"/>
      <w:ind w:firstLine="560" w:firstLineChars="200"/>
    </w:pPr>
    <w:rPr>
      <w:rFonts w:eastAsia="仿宋"/>
      <w:sz w:val="28"/>
      <w:szCs w:val="28"/>
    </w:rPr>
  </w:style>
  <w:style w:type="paragraph" w:customStyle="1" w:styleId="32">
    <w:name w:val="表格"/>
    <w:basedOn w:val="1"/>
    <w:next w:val="1"/>
    <w:qFormat/>
    <w:uiPriority w:val="0"/>
    <w:pPr>
      <w:adjustRightInd w:val="0"/>
      <w:snapToGrid w:val="0"/>
      <w:spacing w:beforeLines="10" w:afterLines="10" w:line="259" w:lineRule="auto"/>
      <w:jc w:val="center"/>
    </w:pPr>
    <w:rPr>
      <w:szCs w:val="20"/>
    </w:rPr>
  </w:style>
  <w:style w:type="paragraph" w:customStyle="1" w:styleId="33">
    <w:name w:val="填表内容"/>
    <w:basedOn w:val="1"/>
    <w:qFormat/>
    <w:uiPriority w:val="0"/>
    <w:pPr>
      <w:adjustRightInd w:val="0"/>
      <w:spacing w:line="480" w:lineRule="exact"/>
      <w:ind w:firstLine="560" w:firstLineChars="200"/>
    </w:pPr>
    <w:rPr>
      <w:rFonts w:ascii="楷体_GB2312" w:eastAsia="楷体_GB2312"/>
      <w:sz w:val="28"/>
      <w:szCs w:val="28"/>
    </w:rPr>
  </w:style>
  <w:style w:type="paragraph" w:customStyle="1" w:styleId="34">
    <w:name w:val="环评列表"/>
    <w:basedOn w:val="17"/>
    <w:qFormat/>
    <w:uiPriority w:val="0"/>
    <w:pPr>
      <w:spacing w:before="100" w:beforeAutospacing="1" w:after="100" w:afterAutospacing="1"/>
    </w:pPr>
    <w:rPr>
      <w:szCs w:val="21"/>
    </w:rPr>
  </w:style>
  <w:style w:type="paragraph" w:customStyle="1" w:styleId="35">
    <w:name w:val="列出段落1"/>
    <w:basedOn w:val="1"/>
    <w:qFormat/>
    <w:uiPriority w:val="0"/>
    <w:pPr>
      <w:adjustRightInd w:val="0"/>
    </w:pPr>
    <w:rPr>
      <w:sz w:val="24"/>
    </w:rPr>
  </w:style>
  <w:style w:type="paragraph" w:customStyle="1" w:styleId="36">
    <w:name w:val="Char Char Char Char Char Char Char1"/>
    <w:basedOn w:val="1"/>
    <w:qFormat/>
    <w:uiPriority w:val="0"/>
    <w:pPr>
      <w:spacing w:line="360" w:lineRule="auto"/>
      <w:ind w:firstLine="200" w:firstLineChars="200"/>
    </w:pPr>
    <w:rPr>
      <w:sz w:val="24"/>
      <w:szCs w:val="24"/>
    </w:rPr>
  </w:style>
  <w:style w:type="paragraph" w:customStyle="1" w:styleId="37">
    <w:name w:val="表文字"/>
    <w:basedOn w:val="1"/>
    <w:qFormat/>
    <w:uiPriority w:val="0"/>
    <w:pPr>
      <w:overflowPunct w:val="0"/>
      <w:adjustRightInd w:val="0"/>
      <w:spacing w:line="240" w:lineRule="atLeast"/>
      <w:jc w:val="center"/>
      <w:textAlignment w:val="baseline"/>
    </w:pPr>
    <w:rPr>
      <w:sz w:val="24"/>
      <w:szCs w:val="20"/>
    </w:rPr>
  </w:style>
  <w:style w:type="paragraph" w:customStyle="1" w:styleId="38">
    <w:name w:val="正式"/>
    <w:basedOn w:val="1"/>
    <w:qFormat/>
    <w:uiPriority w:val="0"/>
    <w:pPr>
      <w:spacing w:beforeLines="50" w:after="100" w:afterAutospacing="1" w:line="360" w:lineRule="auto"/>
      <w:ind w:firstLine="200" w:firstLineChars="200"/>
    </w:pPr>
    <w:rPr>
      <w:sz w:val="24"/>
      <w:szCs w:val="24"/>
    </w:rPr>
  </w:style>
  <w:style w:type="character" w:customStyle="1" w:styleId="39">
    <w:name w:val="批注框文本 字符"/>
    <w:basedOn w:val="24"/>
    <w:link w:val="13"/>
    <w:qFormat/>
    <w:uiPriority w:val="0"/>
    <w:rPr>
      <w:rFonts w:ascii="宋体" w:hAnsi="宋体" w:cs="宋体"/>
      <w:sz w:val="18"/>
      <w:szCs w:val="18"/>
      <w:lang w:val="zh-CN" w:bidi="zh-CN"/>
    </w:rPr>
  </w:style>
  <w:style w:type="character" w:customStyle="1" w:styleId="40">
    <w:name w:val="批注文字 字符"/>
    <w:basedOn w:val="24"/>
    <w:link w:val="9"/>
    <w:qFormat/>
    <w:uiPriority w:val="0"/>
    <w:rPr>
      <w:rFonts w:ascii="宋体" w:hAnsi="宋体" w:cs="宋体"/>
      <w:sz w:val="22"/>
      <w:szCs w:val="22"/>
      <w:lang w:val="zh-CN" w:bidi="zh-CN"/>
    </w:rPr>
  </w:style>
  <w:style w:type="character" w:customStyle="1" w:styleId="41">
    <w:name w:val="批注主题 字符"/>
    <w:basedOn w:val="40"/>
    <w:link w:val="20"/>
    <w:qFormat/>
    <w:uiPriority w:val="0"/>
    <w:rPr>
      <w:rFonts w:ascii="宋体" w:hAnsi="宋体" w:cs="宋体"/>
      <w:b/>
      <w:bCs/>
      <w:sz w:val="22"/>
      <w:szCs w:val="22"/>
      <w:lang w:val="zh-CN" w:bidi="zh-CN"/>
    </w:rPr>
  </w:style>
  <w:style w:type="character" w:customStyle="1" w:styleId="42">
    <w:name w:val="页眉 字符"/>
    <w:basedOn w:val="24"/>
    <w:link w:val="15"/>
    <w:qFormat/>
    <w:uiPriority w:val="0"/>
    <w:rPr>
      <w:rFonts w:ascii="宋体" w:hAnsi="宋体" w:cs="宋体"/>
      <w:sz w:val="18"/>
      <w:szCs w:val="18"/>
      <w:lang w:val="zh-CN" w:bidi="zh-CN"/>
    </w:rPr>
  </w:style>
  <w:style w:type="paragraph" w:customStyle="1" w:styleId="43">
    <w:name w:val="报告表样式"/>
    <w:basedOn w:val="1"/>
    <w:qFormat/>
    <w:uiPriority w:val="0"/>
    <w:pPr>
      <w:adjustRightInd w:val="0"/>
      <w:snapToGrid w:val="0"/>
      <w:spacing w:line="360" w:lineRule="auto"/>
      <w:ind w:firstLine="200" w:firstLineChars="200"/>
    </w:pPr>
    <w:rPr>
      <w:sz w:val="28"/>
      <w:szCs w:val="28"/>
    </w:rPr>
  </w:style>
  <w:style w:type="paragraph" w:customStyle="1" w:styleId="44">
    <w:name w:val="正文YYH"/>
    <w:basedOn w:val="1"/>
    <w:qFormat/>
    <w:uiPriority w:val="0"/>
    <w:pPr>
      <w:spacing w:line="360" w:lineRule="auto"/>
      <w:ind w:firstLine="200" w:firstLineChars="200"/>
    </w:pPr>
    <w:rPr>
      <w:rFonts w:ascii="Times New Roman" w:hAnsi="Times New Roman" w:cs="Times New Roman"/>
      <w:sz w:val="24"/>
      <w:szCs w:val="24"/>
    </w:rPr>
  </w:style>
  <w:style w:type="paragraph" w:customStyle="1" w:styleId="45">
    <w:name w:val="文本框"/>
    <w:basedOn w:val="1"/>
    <w:next w:val="1"/>
    <w:qFormat/>
    <w:uiPriority w:val="0"/>
    <w:pPr>
      <w:tabs>
        <w:tab w:val="left" w:pos="0"/>
      </w:tabs>
      <w:spacing w:line="300" w:lineRule="exact"/>
      <w:jc w:val="center"/>
    </w:pPr>
    <w:rPr>
      <w:rFonts w:eastAsia="仿宋_GB2312"/>
      <w:spacing w:val="12"/>
      <w:szCs w:val="28"/>
    </w:rPr>
  </w:style>
  <w:style w:type="paragraph" w:customStyle="1" w:styleId="46">
    <w:name w:val="1"/>
    <w:basedOn w:val="1"/>
    <w:next w:val="7"/>
    <w:qFormat/>
    <w:uiPriority w:val="0"/>
    <w:pPr>
      <w:spacing w:line="360" w:lineRule="auto"/>
      <w:ind w:firstLine="480" w:firstLineChars="200"/>
    </w:pPr>
    <w:rPr>
      <w:rFonts w:ascii="仿宋_GB2312" w:eastAsia="仿宋_GB2312"/>
      <w:sz w:val="24"/>
    </w:rPr>
  </w:style>
  <w:style w:type="paragraph" w:customStyle="1" w:styleId="47">
    <w:name w:val="标题4"/>
    <w:basedOn w:val="1"/>
    <w:qFormat/>
    <w:uiPriority w:val="0"/>
    <w:pPr>
      <w:keepNext/>
      <w:keepLines/>
      <w:outlineLvl w:val="3"/>
    </w:pPr>
    <w:rPr>
      <w:rFonts w:cs="Times New Roman"/>
      <w:b/>
    </w:rPr>
  </w:style>
  <w:style w:type="paragraph" w:customStyle="1" w:styleId="48">
    <w:name w:val="样式 正文缩进正文缩进2正文缩进 Char Char正文缩进 Char Char Char Char正文缩进 Char ..."/>
    <w:basedOn w:val="5"/>
    <w:qFormat/>
    <w:uiPriority w:val="0"/>
    <w:pPr>
      <w:spacing w:line="240" w:lineRule="auto"/>
      <w:ind w:firstLine="0" w:firstLineChars="0"/>
    </w:pPr>
    <w:rPr>
      <w:rFonts w:ascii="Times New Roman" w:hAnsi="Times New Roman" w:eastAsia="宋体" w:cs="Times New Roman"/>
      <w:w w:val="80"/>
      <w:sz w:val="18"/>
      <w:szCs w:val="15"/>
    </w:rPr>
  </w:style>
  <w:style w:type="paragraph" w:customStyle="1" w:styleId="49">
    <w:name w:val="样式 小四 黑色 行距: 固定值 26 磅"/>
    <w:basedOn w:val="1"/>
    <w:qFormat/>
    <w:uiPriority w:val="0"/>
    <w:pPr>
      <w:spacing w:line="520" w:lineRule="exact"/>
      <w:ind w:firstLine="509" w:firstLineChars="202"/>
    </w:pPr>
    <w:rPr>
      <w:rFonts w:cs="宋体"/>
      <w:color w:val="000000"/>
      <w:spacing w:val="6"/>
      <w:sz w:val="24"/>
      <w:szCs w:val="20"/>
    </w:rPr>
  </w:style>
  <w:style w:type="paragraph" w:customStyle="1" w:styleId="50">
    <w:name w:val="表头"/>
    <w:basedOn w:val="1"/>
    <w:next w:val="1"/>
    <w:qFormat/>
    <w:uiPriority w:val="0"/>
    <w:pPr>
      <w:ind w:firstLine="0" w:firstLineChars="0"/>
      <w:jc w:val="center"/>
    </w:pPr>
    <w:rPr>
      <w:rFonts w:ascii="宋体" w:hAnsi="宋体" w:cs="宋体"/>
      <w:b/>
      <w:szCs w:val="24"/>
    </w:rPr>
  </w:style>
  <w:style w:type="paragraph" w:customStyle="1" w:styleId="51">
    <w:name w:val="表格文字"/>
    <w:basedOn w:val="1"/>
    <w:next w:val="1"/>
    <w:qFormat/>
    <w:uiPriority w:val="0"/>
    <w:pPr>
      <w:spacing w:line="320" w:lineRule="atLeast"/>
      <w:ind w:firstLine="0" w:firstLineChars="0"/>
      <w:jc w:val="center"/>
    </w:pPr>
    <w:rPr>
      <w:color w:val="000000"/>
      <w:kern w:val="1"/>
      <w:sz w:val="21"/>
      <w:szCs w:val="20"/>
    </w:rPr>
  </w:style>
  <w:style w:type="paragraph" w:customStyle="1" w:styleId="52">
    <w:name w:val="表格YYH"/>
    <w:basedOn w:val="1"/>
    <w:qFormat/>
    <w:uiPriority w:val="0"/>
    <w:pPr>
      <w:jc w:val="center"/>
    </w:pPr>
    <w:rPr>
      <w:rFonts w:ascii="Times New Roman" w:hAnsi="Times New Roman" w:eastAsia="宋体" w:cs="Times New Roman"/>
      <w:color w:val="000000"/>
    </w:rPr>
  </w:style>
  <w:style w:type="paragraph" w:customStyle="1" w:styleId="53">
    <w:name w:val="表格-"/>
    <w:basedOn w:val="1"/>
    <w:qFormat/>
    <w:uiPriority w:val="0"/>
    <w:pPr>
      <w:jc w:val="center"/>
    </w:pPr>
    <w:rPr>
      <w:szCs w:val="21"/>
    </w:rPr>
  </w:style>
  <w:style w:type="paragraph" w:customStyle="1" w:styleId="5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图片"/>
    <w:basedOn w:val="1"/>
    <w:qFormat/>
    <w:uiPriority w:val="0"/>
    <w:pPr>
      <w:spacing w:line="440" w:lineRule="exact"/>
    </w:pPr>
    <w:rPr>
      <w:sz w:val="24"/>
    </w:rPr>
  </w:style>
  <w:style w:type="paragraph" w:customStyle="1" w:styleId="56">
    <w:name w:val="表"/>
    <w:basedOn w:val="1"/>
    <w:qFormat/>
    <w:uiPriority w:val="0"/>
    <w:pPr>
      <w:snapToGrid w:val="0"/>
      <w:jc w:val="center"/>
    </w:pPr>
    <w:rPr>
      <w:spacing w:val="2"/>
      <w:szCs w:val="20"/>
    </w:rPr>
  </w:style>
  <w:style w:type="paragraph" w:customStyle="1" w:styleId="5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8">
    <w:name w:val="样式 正文首行缩进:  2 字符 + 首行缩进:  2 字符"/>
    <w:basedOn w:val="1"/>
    <w:qFormat/>
    <w:uiPriority w:val="0"/>
    <w:pPr>
      <w:spacing w:line="360" w:lineRule="auto"/>
      <w:ind w:firstLine="480" w:firstLineChars="200"/>
    </w:pPr>
    <w:rPr>
      <w:rFonts w:cs="宋体"/>
      <w:sz w:val="24"/>
      <w:szCs w:val="20"/>
    </w:rPr>
  </w:style>
  <w:style w:type="paragraph" w:customStyle="1" w:styleId="59">
    <w:name w:val="注释"/>
    <w:basedOn w:val="1"/>
    <w:qFormat/>
    <w:uiPriority w:val="0"/>
    <w:pPr>
      <w:adjustRightInd w:val="0"/>
      <w:snapToGrid w:val="0"/>
      <w:spacing w:line="360" w:lineRule="auto"/>
      <w:textAlignment w:val="baseline"/>
    </w:pPr>
    <w:rPr>
      <w:rFonts w:ascii="宋体"/>
      <w:snapToGrid w:val="0"/>
      <w:spacing w:val="4"/>
      <w:kern w:val="0"/>
    </w:rPr>
  </w:style>
  <w:style w:type="paragraph" w:customStyle="1" w:styleId="60">
    <w:name w:val="a-表内"/>
    <w:qFormat/>
    <w:uiPriority w:val="0"/>
    <w:pPr>
      <w:adjustRightInd w:val="0"/>
      <w:snapToGrid w:val="0"/>
      <w:spacing w:line="0" w:lineRule="atLeast"/>
      <w:jc w:val="center"/>
    </w:pPr>
    <w:rPr>
      <w:rFonts w:ascii="Times New Roman" w:hAnsi="Times New Roman" w:eastAsia="宋体" w:cs="Times New Roman"/>
      <w:color w:val="000000"/>
      <w:kern w:val="2"/>
      <w:sz w:val="21"/>
      <w:szCs w:val="21"/>
      <w:lang w:val="en-US" w:eastAsia="zh-CN" w:bidi="ar-SA"/>
    </w:rPr>
  </w:style>
  <w:style w:type="paragraph" w:customStyle="1" w:styleId="61">
    <w:name w:val="TX-表头"/>
    <w:qFormat/>
    <w:uiPriority w:val="0"/>
    <w:pPr>
      <w:jc w:val="center"/>
    </w:pPr>
    <w:rPr>
      <w:rFonts w:ascii="Times New Roman" w:hAnsi="Times New Roman" w:eastAsia="仿宋" w:cstheme="minorBidi"/>
      <w:b/>
      <w:kern w:val="2"/>
      <w:sz w:val="24"/>
      <w:szCs w:val="22"/>
      <w:lang w:val="en-US" w:eastAsia="zh-CN" w:bidi="ar-SA"/>
    </w:rPr>
  </w:style>
  <w:style w:type="paragraph" w:customStyle="1" w:styleId="62">
    <w:name w:val="sll-正文"/>
    <w:basedOn w:val="1"/>
    <w:qFormat/>
    <w:uiPriority w:val="0"/>
    <w:pPr>
      <w:autoSpaceDE w:val="0"/>
      <w:autoSpaceDN w:val="0"/>
      <w:adjustRightInd w:val="0"/>
      <w:snapToGrid w:val="0"/>
      <w:spacing w:line="360" w:lineRule="auto"/>
      <w:ind w:firstLine="720" w:firstLineChars="200"/>
      <w:jc w:val="left"/>
    </w:pPr>
    <w:rPr>
      <w:rFonts w:cs="宋体"/>
      <w:kern w:val="0"/>
      <w:sz w:val="24"/>
    </w:rPr>
  </w:style>
  <w:style w:type="paragraph" w:customStyle="1" w:styleId="63">
    <w:name w:val="Table Text"/>
    <w:basedOn w:val="1"/>
    <w:semiHidden/>
    <w:qFormat/>
    <w:uiPriority w:val="0"/>
    <w:rPr>
      <w:rFonts w:ascii="宋体" w:hAnsi="宋体" w:eastAsia="宋体" w:cs="宋体"/>
      <w:sz w:val="21"/>
      <w:szCs w:val="21"/>
      <w:lang w:val="en-US" w:eastAsia="en-US" w:bidi="ar-SA"/>
    </w:rPr>
  </w:style>
  <w:style w:type="table" w:customStyle="1" w:styleId="64">
    <w:name w:val="Table Normal"/>
    <w:semiHidden/>
    <w:unhideWhenUsed/>
    <w:qFormat/>
    <w:uiPriority w:val="0"/>
    <w:tblPr>
      <w:tblCellMar>
        <w:top w:w="0" w:type="dxa"/>
        <w:left w:w="0" w:type="dxa"/>
        <w:bottom w:w="0" w:type="dxa"/>
        <w:right w:w="0" w:type="dxa"/>
      </w:tblCellMar>
    </w:tblPr>
  </w:style>
  <w:style w:type="paragraph" w:styleId="65">
    <w:name w:val="No Spacing"/>
    <w:basedOn w:val="1"/>
    <w:qFormat/>
    <w:uiPriority w:val="1"/>
    <w:pPr>
      <w:spacing w:line="240" w:lineRule="auto"/>
    </w:pPr>
  </w:style>
  <w:style w:type="paragraph" w:customStyle="1" w:styleId="66">
    <w:name w:val="γ-表头"/>
    <w:basedOn w:val="67"/>
    <w:next w:val="71"/>
    <w:qFormat/>
    <w:uiPriority w:val="0"/>
    <w:pPr>
      <w:spacing w:before="50" w:beforeLines="50" w:line="240" w:lineRule="auto"/>
      <w:ind w:firstLine="0" w:firstLineChars="0"/>
      <w:jc w:val="center"/>
    </w:pPr>
    <w:rPr>
      <w:rFonts w:eastAsia="黑体"/>
      <w:b/>
      <w:sz w:val="21"/>
    </w:rPr>
  </w:style>
  <w:style w:type="paragraph" w:customStyle="1" w:styleId="67">
    <w:name w:val="γ-正文"/>
    <w:basedOn w:val="68"/>
    <w:qFormat/>
    <w:uiPriority w:val="0"/>
    <w:pPr>
      <w:spacing w:before="0" w:beforeLines="0" w:after="0" w:afterLines="0"/>
      <w:ind w:firstLine="200" w:firstLineChars="200"/>
      <w:jc w:val="both"/>
      <w:outlineLvl w:val="9"/>
    </w:pPr>
    <w:rPr>
      <w:b w:val="0"/>
    </w:rPr>
  </w:style>
  <w:style w:type="paragraph" w:customStyle="1" w:styleId="68">
    <w:name w:val="γ-标题4"/>
    <w:basedOn w:val="69"/>
    <w:next w:val="1"/>
    <w:qFormat/>
    <w:uiPriority w:val="0"/>
    <w:pPr>
      <w:outlineLvl w:val="3"/>
    </w:pPr>
    <w:rPr>
      <w:sz w:val="24"/>
    </w:rPr>
  </w:style>
  <w:style w:type="paragraph" w:customStyle="1" w:styleId="69">
    <w:name w:val="γ-标题3"/>
    <w:basedOn w:val="70"/>
    <w:next w:val="67"/>
    <w:qFormat/>
    <w:uiPriority w:val="0"/>
    <w:pPr>
      <w:outlineLvl w:val="2"/>
    </w:pPr>
    <w:rPr>
      <w:sz w:val="28"/>
    </w:rPr>
  </w:style>
  <w:style w:type="paragraph" w:customStyle="1" w:styleId="70">
    <w:name w:val="γ-标题2"/>
    <w:basedOn w:val="1"/>
    <w:next w:val="67"/>
    <w:qFormat/>
    <w:uiPriority w:val="0"/>
    <w:pPr>
      <w:spacing w:before="50" w:beforeLines="50" w:after="50" w:afterLines="50"/>
      <w:ind w:firstLine="0" w:firstLineChars="0"/>
      <w:jc w:val="left"/>
      <w:outlineLvl w:val="1"/>
    </w:pPr>
    <w:rPr>
      <w:b/>
      <w:sz w:val="30"/>
    </w:rPr>
  </w:style>
  <w:style w:type="paragraph" w:customStyle="1" w:styleId="71">
    <w:name w:val="γ-表内"/>
    <w:basedOn w:val="67"/>
    <w:qFormat/>
    <w:uiPriority w:val="0"/>
    <w:pPr>
      <w:spacing w:line="240" w:lineRule="auto"/>
      <w:ind w:firstLine="0" w:firstLineChars="0"/>
      <w:jc w:val="center"/>
    </w:pPr>
    <w:rPr>
      <w:sz w:val="21"/>
    </w:rPr>
  </w:style>
  <w:style w:type="paragraph" w:customStyle="1" w:styleId="72">
    <w:name w:val="YYH正文"/>
    <w:basedOn w:val="1"/>
    <w:qFormat/>
    <w:uiPriority w:val="0"/>
  </w:style>
  <w:style w:type="paragraph" w:customStyle="1" w:styleId="73">
    <w:name w:val="报告正文-连续目录"/>
    <w:basedOn w:val="1"/>
    <w:qFormat/>
    <w:uiPriority w:val="0"/>
    <w:pPr>
      <w:spacing w:line="440" w:lineRule="exact"/>
      <w:ind w:firstLine="200" w:firstLineChars="200"/>
    </w:pPr>
    <w:rPr>
      <w:rFonts w:ascii="Arial" w:hAnsi="Arial"/>
      <w:snapToGrid w:val="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4" Type="http://schemas.openxmlformats.org/officeDocument/2006/relationships/fontTable" Target="fontTable.xml"/><Relationship Id="rId73" Type="http://schemas.openxmlformats.org/officeDocument/2006/relationships/numbering" Target="numbering.xml"/><Relationship Id="rId72" Type="http://schemas.openxmlformats.org/officeDocument/2006/relationships/customXml" Target="../customXml/item1.xml"/><Relationship Id="rId71" Type="http://schemas.openxmlformats.org/officeDocument/2006/relationships/image" Target="media/image59.png"/><Relationship Id="rId70" Type="http://schemas.openxmlformats.org/officeDocument/2006/relationships/image" Target="media/image58.png"/><Relationship Id="rId7" Type="http://schemas.openxmlformats.org/officeDocument/2006/relationships/footer" Target="footer5.xml"/><Relationship Id="rId69" Type="http://schemas.openxmlformats.org/officeDocument/2006/relationships/image" Target="media/image57.png"/><Relationship Id="rId68" Type="http://schemas.openxmlformats.org/officeDocument/2006/relationships/image" Target="media/image56.png"/><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pn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footer" Target="footer4.xml"/><Relationship Id="rId59" Type="http://schemas.openxmlformats.org/officeDocument/2006/relationships/image" Target="media/image47.png"/><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footer" Target="footer3.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wmf"/><Relationship Id="rId44" Type="http://schemas.openxmlformats.org/officeDocument/2006/relationships/image" Target="media/image32.wmf"/><Relationship Id="rId43" Type="http://schemas.openxmlformats.org/officeDocument/2006/relationships/image" Target="media/image31.wmf"/><Relationship Id="rId42" Type="http://schemas.openxmlformats.org/officeDocument/2006/relationships/image" Target="media/image30.wmf"/><Relationship Id="rId41" Type="http://schemas.openxmlformats.org/officeDocument/2006/relationships/image" Target="media/image29.wmf"/><Relationship Id="rId40" Type="http://schemas.openxmlformats.org/officeDocument/2006/relationships/image" Target="media/image28.wmf"/><Relationship Id="rId4" Type="http://schemas.openxmlformats.org/officeDocument/2006/relationships/footer" Target="footer2.xml"/><Relationship Id="rId39" Type="http://schemas.openxmlformats.org/officeDocument/2006/relationships/image" Target="media/image27.wmf"/><Relationship Id="rId38" Type="http://schemas.openxmlformats.org/officeDocument/2006/relationships/image" Target="media/image26.wmf"/><Relationship Id="rId37" Type="http://schemas.openxmlformats.org/officeDocument/2006/relationships/image" Target="media/image25.wmf"/><Relationship Id="rId36" Type="http://schemas.openxmlformats.org/officeDocument/2006/relationships/image" Target="media/image24.wmf"/><Relationship Id="rId35" Type="http://schemas.openxmlformats.org/officeDocument/2006/relationships/image" Target="media/image23.wmf"/><Relationship Id="rId34" Type="http://schemas.openxmlformats.org/officeDocument/2006/relationships/image" Target="media/image22.wmf"/><Relationship Id="rId33" Type="http://schemas.openxmlformats.org/officeDocument/2006/relationships/image" Target="media/image21.wmf"/><Relationship Id="rId32" Type="http://schemas.openxmlformats.org/officeDocument/2006/relationships/image" Target="media/image20.wmf"/><Relationship Id="rId31" Type="http://schemas.openxmlformats.org/officeDocument/2006/relationships/image" Target="media/image19.wmf"/><Relationship Id="rId30" Type="http://schemas.openxmlformats.org/officeDocument/2006/relationships/image" Target="media/image18.wmf"/><Relationship Id="rId3" Type="http://schemas.openxmlformats.org/officeDocument/2006/relationships/footer" Target="footer1.xml"/><Relationship Id="rId29" Type="http://schemas.openxmlformats.org/officeDocument/2006/relationships/image" Target="media/image17.wmf"/><Relationship Id="rId28" Type="http://schemas.openxmlformats.org/officeDocument/2006/relationships/image" Target="media/image16.wmf"/><Relationship Id="rId27" Type="http://schemas.openxmlformats.org/officeDocument/2006/relationships/image" Target="media/image15.wmf"/><Relationship Id="rId26" Type="http://schemas.openxmlformats.org/officeDocument/2006/relationships/image" Target="media/image14.wmf"/><Relationship Id="rId25" Type="http://schemas.openxmlformats.org/officeDocument/2006/relationships/image" Target="media/image13.jpeg"/><Relationship Id="rId24" Type="http://schemas.openxmlformats.org/officeDocument/2006/relationships/image" Target="media/image12.jpeg"/><Relationship Id="rId23" Type="http://schemas.openxmlformats.org/officeDocument/2006/relationships/image" Target="media/image11.jpeg"/><Relationship Id="rId22" Type="http://schemas.openxmlformats.org/officeDocument/2006/relationships/image" Target="media/image10.jpeg"/><Relationship Id="rId21" Type="http://schemas.openxmlformats.org/officeDocument/2006/relationships/image" Target="media/image9.jpeg"/><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"/>
    </extobj>
    <extobj name="ECB019B1-382A-4266-B25C-5B523AA43C14-2">
      <extobjdata type="ECB019B1-382A-4266-B25C-5B523AA43C14" data="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"/>
    </extobj>
    <extobj name="ECB019B1-382A-4266-B25C-5B523AA43C14-3">
      <extobjdata type="ECB019B1-382A-4266-B25C-5B523AA43C14" data="ewoJIkZpbGVJZCIgOiAiNDIzMDAzODQwNDcwIiwKCSJHcm91cElkIiA6ICI2MDgyNjQ0NzciLAoJIkltYWdlIiA6ICJpVkJPUncwS0dnb0FBQUFOU1VoRVVnQUFBbkVBQUFHVENBWUFBQUJINlVRc0FBQUFBWE5TUjBJQXJzNGM2UUFBSUFCSlJFRlVlSnpzM1hsMEZGWGFCdkRucmU0a1RZQWtvR3lDaUFpSUVaSlVOK2lnb29NaUlpb3FqdUNndUxDb2pQc2c0b0lmQ29xNERUSUticmdBQ200STQ0cTRvS0l3RHFZckNURUVpWW9qb2dnaWU1YnVydmY3STkwOW5aVUFJVTNCOHp2SFEvcFdkZFV0d010VGRaY0N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RnT1BzSHJRd2ZKM2dBSmt3QUFBQUFTVVZPUks1Q1lJST0iLAoJIlRoZW1lIiA6ICIiLAoJIlR5cGUiIDogImZsb3ciLAoJIlVzZXJJZCIgOiAiNTI2NTM4ODU2IiwKCSJWZXJzaW9uIiA6ICI0Igp9Cg=="/>
    </extobj>
    <extobj name="ECB019B1-382A-4266-B25C-5B523AA43C14-4">
      <extobjdata type="ECB019B1-382A-4266-B25C-5B523AA43C14" data="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中政</Company>
  <Pages>68</Pages>
  <Words>13073</Words>
  <Characters>14171</Characters>
  <Lines>120</Lines>
  <Paragraphs>34</Paragraphs>
  <TotalTime>11</TotalTime>
  <ScaleCrop>false</ScaleCrop>
  <LinksUpToDate>false</LinksUpToDate>
  <CharactersWithSpaces>14254</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2021-11-09T10:59:00Z</dcterms:created>
  <dc:creator>平生我自知</dc:creator>
  <cp:lastModifiedBy>aaa</cp:lastModifiedBy>
  <cp:lastPrinted>2024-08-01T17:03:00Z</cp:lastPrinted>
  <dcterms:modified xsi:type="dcterms:W3CDTF">2025-09-17T10:04:23Z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7716ACCCF6F84C3F9B0CC7775FA2B922_13</vt:lpwstr>
  </property>
  <property fmtid="{D5CDD505-2E9C-101B-9397-08002B2CF9AE}" pid="4" name="KSOTemplateDocerSaveRecord">
    <vt:lpwstr>eyJoZGlkIjoiM2EyOWVkMDQ1ZDJiMmU2YTY0Y2RjZjk2MTY4MmNjZTAiLCJ1c2VySWQiOiIzMTQyNjY5OTIifQ==</vt:lpwstr>
  </property>
</Properties>
</file>