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1DEA4">
      <w:pPr>
        <w:pStyle w:val="11"/>
        <w:rPr>
          <w:rFonts w:ascii="Times New Roman" w:hAnsi="Times New Roman" w:cs="Times New Roman"/>
          <w:sz w:val="20"/>
        </w:rPr>
      </w:pPr>
    </w:p>
    <w:p w14:paraId="2A188421">
      <w:pPr>
        <w:pStyle w:val="11"/>
        <w:rPr>
          <w:rFonts w:ascii="Times New Roman" w:hAnsi="Times New Roman" w:cs="Times New Roman"/>
          <w:sz w:val="20"/>
        </w:rPr>
      </w:pPr>
    </w:p>
    <w:p w14:paraId="5A7292D2">
      <w:pPr>
        <w:pStyle w:val="11"/>
        <w:rPr>
          <w:rFonts w:ascii="Times New Roman" w:hAnsi="Times New Roman" w:cs="Times New Roman"/>
          <w:sz w:val="20"/>
        </w:rPr>
      </w:pPr>
    </w:p>
    <w:p w14:paraId="707FB6F4">
      <w:pPr>
        <w:pStyle w:val="11"/>
        <w:rPr>
          <w:rFonts w:ascii="Times New Roman" w:hAnsi="Times New Roman" w:cs="Times New Roman"/>
          <w:sz w:val="20"/>
        </w:rPr>
      </w:pPr>
    </w:p>
    <w:p w14:paraId="28BE0136">
      <w:pPr>
        <w:pStyle w:val="11"/>
        <w:rPr>
          <w:rFonts w:ascii="Times New Roman" w:hAnsi="Times New Roman" w:cs="Times New Roman"/>
          <w:sz w:val="20"/>
        </w:rPr>
      </w:pPr>
    </w:p>
    <w:p w14:paraId="26509657">
      <w:pPr>
        <w:pStyle w:val="11"/>
        <w:rPr>
          <w:rFonts w:ascii="Times New Roman" w:hAnsi="Times New Roman" w:cs="Times New Roman"/>
          <w:sz w:val="20"/>
        </w:rPr>
      </w:pPr>
    </w:p>
    <w:p w14:paraId="06C50F32">
      <w:pPr>
        <w:pStyle w:val="11"/>
        <w:rPr>
          <w:rFonts w:ascii="Times New Roman" w:hAnsi="Times New Roman" w:cs="Times New Roman"/>
          <w:sz w:val="20"/>
        </w:rPr>
      </w:pPr>
    </w:p>
    <w:p w14:paraId="7A427896">
      <w:pPr>
        <w:pStyle w:val="11"/>
        <w:rPr>
          <w:rFonts w:ascii="Times New Roman" w:hAnsi="Times New Roman" w:cs="Times New Roman"/>
          <w:sz w:val="20"/>
        </w:rPr>
      </w:pPr>
    </w:p>
    <w:p w14:paraId="747EE57F">
      <w:pPr>
        <w:spacing w:before="60"/>
        <w:ind w:left="442" w:right="464"/>
        <w:jc w:val="center"/>
        <w:rPr>
          <w:rFonts w:ascii="Times New Roman" w:hAnsi="Times New Roman" w:eastAsia="微软雅黑" w:cs="Times New Roman"/>
          <w:sz w:val="72"/>
        </w:rPr>
      </w:pPr>
      <w:bookmarkStart w:id="0" w:name="建设项目环境影响报告表"/>
      <w:bookmarkEnd w:id="0"/>
      <w:bookmarkStart w:id="1" w:name="_Toc7223"/>
      <w:r>
        <w:rPr>
          <w:rFonts w:ascii="Times New Roman" w:hAnsi="Times New Roman" w:eastAsia="微软雅黑" w:cs="Times New Roman"/>
          <w:sz w:val="72"/>
        </w:rPr>
        <w:t>建设项目环境影响报告表</w:t>
      </w:r>
      <w:bookmarkEnd w:id="1"/>
    </w:p>
    <w:p w14:paraId="18242A2C">
      <w:pPr>
        <w:spacing w:before="149"/>
        <w:ind w:left="442" w:right="464"/>
        <w:jc w:val="center"/>
        <w:rPr>
          <w:rFonts w:ascii="Times New Roman" w:hAnsi="Times New Roman" w:eastAsia="楷体" w:cs="Times New Roman"/>
          <w:sz w:val="48"/>
        </w:rPr>
      </w:pPr>
      <w:r>
        <w:rPr>
          <w:rFonts w:ascii="Times New Roman" w:hAnsi="Times New Roman" w:eastAsia="楷体" w:cs="Times New Roman"/>
          <w:sz w:val="48"/>
        </w:rPr>
        <w:t>（污染影响类）</w:t>
      </w:r>
    </w:p>
    <w:p w14:paraId="6E06D174">
      <w:pPr>
        <w:pStyle w:val="11"/>
        <w:rPr>
          <w:rFonts w:ascii="Times New Roman" w:hAnsi="Times New Roman" w:cs="Times New Roman"/>
          <w:sz w:val="48"/>
        </w:rPr>
      </w:pPr>
    </w:p>
    <w:p w14:paraId="34A4CD30">
      <w:pPr>
        <w:pStyle w:val="11"/>
        <w:rPr>
          <w:rFonts w:ascii="Times New Roman" w:hAnsi="Times New Roman" w:cs="Times New Roman"/>
          <w:sz w:val="48"/>
        </w:rPr>
      </w:pPr>
    </w:p>
    <w:p w14:paraId="7E36064A">
      <w:pPr>
        <w:pStyle w:val="11"/>
        <w:rPr>
          <w:rFonts w:ascii="Times New Roman" w:hAnsi="Times New Roman" w:cs="Times New Roman"/>
          <w:sz w:val="48"/>
        </w:rPr>
      </w:pPr>
    </w:p>
    <w:p w14:paraId="0730E72F">
      <w:pPr>
        <w:pStyle w:val="11"/>
        <w:rPr>
          <w:rFonts w:ascii="Times New Roman" w:hAnsi="Times New Roman" w:cs="Times New Roman"/>
          <w:sz w:val="48"/>
        </w:rPr>
      </w:pPr>
    </w:p>
    <w:p w14:paraId="3B114A93">
      <w:pPr>
        <w:pStyle w:val="11"/>
        <w:spacing w:before="8"/>
        <w:rPr>
          <w:rFonts w:ascii="Times New Roman" w:hAnsi="Times New Roman" w:cs="Times New Roman"/>
          <w:sz w:val="66"/>
        </w:rPr>
      </w:pPr>
    </w:p>
    <w:p w14:paraId="1A85C5A7">
      <w:pPr>
        <w:tabs>
          <w:tab w:val="left" w:pos="4459"/>
        </w:tabs>
        <w:spacing w:line="600" w:lineRule="exact"/>
        <w:ind w:left="2517" w:leftChars="326" w:hanging="1800" w:hangingChars="500"/>
        <w:rPr>
          <w:rFonts w:ascii="Times New Roman" w:hAnsi="Times New Roman" w:eastAsia="仿宋" w:cs="Times New Roman"/>
          <w:sz w:val="36"/>
          <w:u w:val="single"/>
          <w:lang w:val="en-US"/>
        </w:rPr>
      </w:pPr>
      <w:bookmarkStart w:id="2" w:name="_Toc18122"/>
      <w:r>
        <w:rPr>
          <w:rFonts w:ascii="Times New Roman" w:hAnsi="Times New Roman" w:eastAsia="仿宋" w:cs="Times New Roman"/>
          <w:sz w:val="36"/>
        </w:rPr>
        <w:t>项目名称：</w:t>
      </w:r>
      <w:bookmarkEnd w:id="2"/>
      <w:r>
        <w:rPr>
          <w:rFonts w:ascii="Times New Roman" w:hAnsi="Times New Roman" w:eastAsia="仿宋" w:cs="Times New Roman"/>
          <w:sz w:val="36"/>
          <w:u w:val="single"/>
        </w:rPr>
        <w:t>内蒙古</w:t>
      </w:r>
      <w:r>
        <w:rPr>
          <w:rFonts w:hint="eastAsia" w:ascii="Times New Roman" w:hAnsi="Times New Roman" w:eastAsia="仿宋" w:cs="Times New Roman"/>
          <w:sz w:val="36"/>
          <w:u w:val="single"/>
          <w:lang w:val="en-US" w:eastAsia="zh-CN"/>
        </w:rPr>
        <w:t>鄂尔多斯市伊金霍洛旗札萨克镇鑫海洗煤厂配套储煤棚扩建</w:t>
      </w:r>
      <w:r>
        <w:rPr>
          <w:rFonts w:ascii="Times New Roman" w:hAnsi="Times New Roman" w:eastAsia="仿宋" w:cs="Times New Roman"/>
          <w:sz w:val="36"/>
          <w:u w:val="single"/>
        </w:rPr>
        <w:t>项目</w:t>
      </w:r>
      <w:r>
        <w:rPr>
          <w:rFonts w:hint="eastAsia" w:ascii="Times New Roman" w:hAnsi="Times New Roman" w:eastAsia="仿宋" w:cs="Times New Roman"/>
          <w:sz w:val="36"/>
          <w:u w:val="single"/>
          <w:lang w:val="en-US"/>
        </w:rPr>
        <w:t xml:space="preserve"> </w:t>
      </w:r>
      <w:r>
        <w:rPr>
          <w:rFonts w:hint="eastAsia" w:ascii="Times New Roman" w:hAnsi="Times New Roman" w:eastAsia="仿宋" w:cs="Times New Roman"/>
          <w:sz w:val="36"/>
          <w:u w:val="single"/>
          <w:lang w:val="en-US" w:eastAsia="zh-CN"/>
        </w:rPr>
        <w:t xml:space="preserve">                             </w:t>
      </w:r>
      <w:r>
        <w:rPr>
          <w:rFonts w:hint="eastAsia" w:ascii="Times New Roman" w:hAnsi="Times New Roman" w:eastAsia="仿宋" w:cs="Times New Roman"/>
          <w:sz w:val="36"/>
          <w:u w:val="single"/>
          <w:lang w:val="en-US"/>
        </w:rPr>
        <w:t xml:space="preserve"> </w:t>
      </w:r>
    </w:p>
    <w:p w14:paraId="6747F8E1">
      <w:pPr>
        <w:tabs>
          <w:tab w:val="left" w:pos="4999"/>
          <w:tab w:val="left" w:pos="9925"/>
        </w:tabs>
        <w:spacing w:before="98" w:line="600" w:lineRule="exact"/>
        <w:ind w:right="200" w:firstLine="720" w:firstLineChars="200"/>
        <w:jc w:val="both"/>
        <w:rPr>
          <w:rFonts w:ascii="Times New Roman" w:hAnsi="Times New Roman" w:eastAsia="仿宋" w:cs="Times New Roman"/>
          <w:sz w:val="36"/>
          <w:u w:val="single"/>
          <w:lang w:val="en-US"/>
        </w:rPr>
      </w:pPr>
      <w:r>
        <w:rPr>
          <w:rFonts w:ascii="Times New Roman" w:hAnsi="Times New Roman" w:eastAsia="仿宋" w:cs="Times New Roman"/>
          <w:sz w:val="36"/>
        </w:rPr>
        <w:t>建设单位：</w:t>
      </w:r>
      <w:r>
        <w:rPr>
          <w:rFonts w:hint="eastAsia" w:ascii="Times New Roman" w:hAnsi="Times New Roman" w:eastAsia="仿宋" w:cs="Times New Roman"/>
          <w:sz w:val="36"/>
          <w:u w:val="single"/>
          <w:lang w:val="en-US" w:eastAsia="zh-CN"/>
        </w:rPr>
        <w:t xml:space="preserve">  伊金霍洛旗鑫海洗煤厂（普通合伙）</w:t>
      </w:r>
      <w:r>
        <w:rPr>
          <w:rFonts w:ascii="Times New Roman" w:hAnsi="Times New Roman" w:eastAsia="仿宋" w:cs="Times New Roman"/>
          <w:sz w:val="36"/>
          <w:u w:val="single"/>
          <w:lang w:val="en-US"/>
        </w:rPr>
        <w:t xml:space="preserve"> </w:t>
      </w:r>
      <w:r>
        <w:rPr>
          <w:rFonts w:hint="eastAsia" w:ascii="Times New Roman" w:hAnsi="Times New Roman" w:eastAsia="仿宋" w:cs="Times New Roman"/>
          <w:sz w:val="36"/>
          <w:u w:val="single"/>
          <w:lang w:val="en-US"/>
        </w:rPr>
        <w:t xml:space="preserve">   </w:t>
      </w:r>
      <w:r>
        <w:rPr>
          <w:rFonts w:hint="eastAsia" w:ascii="Times New Roman" w:hAnsi="Times New Roman" w:eastAsia="仿宋" w:cs="Times New Roman"/>
          <w:sz w:val="36"/>
          <w:u w:val="single"/>
          <w:lang w:val="en-US" w:eastAsia="zh-CN"/>
        </w:rPr>
        <w:t xml:space="preserve">    </w:t>
      </w:r>
      <w:r>
        <w:rPr>
          <w:rFonts w:ascii="Times New Roman" w:hAnsi="Times New Roman" w:eastAsia="仿宋" w:cs="Times New Roman"/>
          <w:sz w:val="36"/>
          <w:u w:val="single"/>
          <w:lang w:val="en-US"/>
        </w:rPr>
        <w:t xml:space="preserve">         </w:t>
      </w:r>
    </w:p>
    <w:p w14:paraId="32E8E4C2">
      <w:pPr>
        <w:tabs>
          <w:tab w:val="left" w:pos="4999"/>
          <w:tab w:val="left" w:pos="9925"/>
        </w:tabs>
        <w:spacing w:before="98" w:line="600" w:lineRule="exact"/>
        <w:ind w:right="200" w:firstLine="720" w:firstLineChars="200"/>
        <w:rPr>
          <w:rFonts w:ascii="Times New Roman" w:hAnsi="Times New Roman" w:eastAsia="仿宋" w:cs="Times New Roman"/>
          <w:sz w:val="36"/>
          <w:u w:val="single"/>
          <w:lang w:val="en-US"/>
        </w:rPr>
      </w:pPr>
      <w:r>
        <w:rPr>
          <w:rFonts w:ascii="Times New Roman" w:hAnsi="Times New Roman" w:eastAsia="仿宋" w:cs="Times New Roman"/>
          <w:sz w:val="36"/>
        </w:rPr>
        <w:t>编制日期：</w:t>
      </w:r>
      <w:r>
        <w:rPr>
          <w:rFonts w:ascii="Times New Roman" w:hAnsi="Times New Roman" w:eastAsia="仿宋" w:cs="Times New Roman"/>
          <w:sz w:val="36"/>
          <w:u w:val="single"/>
          <w:lang w:val="en-US"/>
        </w:rPr>
        <w:t xml:space="preserve">    </w:t>
      </w:r>
      <w:r>
        <w:rPr>
          <w:rFonts w:hint="eastAsia" w:ascii="Times New Roman" w:hAnsi="Times New Roman" w:eastAsia="仿宋" w:cs="Times New Roman"/>
          <w:sz w:val="36"/>
          <w:u w:val="single"/>
          <w:lang w:val="en-US"/>
        </w:rPr>
        <w:t xml:space="preserve">  </w:t>
      </w:r>
      <w:r>
        <w:rPr>
          <w:rFonts w:ascii="Times New Roman" w:hAnsi="Times New Roman" w:eastAsia="仿宋" w:cs="Times New Roman"/>
          <w:color w:val="auto"/>
          <w:sz w:val="36"/>
          <w:u w:val="single"/>
          <w:lang w:val="en-US"/>
        </w:rPr>
        <w:t xml:space="preserve"> </w:t>
      </w:r>
      <w:r>
        <w:rPr>
          <w:rFonts w:ascii="Times New Roman" w:hAnsi="Times New Roman" w:eastAsia="仿宋" w:cs="Times New Roman"/>
          <w:color w:val="auto"/>
          <w:sz w:val="36"/>
          <w:u w:val="single"/>
        </w:rPr>
        <w:t>202</w:t>
      </w:r>
      <w:r>
        <w:rPr>
          <w:rFonts w:hint="eastAsia" w:ascii="Times New Roman" w:hAnsi="Times New Roman" w:eastAsia="仿宋" w:cs="Times New Roman"/>
          <w:color w:val="auto"/>
          <w:sz w:val="36"/>
          <w:u w:val="single"/>
          <w:lang w:val="en-US"/>
        </w:rPr>
        <w:t>5</w:t>
      </w:r>
      <w:r>
        <w:rPr>
          <w:rFonts w:ascii="Times New Roman" w:hAnsi="Times New Roman" w:eastAsia="仿宋" w:cs="Times New Roman"/>
          <w:color w:val="auto"/>
          <w:sz w:val="36"/>
          <w:u w:val="single"/>
        </w:rPr>
        <w:t>年</w:t>
      </w:r>
      <w:r>
        <w:rPr>
          <w:rFonts w:hint="eastAsia" w:ascii="Times New Roman" w:hAnsi="Times New Roman" w:eastAsia="仿宋" w:cs="Times New Roman"/>
          <w:color w:val="auto"/>
          <w:sz w:val="36"/>
          <w:u w:val="single"/>
          <w:lang w:val="en-US" w:eastAsia="zh-CN"/>
        </w:rPr>
        <w:t>7</w:t>
      </w:r>
      <w:r>
        <w:rPr>
          <w:rFonts w:ascii="Times New Roman" w:hAnsi="Times New Roman" w:eastAsia="仿宋" w:cs="Times New Roman"/>
          <w:color w:val="auto"/>
          <w:sz w:val="36"/>
          <w:u w:val="single"/>
          <w:lang w:val="en-US"/>
        </w:rPr>
        <w:t xml:space="preserve">月  </w:t>
      </w:r>
      <w:r>
        <w:rPr>
          <w:rFonts w:ascii="Times New Roman" w:hAnsi="Times New Roman" w:eastAsia="仿宋" w:cs="Times New Roman"/>
          <w:sz w:val="36"/>
          <w:u w:val="single"/>
          <w:lang w:val="en-US"/>
        </w:rPr>
        <w:t xml:space="preserve">        </w:t>
      </w:r>
      <w:r>
        <w:rPr>
          <w:rFonts w:hint="eastAsia" w:ascii="Times New Roman" w:hAnsi="Times New Roman" w:eastAsia="仿宋" w:cs="Times New Roman"/>
          <w:sz w:val="36"/>
          <w:u w:val="single"/>
          <w:lang w:val="en-US"/>
        </w:rPr>
        <w:t xml:space="preserve">   </w:t>
      </w:r>
      <w:r>
        <w:rPr>
          <w:rFonts w:ascii="Times New Roman" w:hAnsi="Times New Roman" w:eastAsia="仿宋" w:cs="Times New Roman"/>
          <w:sz w:val="36"/>
          <w:u w:val="single"/>
          <w:lang w:val="en-US"/>
        </w:rPr>
        <w:t xml:space="preserve">              </w:t>
      </w:r>
    </w:p>
    <w:p w14:paraId="1D7BFC48">
      <w:pPr>
        <w:pStyle w:val="11"/>
        <w:rPr>
          <w:rFonts w:ascii="Times New Roman" w:hAnsi="Times New Roman" w:cs="Times New Roman"/>
          <w:sz w:val="20"/>
        </w:rPr>
      </w:pPr>
    </w:p>
    <w:p w14:paraId="266DCB45">
      <w:pPr>
        <w:pStyle w:val="11"/>
        <w:rPr>
          <w:rFonts w:ascii="Times New Roman" w:hAnsi="Times New Roman" w:cs="Times New Roman"/>
          <w:sz w:val="20"/>
        </w:rPr>
      </w:pPr>
    </w:p>
    <w:p w14:paraId="6FFCE146">
      <w:pPr>
        <w:pStyle w:val="11"/>
        <w:rPr>
          <w:rFonts w:ascii="Times New Roman" w:hAnsi="Times New Roman" w:cs="Times New Roman"/>
          <w:sz w:val="20"/>
        </w:rPr>
      </w:pPr>
    </w:p>
    <w:p w14:paraId="58FF494D">
      <w:pPr>
        <w:pStyle w:val="11"/>
        <w:rPr>
          <w:rFonts w:ascii="Times New Roman" w:hAnsi="Times New Roman" w:cs="Times New Roman"/>
          <w:sz w:val="20"/>
        </w:rPr>
      </w:pPr>
    </w:p>
    <w:p w14:paraId="5AE8A400">
      <w:pPr>
        <w:pStyle w:val="11"/>
        <w:rPr>
          <w:rFonts w:ascii="Times New Roman" w:hAnsi="Times New Roman" w:cs="Times New Roman"/>
          <w:sz w:val="20"/>
        </w:rPr>
      </w:pPr>
    </w:p>
    <w:p w14:paraId="3064D042">
      <w:pPr>
        <w:pStyle w:val="11"/>
        <w:rPr>
          <w:rFonts w:ascii="Times New Roman" w:hAnsi="Times New Roman" w:cs="Times New Roman"/>
          <w:sz w:val="20"/>
        </w:rPr>
      </w:pPr>
    </w:p>
    <w:p w14:paraId="5A464304">
      <w:pPr>
        <w:pStyle w:val="11"/>
        <w:rPr>
          <w:rFonts w:ascii="Times New Roman" w:hAnsi="Times New Roman" w:cs="Times New Roman"/>
          <w:sz w:val="20"/>
        </w:rPr>
      </w:pPr>
    </w:p>
    <w:p w14:paraId="53B1F39E">
      <w:pPr>
        <w:pStyle w:val="11"/>
        <w:rPr>
          <w:rFonts w:ascii="Times New Roman" w:hAnsi="Times New Roman" w:cs="Times New Roman"/>
          <w:sz w:val="20"/>
        </w:rPr>
      </w:pPr>
    </w:p>
    <w:p w14:paraId="26451392">
      <w:pPr>
        <w:pStyle w:val="11"/>
        <w:rPr>
          <w:rFonts w:ascii="Times New Roman" w:hAnsi="Times New Roman" w:cs="Times New Roman"/>
          <w:sz w:val="20"/>
        </w:rPr>
      </w:pPr>
    </w:p>
    <w:p w14:paraId="5351CCCE">
      <w:pPr>
        <w:pStyle w:val="11"/>
        <w:rPr>
          <w:rFonts w:ascii="Times New Roman" w:hAnsi="Times New Roman" w:cs="Times New Roman"/>
          <w:sz w:val="20"/>
        </w:rPr>
      </w:pPr>
    </w:p>
    <w:p w14:paraId="0D70BF7A">
      <w:pPr>
        <w:pStyle w:val="11"/>
        <w:spacing w:before="1"/>
        <w:rPr>
          <w:rFonts w:ascii="Times New Roman" w:hAnsi="Times New Roman" w:cs="Times New Roman"/>
          <w:sz w:val="15"/>
        </w:rPr>
      </w:pPr>
    </w:p>
    <w:p w14:paraId="35FBAF09">
      <w:pPr>
        <w:pStyle w:val="6"/>
        <w:ind w:firstLine="720"/>
        <w:jc w:val="center"/>
        <w:rPr>
          <w:rFonts w:ascii="Times New Roman" w:hAnsi="Times New Roman" w:eastAsia="楷体" w:cs="Times New Roman"/>
          <w:sz w:val="36"/>
        </w:rPr>
      </w:pPr>
      <w:bookmarkStart w:id="3" w:name="_Toc25677"/>
      <w:r>
        <w:rPr>
          <w:rFonts w:ascii="Times New Roman" w:hAnsi="Times New Roman" w:eastAsia="楷体" w:cs="Times New Roman"/>
          <w:sz w:val="36"/>
        </w:rPr>
        <w:t>中华人民共和国生态环境部制</w:t>
      </w:r>
      <w:bookmarkEnd w:id="3"/>
    </w:p>
    <w:p w14:paraId="4E1B2B1D">
      <w:pPr>
        <w:pStyle w:val="27"/>
        <w:ind w:left="440" w:firstLine="720"/>
        <w:rPr>
          <w:rFonts w:eastAsia="楷体" w:cs="Times New Roman"/>
          <w:sz w:val="36"/>
        </w:rPr>
      </w:pPr>
    </w:p>
    <w:p w14:paraId="2DD9B015">
      <w:pPr>
        <w:rPr>
          <w:rFonts w:ascii="Times New Roman" w:hAnsi="Times New Roman" w:eastAsia="楷体" w:cs="Times New Roman"/>
          <w:sz w:val="36"/>
        </w:rPr>
      </w:pPr>
    </w:p>
    <w:p w14:paraId="41692852">
      <w:pPr>
        <w:pStyle w:val="27"/>
        <w:ind w:left="440" w:firstLine="720"/>
        <w:rPr>
          <w:rFonts w:eastAsia="楷体" w:cs="Times New Roman"/>
          <w:sz w:val="36"/>
        </w:rPr>
      </w:pPr>
    </w:p>
    <w:p w14:paraId="2BC5FAD2">
      <w:pPr>
        <w:pStyle w:val="27"/>
        <w:ind w:left="440" w:firstLine="720"/>
        <w:rPr>
          <w:rFonts w:eastAsia="楷体" w:cs="Times New Roman"/>
          <w:sz w:val="36"/>
        </w:rPr>
      </w:pPr>
    </w:p>
    <w:p w14:paraId="5C750526">
      <w:pPr>
        <w:rPr>
          <w:rFonts w:ascii="Times New Roman" w:hAnsi="Times New Roman" w:eastAsia="楷体" w:cs="Times New Roman"/>
          <w:sz w:val="36"/>
        </w:rPr>
      </w:pPr>
    </w:p>
    <w:p w14:paraId="26B8ED2B">
      <w:pPr>
        <w:pStyle w:val="27"/>
        <w:spacing w:after="0" w:line="240" w:lineRule="auto"/>
        <w:ind w:left="0" w:leftChars="0" w:firstLine="0" w:firstLineChars="0"/>
        <w:jc w:val="center"/>
        <w:rPr>
          <w:rFonts w:cs="Times New Roman"/>
        </w:rPr>
        <w:sectPr>
          <w:footerReference r:id="rId3" w:type="default"/>
          <w:footerReference r:id="rId4" w:type="even"/>
          <w:pgSz w:w="11910" w:h="16840"/>
          <w:pgMar w:top="1440" w:right="879" w:bottom="1219" w:left="901" w:header="720" w:footer="1043" w:gutter="0"/>
          <w:pgNumType w:start="3"/>
          <w:cols w:space="720" w:num="1"/>
        </w:sectPr>
      </w:pPr>
    </w:p>
    <w:p w14:paraId="1EFA746D">
      <w:pPr>
        <w:pStyle w:val="3"/>
        <w:rPr>
          <w:rFonts w:ascii="Times New Roman" w:hAnsi="Times New Roman" w:cs="Times New Roman"/>
          <w:sz w:val="22"/>
        </w:rPr>
      </w:pPr>
      <w:bookmarkStart w:id="4" w:name="一、建设项目基本情况"/>
      <w:bookmarkEnd w:id="4"/>
      <w:bookmarkStart w:id="5" w:name="_Toc11905"/>
      <w:bookmarkStart w:id="6" w:name="_Toc27412"/>
      <w:r>
        <w:rPr>
          <w:rFonts w:ascii="Times New Roman" w:hAnsi="Times New Roman" w:cs="Times New Roman"/>
        </w:rPr>
        <w:t>一、建设项目基本情况</w:t>
      </w:r>
      <w:bookmarkEnd w:id="5"/>
      <w:bookmarkEnd w:id="6"/>
    </w:p>
    <w:tbl>
      <w:tblPr>
        <w:tblStyle w:val="28"/>
        <w:tblW w:w="10002"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862"/>
        <w:gridCol w:w="2730"/>
        <w:gridCol w:w="2385"/>
        <w:gridCol w:w="3025"/>
      </w:tblGrid>
      <w:tr w14:paraId="4AEA006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0" w:hRule="atLeast"/>
        </w:trPr>
        <w:tc>
          <w:tcPr>
            <w:tcW w:w="1862" w:type="dxa"/>
            <w:tcBorders>
              <w:bottom w:val="single" w:color="000000" w:sz="4" w:space="0"/>
              <w:right w:val="single" w:color="000000" w:sz="4" w:space="0"/>
            </w:tcBorders>
            <w:vAlign w:val="center"/>
          </w:tcPr>
          <w:p w14:paraId="6C814C3F">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建设项目名称</w:t>
            </w:r>
          </w:p>
        </w:tc>
        <w:tc>
          <w:tcPr>
            <w:tcW w:w="8140" w:type="dxa"/>
            <w:gridSpan w:val="3"/>
            <w:tcBorders>
              <w:left w:val="single" w:color="000000" w:sz="4" w:space="0"/>
              <w:bottom w:val="single" w:color="000000" w:sz="4" w:space="0"/>
            </w:tcBorders>
            <w:vAlign w:val="center"/>
          </w:tcPr>
          <w:p w14:paraId="5960F242">
            <w:pPr>
              <w:keepLines/>
              <w:wordWrap w:val="0"/>
              <w:topLinePunct/>
              <w:autoSpaceDE/>
              <w:autoSpaceDN/>
              <w:spacing w:line="500" w:lineRule="exact"/>
              <w:jc w:val="cente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内蒙古鄂尔多斯市伊金霍洛旗札萨克镇鑫海洗煤厂配套储煤棚扩建项目</w:t>
            </w:r>
          </w:p>
        </w:tc>
      </w:tr>
      <w:tr w14:paraId="10B64E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5" w:hRule="atLeast"/>
        </w:trPr>
        <w:tc>
          <w:tcPr>
            <w:tcW w:w="1862" w:type="dxa"/>
            <w:tcBorders>
              <w:top w:val="single" w:color="000000" w:sz="4" w:space="0"/>
              <w:bottom w:val="single" w:color="000000" w:sz="4" w:space="0"/>
              <w:right w:val="single" w:color="000000" w:sz="4" w:space="0"/>
            </w:tcBorders>
            <w:vAlign w:val="center"/>
          </w:tcPr>
          <w:p w14:paraId="1A068D15">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项目代码</w:t>
            </w:r>
          </w:p>
        </w:tc>
        <w:tc>
          <w:tcPr>
            <w:tcW w:w="8140" w:type="dxa"/>
            <w:gridSpan w:val="3"/>
            <w:tcBorders>
              <w:top w:val="single" w:color="000000" w:sz="4" w:space="0"/>
              <w:left w:val="single" w:color="000000" w:sz="4" w:space="0"/>
              <w:bottom w:val="single" w:color="000000" w:sz="4" w:space="0"/>
            </w:tcBorders>
            <w:vAlign w:val="center"/>
          </w:tcPr>
          <w:p w14:paraId="144238D5">
            <w:pPr>
              <w:keepLines/>
              <w:wordWrap w:val="0"/>
              <w:topLinePunct/>
              <w:autoSpaceDE/>
              <w:autoSpaceDN/>
              <w:spacing w:line="500" w:lineRule="exact"/>
              <w:jc w:val="cente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w:t>
            </w:r>
          </w:p>
        </w:tc>
      </w:tr>
      <w:tr w14:paraId="13D672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1862" w:type="dxa"/>
            <w:tcBorders>
              <w:top w:val="single" w:color="000000" w:sz="4" w:space="0"/>
              <w:bottom w:val="single" w:color="000000" w:sz="4" w:space="0"/>
              <w:right w:val="single" w:color="000000" w:sz="4" w:space="0"/>
            </w:tcBorders>
            <w:vAlign w:val="center"/>
          </w:tcPr>
          <w:p w14:paraId="46E3CCF7">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建设单位联系人</w:t>
            </w:r>
          </w:p>
        </w:tc>
        <w:tc>
          <w:tcPr>
            <w:tcW w:w="2730" w:type="dxa"/>
            <w:tcBorders>
              <w:top w:val="single" w:color="000000" w:sz="4" w:space="0"/>
              <w:left w:val="single" w:color="000000" w:sz="4" w:space="0"/>
              <w:bottom w:val="single" w:color="000000" w:sz="4" w:space="0"/>
              <w:right w:val="single" w:color="000000" w:sz="4" w:space="0"/>
            </w:tcBorders>
            <w:vAlign w:val="center"/>
          </w:tcPr>
          <w:p w14:paraId="5419DB7E">
            <w:pPr>
              <w:spacing w:line="500" w:lineRule="exact"/>
              <w:jc w:val="center"/>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李永林</w:t>
            </w:r>
          </w:p>
        </w:tc>
        <w:tc>
          <w:tcPr>
            <w:tcW w:w="2385" w:type="dxa"/>
            <w:tcBorders>
              <w:top w:val="single" w:color="000000" w:sz="4" w:space="0"/>
              <w:left w:val="single" w:color="000000" w:sz="4" w:space="0"/>
              <w:bottom w:val="single" w:color="000000" w:sz="4" w:space="0"/>
              <w:right w:val="single" w:color="000000" w:sz="4" w:space="0"/>
            </w:tcBorders>
            <w:vAlign w:val="center"/>
          </w:tcPr>
          <w:p w14:paraId="0D43428B">
            <w:pPr>
              <w:spacing w:line="500" w:lineRule="exact"/>
              <w:jc w:val="center"/>
              <w:rPr>
                <w:rFonts w:ascii="Times New Roman" w:hAnsi="Times New Roman" w:cs="Times New Roman"/>
                <w:sz w:val="24"/>
              </w:rPr>
            </w:pPr>
            <w:r>
              <w:rPr>
                <w:rFonts w:ascii="Times New Roman" w:hAnsi="Times New Roman" w:cs="Times New Roman"/>
                <w:sz w:val="24"/>
              </w:rPr>
              <w:t>联系方式</w:t>
            </w:r>
          </w:p>
        </w:tc>
        <w:tc>
          <w:tcPr>
            <w:tcW w:w="3025" w:type="dxa"/>
            <w:tcBorders>
              <w:top w:val="single" w:color="000000" w:sz="4" w:space="0"/>
              <w:left w:val="single" w:color="000000" w:sz="4" w:space="0"/>
              <w:bottom w:val="single" w:color="000000" w:sz="4" w:space="0"/>
            </w:tcBorders>
            <w:vAlign w:val="center"/>
          </w:tcPr>
          <w:p w14:paraId="0181619F">
            <w:pPr>
              <w:spacing w:line="500" w:lineRule="exact"/>
              <w:jc w:val="center"/>
              <w:rPr>
                <w:rFonts w:hint="default" w:ascii="Times New Roman" w:hAnsi="Times New Roman" w:eastAsia="宋体" w:cs="Times New Roman"/>
                <w:sz w:val="24"/>
                <w:lang w:val="en-US" w:eastAsia="zh-CN"/>
              </w:rPr>
            </w:pPr>
            <w:r>
              <w:rPr>
                <w:rFonts w:hint="eastAsia" w:ascii="Times New Roman" w:hAnsi="Times New Roman" w:cs="Times New Roman"/>
                <w:sz w:val="24"/>
                <w:lang w:val="en-US"/>
              </w:rPr>
              <w:t>13</w:t>
            </w:r>
            <w:r>
              <w:rPr>
                <w:rFonts w:hint="eastAsia" w:ascii="Times New Roman" w:hAnsi="Times New Roman" w:cs="Times New Roman"/>
                <w:sz w:val="24"/>
                <w:lang w:val="en-US" w:eastAsia="zh-CN"/>
              </w:rPr>
              <w:t>296968588</w:t>
            </w:r>
          </w:p>
        </w:tc>
      </w:tr>
      <w:tr w14:paraId="36C01D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1862" w:type="dxa"/>
            <w:tcBorders>
              <w:top w:val="single" w:color="000000" w:sz="4" w:space="0"/>
              <w:bottom w:val="single" w:color="000000" w:sz="4" w:space="0"/>
              <w:right w:val="single" w:color="000000" w:sz="4" w:space="0"/>
            </w:tcBorders>
            <w:vAlign w:val="center"/>
          </w:tcPr>
          <w:p w14:paraId="6A754131">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建设地点</w:t>
            </w:r>
          </w:p>
        </w:tc>
        <w:tc>
          <w:tcPr>
            <w:tcW w:w="8140" w:type="dxa"/>
            <w:gridSpan w:val="3"/>
            <w:tcBorders>
              <w:top w:val="single" w:color="000000" w:sz="4" w:space="0"/>
              <w:left w:val="single" w:color="000000" w:sz="4" w:space="0"/>
              <w:bottom w:val="single" w:color="000000" w:sz="4" w:space="0"/>
            </w:tcBorders>
            <w:vAlign w:val="center"/>
          </w:tcPr>
          <w:p w14:paraId="7C54A867">
            <w:pPr>
              <w:keepLines/>
              <w:wordWrap w:val="0"/>
              <w:topLinePunct/>
              <w:autoSpaceDE/>
              <w:autoSpaceDN/>
              <w:spacing w:line="500" w:lineRule="exact"/>
              <w:jc w:val="center"/>
              <w:rPr>
                <w:rFonts w:hint="default" w:ascii="Times New Roman" w:hAnsi="Times New Roman" w:eastAsia="宋体" w:cs="Times New Roman"/>
                <w:sz w:val="24"/>
                <w:lang w:val="en-US" w:eastAsia="zh-CN"/>
              </w:rPr>
            </w:pPr>
            <w:r>
              <w:rPr>
                <w:rFonts w:hint="eastAsia" w:ascii="Times New Roman" w:hAnsi="Times New Roman" w:cs="Times New Roman"/>
                <w:sz w:val="24"/>
                <w:lang w:val="en-US" w:eastAsia="zh-CN"/>
              </w:rPr>
              <w:t>鄂尔多斯市伊金霍洛旗札萨克镇哈日木河村</w:t>
            </w:r>
          </w:p>
        </w:tc>
      </w:tr>
      <w:tr w14:paraId="71DF46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1862" w:type="dxa"/>
            <w:tcBorders>
              <w:top w:val="single" w:color="000000" w:sz="4" w:space="0"/>
              <w:bottom w:val="single" w:color="000000" w:sz="4" w:space="0"/>
              <w:right w:val="single" w:color="000000" w:sz="4" w:space="0"/>
            </w:tcBorders>
            <w:vAlign w:val="center"/>
          </w:tcPr>
          <w:p w14:paraId="67F363A5">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地理坐标</w:t>
            </w:r>
          </w:p>
        </w:tc>
        <w:tc>
          <w:tcPr>
            <w:tcW w:w="8140" w:type="dxa"/>
            <w:gridSpan w:val="3"/>
            <w:tcBorders>
              <w:top w:val="single" w:color="000000" w:sz="4" w:space="0"/>
              <w:left w:val="single" w:color="000000" w:sz="4" w:space="0"/>
              <w:bottom w:val="single" w:color="000000" w:sz="4" w:space="0"/>
            </w:tcBorders>
            <w:vAlign w:val="center"/>
          </w:tcPr>
          <w:p w14:paraId="08CD44E9">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rPr>
              <w:t>N：</w:t>
            </w:r>
            <w:r>
              <w:rPr>
                <w:rFonts w:ascii="Times New Roman" w:hAnsi="Times New Roman" w:cs="Times New Roman"/>
                <w:sz w:val="24"/>
                <w:u w:val="single"/>
              </w:rPr>
              <w:t xml:space="preserve"> </w:t>
            </w:r>
            <w:r>
              <w:rPr>
                <w:rFonts w:hint="eastAsia" w:ascii="Times New Roman" w:hAnsi="Times New Roman" w:cs="Times New Roman"/>
                <w:sz w:val="24"/>
                <w:u w:val="single"/>
                <w:lang w:val="en-US"/>
              </w:rPr>
              <w:t>39</w:t>
            </w:r>
            <w:r>
              <w:rPr>
                <w:rFonts w:ascii="Times New Roman" w:hAnsi="Times New Roman" w:cs="Times New Roman"/>
                <w:sz w:val="24"/>
                <w:u w:val="single"/>
              </w:rPr>
              <w:t xml:space="preserve"> </w:t>
            </w:r>
            <w:r>
              <w:rPr>
                <w:rFonts w:ascii="Times New Roman" w:hAnsi="Times New Roman" w:cs="Times New Roman"/>
                <w:sz w:val="24"/>
              </w:rPr>
              <w:t>度</w:t>
            </w:r>
            <w:r>
              <w:rPr>
                <w:rFonts w:hint="eastAsia" w:ascii="Times New Roman" w:hAnsi="Times New Roman" w:cs="Times New Roman"/>
                <w:sz w:val="24"/>
                <w:u w:val="single"/>
                <w:lang w:val="en-US" w:eastAsia="zh-CN"/>
              </w:rPr>
              <w:t>13</w:t>
            </w:r>
            <w:r>
              <w:rPr>
                <w:rFonts w:ascii="Times New Roman" w:hAnsi="Times New Roman" w:cs="Times New Roman"/>
                <w:sz w:val="24"/>
              </w:rPr>
              <w:t>分</w:t>
            </w:r>
            <w:r>
              <w:rPr>
                <w:rFonts w:hint="eastAsia" w:ascii="Times New Roman" w:hAnsi="Times New Roman" w:cs="Times New Roman"/>
                <w:sz w:val="24"/>
                <w:u w:val="single"/>
                <w:lang w:val="en-US" w:eastAsia="zh-CN"/>
              </w:rPr>
              <w:t>31.34</w:t>
            </w:r>
            <w:r>
              <w:rPr>
                <w:rFonts w:ascii="Times New Roman" w:hAnsi="Times New Roman" w:cs="Times New Roman"/>
                <w:sz w:val="24"/>
              </w:rPr>
              <w:t>秒，E：</w:t>
            </w:r>
            <w:r>
              <w:rPr>
                <w:rFonts w:ascii="Times New Roman" w:hAnsi="Times New Roman" w:cs="Times New Roman"/>
                <w:sz w:val="24"/>
                <w:u w:val="single"/>
              </w:rPr>
              <w:t>1</w:t>
            </w:r>
            <w:r>
              <w:rPr>
                <w:rFonts w:hint="eastAsia" w:ascii="Times New Roman" w:hAnsi="Times New Roman" w:cs="Times New Roman"/>
                <w:sz w:val="24"/>
                <w:u w:val="single"/>
                <w:lang w:val="en-US" w:eastAsia="zh-CN"/>
              </w:rPr>
              <w:t>09</w:t>
            </w:r>
            <w:r>
              <w:rPr>
                <w:rFonts w:ascii="Times New Roman" w:hAnsi="Times New Roman" w:cs="Times New Roman"/>
                <w:sz w:val="24"/>
              </w:rPr>
              <w:t>度</w:t>
            </w:r>
            <w:r>
              <w:rPr>
                <w:rFonts w:hint="eastAsia" w:ascii="Times New Roman" w:hAnsi="Times New Roman" w:cs="Times New Roman"/>
                <w:sz w:val="24"/>
                <w:u w:val="single"/>
                <w:lang w:val="en-US" w:eastAsia="zh-CN"/>
              </w:rPr>
              <w:t>49</w:t>
            </w:r>
            <w:r>
              <w:rPr>
                <w:rFonts w:ascii="Times New Roman" w:hAnsi="Times New Roman" w:cs="Times New Roman"/>
                <w:sz w:val="24"/>
              </w:rPr>
              <w:t>分</w:t>
            </w:r>
            <w:r>
              <w:rPr>
                <w:rFonts w:hint="eastAsia" w:ascii="Times New Roman" w:hAnsi="Times New Roman" w:cs="Times New Roman"/>
                <w:sz w:val="24"/>
                <w:u w:val="single"/>
                <w:lang w:val="en-US" w:eastAsia="zh-CN"/>
              </w:rPr>
              <w:t>59</w:t>
            </w:r>
            <w:r>
              <w:rPr>
                <w:rFonts w:ascii="Times New Roman" w:hAnsi="Times New Roman" w:cs="Times New Roman"/>
                <w:sz w:val="24"/>
                <w:u w:val="single"/>
                <w:lang w:val="en-US"/>
              </w:rPr>
              <w:t>.</w:t>
            </w:r>
            <w:r>
              <w:rPr>
                <w:rFonts w:hint="eastAsia" w:ascii="Times New Roman" w:hAnsi="Times New Roman" w:cs="Times New Roman"/>
                <w:sz w:val="24"/>
                <w:u w:val="single"/>
                <w:lang w:val="en-US" w:eastAsia="zh-CN"/>
              </w:rPr>
              <w:t>68</w:t>
            </w:r>
            <w:r>
              <w:rPr>
                <w:rFonts w:ascii="Times New Roman" w:hAnsi="Times New Roman" w:cs="Times New Roman"/>
                <w:sz w:val="24"/>
              </w:rPr>
              <w:t>秒</w:t>
            </w:r>
          </w:p>
        </w:tc>
      </w:tr>
      <w:tr w14:paraId="17321F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1862" w:type="dxa"/>
            <w:tcBorders>
              <w:top w:val="single" w:color="000000" w:sz="4" w:space="0"/>
              <w:bottom w:val="single" w:color="000000" w:sz="4" w:space="0"/>
              <w:right w:val="single" w:color="000000" w:sz="4" w:space="0"/>
            </w:tcBorders>
            <w:vAlign w:val="center"/>
          </w:tcPr>
          <w:p w14:paraId="3A85CDB5">
            <w:pPr>
              <w:keepLines/>
              <w:wordWrap w:val="0"/>
              <w:topLinePunct/>
              <w:autoSpaceDE/>
              <w:autoSpaceDN/>
              <w:spacing w:line="50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国民经济行业类别</w:t>
            </w:r>
          </w:p>
        </w:tc>
        <w:tc>
          <w:tcPr>
            <w:tcW w:w="2730" w:type="dxa"/>
            <w:tcBorders>
              <w:top w:val="single" w:color="000000" w:sz="4" w:space="0"/>
              <w:left w:val="single" w:color="000000" w:sz="4" w:space="0"/>
              <w:bottom w:val="single" w:color="000000" w:sz="4" w:space="0"/>
              <w:right w:val="single" w:color="000000" w:sz="4" w:space="0"/>
            </w:tcBorders>
            <w:vAlign w:val="center"/>
          </w:tcPr>
          <w:p w14:paraId="2DBB399B">
            <w:pPr>
              <w:keepLines/>
              <w:wordWrap w:val="0"/>
              <w:topLinePunct/>
              <w:autoSpaceDE/>
              <w:autoSpaceDN/>
              <w:spacing w:line="500" w:lineRule="exact"/>
              <w:jc w:val="center"/>
              <w:rPr>
                <w:rFonts w:hint="default" w:ascii="Times New Roman" w:hAnsi="Times New Roman" w:cs="Times New Roman"/>
                <w:sz w:val="24"/>
                <w:szCs w:val="24"/>
                <w:lang w:val="en-US"/>
              </w:rPr>
            </w:pPr>
            <w:r>
              <w:rPr>
                <w:rFonts w:hint="eastAsia" w:ascii="Times New Roman" w:hAnsi="Times New Roman" w:cs="Times New Roman"/>
                <w:sz w:val="24"/>
                <w:lang w:val="en-US" w:eastAsia="zh-CN"/>
              </w:rPr>
              <w:t>B0610烟煤和无烟煤开采洗选</w:t>
            </w:r>
          </w:p>
        </w:tc>
        <w:tc>
          <w:tcPr>
            <w:tcW w:w="2385" w:type="dxa"/>
            <w:tcBorders>
              <w:top w:val="single" w:color="000000" w:sz="4" w:space="0"/>
              <w:left w:val="single" w:color="000000" w:sz="4" w:space="0"/>
              <w:bottom w:val="single" w:color="000000" w:sz="4" w:space="0"/>
              <w:right w:val="single" w:color="000000" w:sz="4" w:space="0"/>
            </w:tcBorders>
            <w:vAlign w:val="center"/>
          </w:tcPr>
          <w:p w14:paraId="1E147D3B">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建设项目行业类别</w:t>
            </w:r>
          </w:p>
        </w:tc>
        <w:tc>
          <w:tcPr>
            <w:tcW w:w="3025" w:type="dxa"/>
            <w:tcBorders>
              <w:top w:val="single" w:color="000000" w:sz="4" w:space="0"/>
              <w:left w:val="single" w:color="000000" w:sz="4" w:space="0"/>
              <w:bottom w:val="single" w:color="000000" w:sz="4" w:space="0"/>
            </w:tcBorders>
            <w:vAlign w:val="center"/>
          </w:tcPr>
          <w:p w14:paraId="6EAFC2B8">
            <w:pPr>
              <w:keepLines/>
              <w:wordWrap w:val="0"/>
              <w:topLinePunct/>
              <w:autoSpaceDE/>
              <w:autoSpaceDN/>
              <w:spacing w:line="500" w:lineRule="exact"/>
              <w:jc w:val="center"/>
              <w:rPr>
                <w:rFonts w:hint="eastAsia" w:ascii="Times New Roman" w:hAnsi="Times New Roman" w:cs="Times New Roman"/>
                <w:sz w:val="24"/>
                <w:lang w:val="en-US" w:eastAsia="zh-CN"/>
              </w:rPr>
            </w:pPr>
            <w:r>
              <w:rPr>
                <w:rFonts w:ascii="Times New Roman" w:hAnsi="Times New Roman" w:cs="Times New Roman"/>
                <w:sz w:val="24"/>
              </w:rPr>
              <w:t>四、</w:t>
            </w:r>
            <w:r>
              <w:rPr>
                <w:rFonts w:hint="eastAsia" w:ascii="Times New Roman" w:hAnsi="Times New Roman" w:cs="Times New Roman"/>
                <w:sz w:val="24"/>
                <w:lang w:val="en-US" w:eastAsia="zh-CN"/>
              </w:rPr>
              <w:t>煤炭开采和洗选</w:t>
            </w:r>
            <w:r>
              <w:rPr>
                <w:rFonts w:ascii="Times New Roman" w:hAnsi="Times New Roman" w:cs="Times New Roman"/>
                <w:sz w:val="24"/>
              </w:rPr>
              <w:t>业</w:t>
            </w:r>
            <w:r>
              <w:rPr>
                <w:rFonts w:hint="eastAsia" w:ascii="Times New Roman" w:hAnsi="Times New Roman" w:cs="Times New Roman"/>
                <w:sz w:val="24"/>
                <w:lang w:val="en-US" w:eastAsia="zh-CN"/>
              </w:rPr>
              <w:t xml:space="preserve"> 6煤炭洗选、配煤；煤炭储存、</w:t>
            </w:r>
          </w:p>
          <w:p w14:paraId="4CBEB808">
            <w:pPr>
              <w:keepLines/>
              <w:wordWrap w:val="0"/>
              <w:topLinePunct/>
              <w:autoSpaceDE/>
              <w:autoSpaceDN/>
              <w:spacing w:line="500" w:lineRule="exact"/>
              <w:jc w:val="center"/>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集运；风井场地、瓦斯抽放站；</w:t>
            </w:r>
          </w:p>
          <w:p w14:paraId="6DB7779A">
            <w:pPr>
              <w:keepLines/>
              <w:wordWrap w:val="0"/>
              <w:topLinePunct/>
              <w:autoSpaceDE/>
              <w:autoSpaceDN/>
              <w:spacing w:line="500" w:lineRule="exact"/>
              <w:jc w:val="center"/>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矿区修复治理工程（含煤矿火</w:t>
            </w:r>
          </w:p>
          <w:p w14:paraId="4D1F8CA1">
            <w:pPr>
              <w:keepLines/>
              <w:wordWrap w:val="0"/>
              <w:topLinePunct/>
              <w:autoSpaceDE/>
              <w:autoSpaceDN/>
              <w:spacing w:line="500" w:lineRule="exact"/>
              <w:jc w:val="center"/>
              <w:rPr>
                <w:rFonts w:ascii="Times New Roman" w:hAnsi="Times New Roman" w:cs="Times New Roman"/>
                <w:sz w:val="24"/>
                <w:szCs w:val="24"/>
                <w:lang w:val="en-US"/>
              </w:rPr>
            </w:pPr>
            <w:r>
              <w:rPr>
                <w:rFonts w:hint="eastAsia" w:ascii="Times New Roman" w:hAnsi="Times New Roman" w:cs="Times New Roman"/>
                <w:sz w:val="24"/>
                <w:lang w:val="en-US" w:eastAsia="zh-CN"/>
              </w:rPr>
              <w:t>烧区治理工程）</w:t>
            </w:r>
          </w:p>
        </w:tc>
      </w:tr>
      <w:tr w14:paraId="643518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1862" w:type="dxa"/>
            <w:tcBorders>
              <w:top w:val="single" w:color="000000" w:sz="4" w:space="0"/>
              <w:bottom w:val="single" w:color="000000" w:sz="4" w:space="0"/>
              <w:right w:val="single" w:color="000000" w:sz="4" w:space="0"/>
            </w:tcBorders>
            <w:vAlign w:val="center"/>
          </w:tcPr>
          <w:p w14:paraId="738CBF5A">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建设性质</w:t>
            </w:r>
          </w:p>
        </w:tc>
        <w:tc>
          <w:tcPr>
            <w:tcW w:w="2730" w:type="dxa"/>
            <w:tcBorders>
              <w:top w:val="single" w:color="000000" w:sz="4" w:space="0"/>
              <w:left w:val="single" w:color="000000" w:sz="4" w:space="0"/>
              <w:bottom w:val="single" w:color="000000" w:sz="4" w:space="0"/>
              <w:right w:val="single" w:color="000000" w:sz="4" w:space="0"/>
            </w:tcBorders>
            <w:vAlign w:val="center"/>
          </w:tcPr>
          <w:p w14:paraId="6D7536AB">
            <w:pPr>
              <w:keepLines/>
              <w:wordWrap w:val="0"/>
              <w:topLinePunct/>
              <w:autoSpaceDE/>
              <w:autoSpaceDN/>
              <w:spacing w:line="500" w:lineRule="exact"/>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新建（迁建）</w:t>
            </w:r>
          </w:p>
          <w:p w14:paraId="201306DA">
            <w:pPr>
              <w:keepLines/>
              <w:wordWrap w:val="0"/>
              <w:topLinePunct/>
              <w:autoSpaceDE/>
              <w:autoSpaceDN/>
              <w:spacing w:line="500" w:lineRule="exact"/>
              <w:rPr>
                <w:rFonts w:ascii="Times New Roman" w:hAnsi="Times New Roman" w:cs="Times New Roman"/>
                <w:sz w:val="24"/>
                <w:szCs w:val="24"/>
              </w:rPr>
            </w:pPr>
            <w:r>
              <w:rPr>
                <w:rFonts w:ascii="Times New Roman" w:hAnsi="Times New Roman" w:cs="Times New Roman"/>
                <w:sz w:val="24"/>
                <w:szCs w:val="24"/>
              </w:rPr>
              <w:t>□改建</w:t>
            </w:r>
          </w:p>
          <w:p w14:paraId="174FD60B">
            <w:pPr>
              <w:keepLines/>
              <w:wordWrap w:val="0"/>
              <w:topLinePunct/>
              <w:autoSpaceDE/>
              <w:autoSpaceDN/>
              <w:spacing w:line="500" w:lineRule="exact"/>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扩建</w:t>
            </w:r>
          </w:p>
          <w:p w14:paraId="3179D6F6">
            <w:pPr>
              <w:keepLines/>
              <w:wordWrap w:val="0"/>
              <w:topLinePunct/>
              <w:autoSpaceDE/>
              <w:autoSpaceDN/>
              <w:spacing w:line="500" w:lineRule="exact"/>
              <w:rPr>
                <w:rFonts w:ascii="Times New Roman" w:hAnsi="Times New Roman" w:cs="Times New Roman"/>
                <w:sz w:val="24"/>
                <w:szCs w:val="24"/>
              </w:rPr>
            </w:pPr>
            <w:r>
              <w:rPr>
                <w:rFonts w:ascii="Times New Roman" w:hAnsi="Times New Roman" w:cs="Times New Roman"/>
                <w:sz w:val="24"/>
                <w:szCs w:val="24"/>
              </w:rPr>
              <w:t>□技术改造</w:t>
            </w:r>
          </w:p>
        </w:tc>
        <w:tc>
          <w:tcPr>
            <w:tcW w:w="2385" w:type="dxa"/>
            <w:tcBorders>
              <w:top w:val="single" w:color="000000" w:sz="4" w:space="0"/>
              <w:left w:val="single" w:color="000000" w:sz="4" w:space="0"/>
              <w:bottom w:val="single" w:color="000000" w:sz="4" w:space="0"/>
              <w:right w:val="single" w:color="000000" w:sz="4" w:space="0"/>
            </w:tcBorders>
            <w:vAlign w:val="center"/>
          </w:tcPr>
          <w:p w14:paraId="37378772">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建设项目申报情形</w:t>
            </w:r>
          </w:p>
        </w:tc>
        <w:tc>
          <w:tcPr>
            <w:tcW w:w="3025" w:type="dxa"/>
            <w:tcBorders>
              <w:top w:val="single" w:color="000000" w:sz="4" w:space="0"/>
              <w:left w:val="single" w:color="000000" w:sz="4" w:space="0"/>
              <w:bottom w:val="single" w:color="000000" w:sz="4" w:space="0"/>
            </w:tcBorders>
            <w:vAlign w:val="center"/>
          </w:tcPr>
          <w:p w14:paraId="34CBD41A">
            <w:pPr>
              <w:keepLines/>
              <w:wordWrap w:val="0"/>
              <w:topLinePunct/>
              <w:autoSpaceDE/>
              <w:autoSpaceDN/>
              <w:spacing w:line="500" w:lineRule="exact"/>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首次申报项目</w:t>
            </w:r>
          </w:p>
          <w:p w14:paraId="19D29CB1">
            <w:pPr>
              <w:keepLines/>
              <w:wordWrap w:val="0"/>
              <w:topLinePunct/>
              <w:autoSpaceDE/>
              <w:autoSpaceDN/>
              <w:spacing w:line="500" w:lineRule="exact"/>
              <w:rPr>
                <w:rFonts w:ascii="Times New Roman" w:hAnsi="Times New Roman" w:cs="Times New Roman"/>
                <w:sz w:val="24"/>
                <w:szCs w:val="24"/>
              </w:rPr>
            </w:pPr>
            <w:r>
              <w:rPr>
                <w:rFonts w:ascii="Times New Roman" w:hAnsi="Times New Roman" w:cs="Times New Roman"/>
                <w:sz w:val="24"/>
                <w:szCs w:val="24"/>
              </w:rPr>
              <w:t>□不予批准后再次申报项目</w:t>
            </w:r>
          </w:p>
          <w:p w14:paraId="3E909C13">
            <w:pPr>
              <w:keepLines/>
              <w:wordWrap w:val="0"/>
              <w:topLinePunct/>
              <w:autoSpaceDE/>
              <w:autoSpaceDN/>
              <w:spacing w:line="500" w:lineRule="exact"/>
              <w:rPr>
                <w:rFonts w:ascii="Times New Roman" w:hAnsi="Times New Roman" w:cs="Times New Roman"/>
                <w:sz w:val="24"/>
                <w:szCs w:val="24"/>
              </w:rPr>
            </w:pPr>
            <w:r>
              <w:rPr>
                <w:rFonts w:ascii="Times New Roman" w:hAnsi="Times New Roman" w:cs="Times New Roman"/>
                <w:sz w:val="24"/>
                <w:szCs w:val="24"/>
              </w:rPr>
              <w:t>□超五年重新审核项目</w:t>
            </w:r>
          </w:p>
          <w:p w14:paraId="37D2A063">
            <w:pPr>
              <w:keepLines/>
              <w:wordWrap w:val="0"/>
              <w:topLinePunct/>
              <w:autoSpaceDE/>
              <w:autoSpaceDN/>
              <w:spacing w:line="500" w:lineRule="exact"/>
              <w:rPr>
                <w:rFonts w:ascii="Times New Roman" w:hAnsi="Times New Roman" w:cs="Times New Roman"/>
                <w:sz w:val="24"/>
                <w:szCs w:val="24"/>
              </w:rPr>
            </w:pPr>
            <w:r>
              <w:rPr>
                <w:rFonts w:hint="eastAsia" w:ascii="Times New Roman" w:hAnsi="Times New Roman" w:cs="Times New Roman"/>
                <w:sz w:val="24"/>
                <w:szCs w:val="24"/>
                <w:lang w:eastAsia="zh-CN"/>
              </w:rPr>
              <w:t>☑</w:t>
            </w:r>
            <w:r>
              <w:rPr>
                <w:rFonts w:ascii="Times New Roman" w:hAnsi="Times New Roman" w:cs="Times New Roman"/>
                <w:sz w:val="24"/>
                <w:szCs w:val="24"/>
              </w:rPr>
              <w:t>重大变动重新报批项目</w:t>
            </w:r>
          </w:p>
        </w:tc>
      </w:tr>
      <w:tr w14:paraId="64FE6A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1862" w:type="dxa"/>
            <w:tcBorders>
              <w:top w:val="single" w:color="000000" w:sz="4" w:space="0"/>
              <w:bottom w:val="single" w:color="000000" w:sz="4" w:space="0"/>
              <w:right w:val="single" w:color="000000" w:sz="4" w:space="0"/>
            </w:tcBorders>
            <w:vAlign w:val="center"/>
          </w:tcPr>
          <w:p w14:paraId="4E74AA8C">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项目审批（核准/</w:t>
            </w:r>
          </w:p>
          <w:p w14:paraId="1EC21140">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备案）部门（选填）</w:t>
            </w:r>
          </w:p>
        </w:tc>
        <w:tc>
          <w:tcPr>
            <w:tcW w:w="2730" w:type="dxa"/>
            <w:tcBorders>
              <w:top w:val="single" w:color="000000" w:sz="4" w:space="0"/>
              <w:left w:val="single" w:color="000000" w:sz="4" w:space="0"/>
              <w:bottom w:val="single" w:color="000000" w:sz="4" w:space="0"/>
              <w:right w:val="single" w:color="000000" w:sz="4" w:space="0"/>
            </w:tcBorders>
            <w:vAlign w:val="center"/>
          </w:tcPr>
          <w:p w14:paraId="2DAA09CE">
            <w:pPr>
              <w:keepLines/>
              <w:wordWrap w:val="0"/>
              <w:topLinePunct/>
              <w:autoSpaceDE/>
              <w:autoSpaceDN/>
              <w:spacing w:line="50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385" w:type="dxa"/>
            <w:tcBorders>
              <w:top w:val="single" w:color="000000" w:sz="4" w:space="0"/>
              <w:left w:val="single" w:color="000000" w:sz="4" w:space="0"/>
              <w:bottom w:val="single" w:color="000000" w:sz="4" w:space="0"/>
              <w:right w:val="single" w:color="000000" w:sz="4" w:space="0"/>
            </w:tcBorders>
            <w:vAlign w:val="center"/>
          </w:tcPr>
          <w:p w14:paraId="1E607521">
            <w:pPr>
              <w:keepLines/>
              <w:wordWrap w:val="0"/>
              <w:topLinePunct/>
              <w:autoSpaceDE/>
              <w:autoSpaceDN/>
              <w:spacing w:line="500" w:lineRule="exact"/>
              <w:ind w:firstLine="158"/>
              <w:jc w:val="center"/>
              <w:rPr>
                <w:rFonts w:ascii="Times New Roman" w:hAnsi="Times New Roman" w:cs="Times New Roman"/>
                <w:sz w:val="24"/>
                <w:szCs w:val="24"/>
              </w:rPr>
            </w:pPr>
            <w:r>
              <w:rPr>
                <w:rFonts w:ascii="Times New Roman" w:hAnsi="Times New Roman" w:cs="Times New Roman"/>
                <w:sz w:val="24"/>
                <w:szCs w:val="24"/>
              </w:rPr>
              <w:t xml:space="preserve">项目审批（核准/ </w:t>
            </w:r>
          </w:p>
          <w:p w14:paraId="15594DCF">
            <w:pPr>
              <w:keepLines/>
              <w:wordWrap w:val="0"/>
              <w:topLinePunct/>
              <w:autoSpaceDE/>
              <w:autoSpaceDN/>
              <w:spacing w:line="500" w:lineRule="exact"/>
              <w:ind w:firstLine="158"/>
              <w:jc w:val="center"/>
              <w:rPr>
                <w:rFonts w:ascii="Times New Roman" w:hAnsi="Times New Roman" w:cs="Times New Roman"/>
                <w:sz w:val="24"/>
                <w:szCs w:val="24"/>
              </w:rPr>
            </w:pPr>
            <w:r>
              <w:rPr>
                <w:rFonts w:ascii="Times New Roman" w:hAnsi="Times New Roman" w:cs="Times New Roman"/>
                <w:sz w:val="24"/>
                <w:szCs w:val="24"/>
              </w:rPr>
              <w:t>备案）文号（选填）</w:t>
            </w:r>
          </w:p>
        </w:tc>
        <w:tc>
          <w:tcPr>
            <w:tcW w:w="3025" w:type="dxa"/>
            <w:tcBorders>
              <w:top w:val="single" w:color="000000" w:sz="4" w:space="0"/>
              <w:left w:val="single" w:color="000000" w:sz="4" w:space="0"/>
              <w:bottom w:val="single" w:color="000000" w:sz="4" w:space="0"/>
            </w:tcBorders>
            <w:vAlign w:val="center"/>
          </w:tcPr>
          <w:p w14:paraId="670CA781">
            <w:pPr>
              <w:keepLines/>
              <w:wordWrap w:val="0"/>
              <w:topLinePunct/>
              <w:autoSpaceDE/>
              <w:autoSpaceDN/>
              <w:spacing w:line="50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14:paraId="0AF3F0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1862" w:type="dxa"/>
            <w:tcBorders>
              <w:top w:val="single" w:color="000000" w:sz="4" w:space="0"/>
              <w:bottom w:val="single" w:color="000000" w:sz="4" w:space="0"/>
              <w:right w:val="single" w:color="000000" w:sz="4" w:space="0"/>
            </w:tcBorders>
            <w:vAlign w:val="center"/>
          </w:tcPr>
          <w:p w14:paraId="4AA926BF">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总投资（万元）</w:t>
            </w:r>
          </w:p>
        </w:tc>
        <w:tc>
          <w:tcPr>
            <w:tcW w:w="2730" w:type="dxa"/>
            <w:tcBorders>
              <w:top w:val="single" w:color="000000" w:sz="4" w:space="0"/>
              <w:left w:val="single" w:color="000000" w:sz="4" w:space="0"/>
              <w:bottom w:val="single" w:color="000000" w:sz="4" w:space="0"/>
              <w:right w:val="single" w:color="000000" w:sz="4" w:space="0"/>
            </w:tcBorders>
            <w:vAlign w:val="center"/>
          </w:tcPr>
          <w:p w14:paraId="371B605A">
            <w:pPr>
              <w:keepLines/>
              <w:wordWrap w:val="0"/>
              <w:topLinePunct/>
              <w:autoSpaceDE/>
              <w:autoSpaceDN/>
              <w:spacing w:line="500" w:lineRule="exact"/>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438</w:t>
            </w:r>
          </w:p>
        </w:tc>
        <w:tc>
          <w:tcPr>
            <w:tcW w:w="2385" w:type="dxa"/>
            <w:tcBorders>
              <w:top w:val="single" w:color="000000" w:sz="4" w:space="0"/>
              <w:left w:val="single" w:color="000000" w:sz="4" w:space="0"/>
              <w:bottom w:val="single" w:color="000000" w:sz="4" w:space="0"/>
              <w:right w:val="single" w:color="000000" w:sz="4" w:space="0"/>
            </w:tcBorders>
            <w:vAlign w:val="center"/>
          </w:tcPr>
          <w:p w14:paraId="51248708">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环保投资（万元）</w:t>
            </w:r>
          </w:p>
        </w:tc>
        <w:tc>
          <w:tcPr>
            <w:tcW w:w="3025" w:type="dxa"/>
            <w:tcBorders>
              <w:top w:val="single" w:color="000000" w:sz="4" w:space="0"/>
              <w:left w:val="single" w:color="000000" w:sz="4" w:space="0"/>
              <w:bottom w:val="single" w:color="000000" w:sz="4" w:space="0"/>
            </w:tcBorders>
            <w:vAlign w:val="center"/>
          </w:tcPr>
          <w:p w14:paraId="4BC5ADD6">
            <w:pPr>
              <w:keepLines/>
              <w:wordWrap w:val="0"/>
              <w:topLinePunct/>
              <w:autoSpaceDE/>
              <w:autoSpaceDN/>
              <w:spacing w:line="500" w:lineRule="exact"/>
              <w:jc w:val="center"/>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438</w:t>
            </w:r>
          </w:p>
        </w:tc>
      </w:tr>
      <w:tr w14:paraId="1CFB13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1862" w:type="dxa"/>
            <w:tcBorders>
              <w:top w:val="single" w:color="000000" w:sz="4" w:space="0"/>
              <w:bottom w:val="single" w:color="000000" w:sz="4" w:space="0"/>
              <w:right w:val="single" w:color="000000" w:sz="4" w:space="0"/>
            </w:tcBorders>
            <w:vAlign w:val="center"/>
          </w:tcPr>
          <w:p w14:paraId="758CA572">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环保投资占比（%）</w:t>
            </w:r>
          </w:p>
        </w:tc>
        <w:tc>
          <w:tcPr>
            <w:tcW w:w="2730" w:type="dxa"/>
            <w:tcBorders>
              <w:top w:val="single" w:color="000000" w:sz="4" w:space="0"/>
              <w:left w:val="single" w:color="000000" w:sz="4" w:space="0"/>
              <w:bottom w:val="single" w:color="000000" w:sz="4" w:space="0"/>
              <w:right w:val="single" w:color="000000" w:sz="4" w:space="0"/>
            </w:tcBorders>
            <w:vAlign w:val="center"/>
          </w:tcPr>
          <w:p w14:paraId="279211D5">
            <w:pPr>
              <w:keepLines/>
              <w:wordWrap w:val="0"/>
              <w:topLinePunct/>
              <w:autoSpaceDE/>
              <w:autoSpaceDN/>
              <w:spacing w:line="500" w:lineRule="exact"/>
              <w:jc w:val="center"/>
              <w:rPr>
                <w:rFonts w:hint="default" w:ascii="Times New Roman" w:hAnsi="Times New Roman" w:cs="Times New Roman"/>
                <w:sz w:val="24"/>
                <w:szCs w:val="24"/>
                <w:lang w:val="en-US"/>
              </w:rPr>
            </w:pPr>
            <w:r>
              <w:rPr>
                <w:rFonts w:hint="eastAsia" w:ascii="Times New Roman" w:hAnsi="Times New Roman" w:cs="Times New Roman"/>
                <w:sz w:val="24"/>
                <w:szCs w:val="24"/>
                <w:lang w:val="en-US" w:eastAsia="zh-CN"/>
              </w:rPr>
              <w:t>100</w:t>
            </w:r>
          </w:p>
        </w:tc>
        <w:tc>
          <w:tcPr>
            <w:tcW w:w="2385" w:type="dxa"/>
            <w:tcBorders>
              <w:top w:val="single" w:color="000000" w:sz="4" w:space="0"/>
              <w:left w:val="single" w:color="000000" w:sz="4" w:space="0"/>
              <w:bottom w:val="single" w:color="000000" w:sz="4" w:space="0"/>
              <w:right w:val="single" w:color="000000" w:sz="4" w:space="0"/>
            </w:tcBorders>
            <w:vAlign w:val="center"/>
          </w:tcPr>
          <w:p w14:paraId="1C3F2415">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施工工期</w:t>
            </w:r>
          </w:p>
        </w:tc>
        <w:tc>
          <w:tcPr>
            <w:tcW w:w="3025" w:type="dxa"/>
            <w:tcBorders>
              <w:top w:val="single" w:color="000000" w:sz="4" w:space="0"/>
              <w:left w:val="single" w:color="000000" w:sz="4" w:space="0"/>
              <w:bottom w:val="single" w:color="000000" w:sz="4" w:space="0"/>
            </w:tcBorders>
            <w:vAlign w:val="center"/>
          </w:tcPr>
          <w:p w14:paraId="7B85BC58">
            <w:pPr>
              <w:keepLines/>
              <w:wordWrap w:val="0"/>
              <w:topLinePunct/>
              <w:autoSpaceDE/>
              <w:autoSpaceDN/>
              <w:spacing w:line="500" w:lineRule="exact"/>
              <w:jc w:val="center"/>
              <w:rPr>
                <w:rFonts w:ascii="Times New Roman" w:hAnsi="Times New Roman" w:cs="Times New Roman"/>
                <w:color w:val="000000" w:themeColor="text1"/>
                <w:sz w:val="24"/>
                <w:szCs w:val="24"/>
                <w:lang w:val="en-US"/>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ascii="Times New Roman" w:hAnsi="Times New Roman" w:cs="Times New Roman"/>
                <w:color w:val="000000" w:themeColor="text1"/>
                <w:sz w:val="24"/>
                <w:szCs w:val="24"/>
                <w:lang w:val="en-US"/>
                <w14:textFill>
                  <w14:solidFill>
                    <w14:schemeClr w14:val="tx1"/>
                  </w14:solidFill>
                </w14:textFill>
              </w:rPr>
              <w:t>个月</w:t>
            </w:r>
          </w:p>
        </w:tc>
      </w:tr>
      <w:tr w14:paraId="1E4097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0" w:hRule="atLeast"/>
        </w:trPr>
        <w:tc>
          <w:tcPr>
            <w:tcW w:w="1862" w:type="dxa"/>
            <w:tcBorders>
              <w:top w:val="single" w:color="000000" w:sz="4" w:space="0"/>
              <w:bottom w:val="single" w:color="000000" w:sz="4" w:space="0"/>
              <w:right w:val="single" w:color="000000" w:sz="4" w:space="0"/>
            </w:tcBorders>
            <w:vAlign w:val="center"/>
          </w:tcPr>
          <w:p w14:paraId="466F1F47">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是否开工建设</w:t>
            </w:r>
          </w:p>
        </w:tc>
        <w:tc>
          <w:tcPr>
            <w:tcW w:w="2730" w:type="dxa"/>
            <w:tcBorders>
              <w:top w:val="single" w:color="000000" w:sz="4" w:space="0"/>
              <w:left w:val="single" w:color="000000" w:sz="4" w:space="0"/>
              <w:bottom w:val="single" w:color="000000" w:sz="4" w:space="0"/>
              <w:right w:val="single" w:color="000000" w:sz="4" w:space="0"/>
            </w:tcBorders>
            <w:vAlign w:val="center"/>
          </w:tcPr>
          <w:p w14:paraId="4BB834F6">
            <w:pPr>
              <w:keepLines/>
              <w:wordWrap w:val="0"/>
              <w:topLinePunct/>
              <w:autoSpaceDE/>
              <w:autoSpaceDN/>
              <w:spacing w:line="500" w:lineRule="exact"/>
              <w:rPr>
                <w:rFonts w:ascii="Times New Roman" w:hAnsi="Times New Roman" w:cs="Times New Roman"/>
                <w:sz w:val="24"/>
                <w:szCs w:val="24"/>
              </w:rPr>
            </w:pPr>
            <w:r>
              <w:rPr>
                <w:rFonts w:ascii="Times New Roman" w:hAnsi="Times New Roman" w:cs="Times New Roman"/>
                <w:sz w:val="24"/>
                <w:szCs w:val="24"/>
              </w:rPr>
              <w:sym w:font="Wingdings 2" w:char="00A3"/>
            </w:r>
            <w:r>
              <w:rPr>
                <w:rFonts w:ascii="Times New Roman" w:hAnsi="Times New Roman" w:cs="Times New Roman"/>
                <w:sz w:val="24"/>
                <w:szCs w:val="24"/>
              </w:rPr>
              <w:t>否</w:t>
            </w:r>
          </w:p>
          <w:p w14:paraId="1DBFD65F">
            <w:pPr>
              <w:keepLines/>
              <w:wordWrap w:val="0"/>
              <w:topLinePunct/>
              <w:autoSpaceDE/>
              <w:autoSpaceDN/>
              <w:spacing w:line="500" w:lineRule="exact"/>
              <w:rPr>
                <w:rFonts w:ascii="Times New Roman" w:hAnsi="Times New Roman" w:cs="Times New Roman"/>
                <w:sz w:val="24"/>
                <w:szCs w:val="24"/>
                <w:lang w:val="en-US"/>
              </w:rPr>
            </w:pPr>
            <w:r>
              <w:rPr>
                <w:rFonts w:hint="eastAsia" w:ascii="Times New Roman" w:hAnsi="Times New Roman" w:cs="Times New Roman"/>
                <w:sz w:val="24"/>
                <w:szCs w:val="24"/>
                <w:lang w:eastAsia="zh-CN"/>
              </w:rPr>
              <w:t>☑</w:t>
            </w:r>
            <w:r>
              <w:rPr>
                <w:rFonts w:ascii="Times New Roman" w:hAnsi="Times New Roman" w:cs="Times New Roman"/>
                <w:sz w:val="24"/>
                <w:szCs w:val="24"/>
              </w:rPr>
              <w:t>是</w:t>
            </w:r>
            <w:r>
              <w:rPr>
                <w:rFonts w:ascii="Times New Roman" w:hAnsi="Times New Roman" w:cs="Times New Roman"/>
                <w:sz w:val="24"/>
                <w:szCs w:val="24"/>
                <w:lang w:val="en-US"/>
              </w:rPr>
              <w:t xml:space="preserve"> </w:t>
            </w:r>
            <w:r>
              <w:rPr>
                <w:rFonts w:hint="default" w:ascii="Times New Roman" w:hAnsi="Times New Roman" w:cs="Times New Roman"/>
                <w:sz w:val="24"/>
                <w:szCs w:val="24"/>
                <w:u w:val="single"/>
                <w:lang w:val="en-US"/>
              </w:rPr>
              <w:t xml:space="preserve"> </w:t>
            </w:r>
            <w:r>
              <w:rPr>
                <w:rFonts w:hint="default" w:ascii="Times New Roman" w:hAnsi="Times New Roman" w:cs="Times New Roman"/>
                <w:color w:val="auto"/>
                <w:sz w:val="24"/>
                <w:szCs w:val="24"/>
                <w:u w:val="single"/>
                <w:lang w:eastAsia="zh-CN"/>
              </w:rPr>
              <w:t>鄂尔多斯市生态环境局于</w:t>
            </w:r>
            <w:r>
              <w:rPr>
                <w:rFonts w:hint="default" w:ascii="Times New Roman" w:hAnsi="Times New Roman" w:cs="Times New Roman"/>
                <w:color w:val="auto"/>
                <w:sz w:val="24"/>
                <w:szCs w:val="24"/>
                <w:u w:val="single"/>
                <w:lang w:val="en-US" w:eastAsia="zh-CN"/>
              </w:rPr>
              <w:t>2025年6月25日以鄂环罚〔2025〕5-15号进行处罚，企业接受处罚并于2025年6月26日缴纳了罚款，现</w:t>
            </w:r>
            <w:r>
              <w:rPr>
                <w:rFonts w:hint="eastAsia" w:ascii="Times New Roman" w:hAnsi="Times New Roman" w:cs="Times New Roman"/>
                <w:color w:val="auto"/>
                <w:sz w:val="24"/>
                <w:szCs w:val="24"/>
                <w:u w:val="single"/>
                <w:lang w:val="en-US" w:eastAsia="zh-CN"/>
              </w:rPr>
              <w:t>依托原有设施</w:t>
            </w:r>
            <w:r>
              <w:rPr>
                <w:rFonts w:hint="default" w:ascii="Times New Roman" w:hAnsi="Times New Roman" w:cs="Times New Roman"/>
                <w:color w:val="auto"/>
                <w:sz w:val="24"/>
                <w:szCs w:val="24"/>
                <w:u w:val="single"/>
                <w:lang w:val="en-US" w:eastAsia="zh-CN"/>
              </w:rPr>
              <w:t>完成</w:t>
            </w:r>
            <w:r>
              <w:rPr>
                <w:rFonts w:hint="eastAsia"/>
                <w:color w:val="auto"/>
                <w:sz w:val="24"/>
                <w:szCs w:val="24"/>
                <w:u w:val="single"/>
                <w:lang w:val="en-US" w:eastAsia="zh-CN"/>
              </w:rPr>
              <w:t>。</w:t>
            </w:r>
          </w:p>
        </w:tc>
        <w:tc>
          <w:tcPr>
            <w:tcW w:w="2385" w:type="dxa"/>
            <w:tcBorders>
              <w:top w:val="single" w:color="000000" w:sz="4" w:space="0"/>
              <w:left w:val="single" w:color="000000" w:sz="4" w:space="0"/>
              <w:bottom w:val="single" w:color="000000" w:sz="4" w:space="0"/>
              <w:right w:val="single" w:color="000000" w:sz="4" w:space="0"/>
            </w:tcBorders>
            <w:vAlign w:val="center"/>
          </w:tcPr>
          <w:p w14:paraId="4A02276E">
            <w:pPr>
              <w:keepLines/>
              <w:wordWrap w:val="0"/>
              <w:topLinePunct/>
              <w:autoSpaceDE/>
              <w:autoSpaceDN/>
              <w:spacing w:line="500" w:lineRule="exact"/>
              <w:ind w:hanging="89"/>
              <w:jc w:val="center"/>
              <w:rPr>
                <w:rFonts w:ascii="Times New Roman" w:hAnsi="Times New Roman" w:cs="Times New Roman"/>
                <w:sz w:val="24"/>
                <w:szCs w:val="24"/>
              </w:rPr>
            </w:pPr>
            <w:r>
              <w:rPr>
                <w:rFonts w:ascii="Times New Roman" w:hAnsi="Times New Roman" w:cs="Times New Roman"/>
                <w:sz w:val="24"/>
                <w:szCs w:val="24"/>
              </w:rPr>
              <w:t>用地面积（m</w:t>
            </w:r>
            <w:r>
              <w:rPr>
                <w:rFonts w:ascii="Times New Roman" w:hAnsi="Times New Roman" w:cs="Times New Roman"/>
                <w:sz w:val="24"/>
                <w:szCs w:val="24"/>
                <w:vertAlign w:val="superscript"/>
                <w:lang w:val="en-US"/>
              </w:rPr>
              <w:t>2</w:t>
            </w:r>
            <w:r>
              <w:rPr>
                <w:rFonts w:ascii="Times New Roman" w:hAnsi="Times New Roman" w:cs="Times New Roman"/>
                <w:sz w:val="24"/>
                <w:szCs w:val="24"/>
              </w:rPr>
              <w:t>）</w:t>
            </w:r>
          </w:p>
        </w:tc>
        <w:tc>
          <w:tcPr>
            <w:tcW w:w="3025" w:type="dxa"/>
            <w:tcBorders>
              <w:top w:val="single" w:color="000000" w:sz="4" w:space="0"/>
              <w:left w:val="single" w:color="000000" w:sz="4" w:space="0"/>
              <w:bottom w:val="single" w:color="000000" w:sz="4" w:space="0"/>
            </w:tcBorders>
            <w:vAlign w:val="center"/>
          </w:tcPr>
          <w:p w14:paraId="443380BE">
            <w:pPr>
              <w:keepLines/>
              <w:wordWrap w:val="0"/>
              <w:topLinePunct/>
              <w:autoSpaceDE/>
              <w:autoSpaceDN/>
              <w:spacing w:line="500" w:lineRule="exact"/>
              <w:jc w:val="center"/>
              <w:rPr>
                <w:rFonts w:hint="eastAsia"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33167.9</w:t>
            </w:r>
            <w:r>
              <w:rPr>
                <w:rFonts w:ascii="Times New Roman" w:hAnsi="Times New Roman" w:cs="Times New Roman"/>
                <w:color w:val="000000" w:themeColor="text1"/>
                <w:lang w:val="en-US"/>
                <w14:textFill>
                  <w14:solidFill>
                    <w14:schemeClr w14:val="tx1"/>
                  </w14:solidFill>
                </w14:textFill>
              </w:rPr>
              <w:t>m</w:t>
            </w:r>
            <w:r>
              <w:rPr>
                <w:rFonts w:ascii="Times New Roman" w:hAnsi="Times New Roman" w:cs="Times New Roman"/>
                <w:color w:val="000000" w:themeColor="text1"/>
                <w:vertAlign w:val="superscript"/>
                <w:lang w:val="en-US"/>
                <w14:textFill>
                  <w14:solidFill>
                    <w14:schemeClr w14:val="tx1"/>
                  </w14:solidFill>
                </w14:textFill>
              </w:rPr>
              <w:t>2</w:t>
            </w:r>
            <w:r>
              <w:rPr>
                <w:rFonts w:hint="eastAsia" w:ascii="Times New Roman" w:hAnsi="Times New Roman" w:cs="Times New Roman"/>
                <w:color w:val="000000" w:themeColor="text1"/>
                <w:vertAlign w:val="baseline"/>
                <w:lang w:val="en-US" w:eastAsia="zh-CN"/>
                <w14:textFill>
                  <w14:solidFill>
                    <w14:schemeClr w14:val="tx1"/>
                  </w14:solidFill>
                </w14:textFill>
              </w:rPr>
              <w:t>（本次扩建煤棚占地面积16069.8m</w:t>
            </w:r>
            <w:r>
              <w:rPr>
                <w:rFonts w:hint="eastAsia" w:ascii="Times New Roman" w:hAnsi="Times New Roman" w:cs="Times New Roman"/>
                <w:color w:val="000000" w:themeColor="text1"/>
                <w:vertAlign w:val="superscript"/>
                <w:lang w:val="en-US" w:eastAsia="zh-CN"/>
                <w14:textFill>
                  <w14:solidFill>
                    <w14:schemeClr w14:val="tx1"/>
                  </w14:solidFill>
                </w14:textFill>
              </w:rPr>
              <w:t>2</w:t>
            </w:r>
            <w:r>
              <w:rPr>
                <w:rFonts w:hint="eastAsia" w:ascii="Times New Roman" w:hAnsi="Times New Roman" w:cs="Times New Roman"/>
                <w:color w:val="000000" w:themeColor="text1"/>
                <w:vertAlign w:val="baseline"/>
                <w:lang w:val="en-US" w:eastAsia="zh-CN"/>
                <w14:textFill>
                  <w14:solidFill>
                    <w14:schemeClr w14:val="tx1"/>
                  </w14:solidFill>
                </w14:textFill>
              </w:rPr>
              <w:t>，无新增用地）</w:t>
            </w:r>
          </w:p>
        </w:tc>
      </w:tr>
      <w:tr w14:paraId="674076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9" w:hRule="atLeast"/>
        </w:trPr>
        <w:tc>
          <w:tcPr>
            <w:tcW w:w="1862" w:type="dxa"/>
            <w:tcBorders>
              <w:top w:val="single" w:color="000000" w:sz="4" w:space="0"/>
              <w:bottom w:val="single" w:color="000000" w:sz="4" w:space="0"/>
              <w:right w:val="single" w:color="000000" w:sz="4" w:space="0"/>
            </w:tcBorders>
            <w:vAlign w:val="center"/>
          </w:tcPr>
          <w:p w14:paraId="5625AED0">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专项评价设置情况</w:t>
            </w:r>
          </w:p>
        </w:tc>
        <w:tc>
          <w:tcPr>
            <w:tcW w:w="8140" w:type="dxa"/>
            <w:gridSpan w:val="3"/>
            <w:tcBorders>
              <w:top w:val="single" w:color="000000" w:sz="4" w:space="0"/>
              <w:left w:val="single" w:color="000000" w:sz="4" w:space="0"/>
              <w:bottom w:val="single" w:color="000000" w:sz="4" w:space="0"/>
            </w:tcBorders>
            <w:vAlign w:val="center"/>
          </w:tcPr>
          <w:p w14:paraId="747B5404">
            <w:pPr>
              <w:keepLines/>
              <w:wordWrap w:val="0"/>
              <w:topLinePunct/>
              <w:autoSpaceDE/>
              <w:autoSpaceDN/>
              <w:spacing w:line="500" w:lineRule="exact"/>
              <w:rPr>
                <w:rFonts w:ascii="Times New Roman" w:hAnsi="Times New Roman" w:cs="Times New Roman"/>
                <w:sz w:val="24"/>
                <w:szCs w:val="24"/>
              </w:rPr>
            </w:pPr>
            <w:r>
              <w:rPr>
                <w:rStyle w:val="32"/>
                <w:rFonts w:hint="eastAsia"/>
                <w:lang w:val="en-US"/>
              </w:rPr>
              <w:t xml:space="preserve">    </w:t>
            </w:r>
            <w:r>
              <w:rPr>
                <w:rFonts w:hint="eastAsia" w:ascii="Times New Roman" w:hAnsi="Times New Roman" w:cs="Times New Roman"/>
                <w:sz w:val="24"/>
                <w:szCs w:val="24"/>
              </w:rPr>
              <w:t>根据建设项目环境影响报告表编制技术指南（污染影响类），本项目不开展专项评价。</w:t>
            </w:r>
          </w:p>
          <w:p w14:paraId="60BF5BC8">
            <w:pPr>
              <w:keepLines/>
              <w:wordWrap w:val="0"/>
              <w:topLinePunct/>
              <w:autoSpaceDE/>
              <w:autoSpaceDN/>
              <w:spacing w:line="500" w:lineRule="exact"/>
              <w:jc w:val="center"/>
              <w:rPr>
                <w:rFonts w:ascii="Times New Roman" w:hAnsi="Times New Roman" w:cs="Times New Roman"/>
                <w:b/>
                <w:sz w:val="24"/>
                <w:szCs w:val="24"/>
              </w:rPr>
            </w:pPr>
            <w:r>
              <w:rPr>
                <w:rFonts w:hint="eastAsia" w:ascii="Times New Roman" w:hAnsi="Times New Roman" w:cs="Times New Roman"/>
                <w:b/>
                <w:sz w:val="24"/>
                <w:szCs w:val="24"/>
              </w:rPr>
              <w:t>表1-1项目专项评价设置情况判定表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3987"/>
              <w:gridCol w:w="2465"/>
            </w:tblGrid>
            <w:tr w14:paraId="4FE3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315" w:type="dxa"/>
                  <w:vAlign w:val="center"/>
                </w:tcPr>
                <w:p w14:paraId="713C32B9">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专项评价的类别</w:t>
                  </w:r>
                </w:p>
              </w:tc>
              <w:tc>
                <w:tcPr>
                  <w:tcW w:w="3987" w:type="dxa"/>
                  <w:vAlign w:val="center"/>
                </w:tcPr>
                <w:p w14:paraId="101E4B7D">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设置原则</w:t>
                  </w:r>
                </w:p>
              </w:tc>
              <w:tc>
                <w:tcPr>
                  <w:tcW w:w="2465" w:type="dxa"/>
                  <w:vAlign w:val="center"/>
                </w:tcPr>
                <w:p w14:paraId="1D7F853B">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本项目</w:t>
                  </w:r>
                </w:p>
              </w:tc>
            </w:tr>
            <w:tr w14:paraId="4724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315" w:type="dxa"/>
                  <w:vAlign w:val="center"/>
                </w:tcPr>
                <w:p w14:paraId="1EC94642">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大气</w:t>
                  </w:r>
                </w:p>
              </w:tc>
              <w:tc>
                <w:tcPr>
                  <w:tcW w:w="3987" w:type="dxa"/>
                  <w:vAlign w:val="center"/>
                </w:tcPr>
                <w:p w14:paraId="687BD4AB">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排放废气含有毒有害污染物、二噁英、苯并[a]芘、氰化物、氯气且厂界外500米范围</w:t>
                  </w:r>
                  <w:r>
                    <w:rPr>
                      <w:rFonts w:ascii="Times New Roman" w:eastAsia="宋体" w:cs="Times New Roman"/>
                      <w:color w:val="auto"/>
                      <w:sz w:val="21"/>
                      <w:szCs w:val="21"/>
                    </w:rPr>
                    <w:t>内有环境空气保护目标的建设项目</w:t>
                  </w:r>
                </w:p>
              </w:tc>
              <w:tc>
                <w:tcPr>
                  <w:tcW w:w="2465" w:type="dxa"/>
                  <w:vAlign w:val="center"/>
                </w:tcPr>
                <w:p w14:paraId="4B94AD4C">
                  <w:pPr>
                    <w:pStyle w:val="50"/>
                    <w:jc w:val="center"/>
                    <w:rPr>
                      <w:rFonts w:ascii="Times New Roman" w:eastAsia="宋体" w:cs="Times New Roman"/>
                      <w:color w:val="auto"/>
                      <w:sz w:val="21"/>
                      <w:szCs w:val="21"/>
                      <w:lang w:val="zh-CN"/>
                    </w:rPr>
                  </w:pPr>
                  <w:r>
                    <w:rPr>
                      <w:rFonts w:ascii="Times New Roman" w:eastAsia="宋体" w:cs="Times New Roman"/>
                      <w:color w:val="auto"/>
                      <w:sz w:val="21"/>
                      <w:szCs w:val="21"/>
                    </w:rPr>
                    <w:t>本项目排放废气中不含有毒有害污染物等</w:t>
                  </w:r>
                </w:p>
              </w:tc>
            </w:tr>
            <w:tr w14:paraId="5F91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315" w:type="dxa"/>
                  <w:vAlign w:val="center"/>
                </w:tcPr>
                <w:p w14:paraId="6912A997">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地表水</w:t>
                  </w:r>
                </w:p>
              </w:tc>
              <w:tc>
                <w:tcPr>
                  <w:tcW w:w="3987" w:type="dxa"/>
                  <w:vAlign w:val="center"/>
                </w:tcPr>
                <w:p w14:paraId="67B0A963">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新增工业废水直排建设项目（槽罐车外送污水处理厂的除外）；新增废水直排的污水集中处理厂</w:t>
                  </w:r>
                </w:p>
              </w:tc>
              <w:tc>
                <w:tcPr>
                  <w:tcW w:w="2465" w:type="dxa"/>
                  <w:vAlign w:val="center"/>
                </w:tcPr>
                <w:p w14:paraId="36A07BE6">
                  <w:pPr>
                    <w:pStyle w:val="50"/>
                    <w:jc w:val="center"/>
                    <w:rPr>
                      <w:rFonts w:ascii="Times New Roman" w:eastAsia="宋体" w:cs="Times New Roman"/>
                      <w:color w:val="auto"/>
                      <w:sz w:val="21"/>
                      <w:szCs w:val="21"/>
                    </w:rPr>
                  </w:pPr>
                  <w:r>
                    <w:rPr>
                      <w:rFonts w:hint="eastAsia" w:ascii="Times New Roman" w:eastAsia="宋体" w:cs="Times New Roman"/>
                      <w:color w:val="auto"/>
                      <w:sz w:val="21"/>
                      <w:szCs w:val="21"/>
                      <w:lang w:val="zh-CN"/>
                    </w:rPr>
                    <w:t>本项目无生产废水</w:t>
                  </w:r>
                  <w:r>
                    <w:rPr>
                      <w:rFonts w:hint="eastAsia" w:ascii="Times New Roman" w:eastAsia="宋体" w:cs="Times New Roman"/>
                      <w:color w:val="auto"/>
                      <w:sz w:val="21"/>
                      <w:szCs w:val="21"/>
                    </w:rPr>
                    <w:t>直排</w:t>
                  </w:r>
                </w:p>
              </w:tc>
            </w:tr>
            <w:tr w14:paraId="76EA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315" w:type="dxa"/>
                  <w:vAlign w:val="center"/>
                </w:tcPr>
                <w:p w14:paraId="4F98248B">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环境风险</w:t>
                  </w:r>
                </w:p>
              </w:tc>
              <w:tc>
                <w:tcPr>
                  <w:tcW w:w="3987" w:type="dxa"/>
                  <w:vAlign w:val="center"/>
                </w:tcPr>
                <w:p w14:paraId="42DC0EC7">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有毒有害和易燃易爆危险物质存储量超过临界量的建设项目</w:t>
                  </w:r>
                </w:p>
              </w:tc>
              <w:tc>
                <w:tcPr>
                  <w:tcW w:w="2465" w:type="dxa"/>
                  <w:vAlign w:val="center"/>
                </w:tcPr>
                <w:p w14:paraId="4CF5E95C">
                  <w:pPr>
                    <w:pStyle w:val="50"/>
                    <w:jc w:val="center"/>
                    <w:rPr>
                      <w:rFonts w:ascii="Times New Roman" w:eastAsia="宋体" w:cs="Times New Roman"/>
                      <w:color w:val="auto"/>
                      <w:sz w:val="21"/>
                      <w:szCs w:val="21"/>
                    </w:rPr>
                  </w:pPr>
                  <w:r>
                    <w:rPr>
                      <w:rFonts w:hint="eastAsia" w:ascii="Times New Roman" w:eastAsia="宋体" w:cs="Times New Roman"/>
                      <w:color w:val="auto"/>
                      <w:sz w:val="21"/>
                      <w:szCs w:val="21"/>
                      <w:lang w:val="zh-CN"/>
                    </w:rPr>
                    <w:t>本项目生产过程</w:t>
                  </w:r>
                  <w:r>
                    <w:rPr>
                      <w:rFonts w:hint="eastAsia" w:ascii="Times New Roman" w:eastAsia="宋体" w:cs="Times New Roman"/>
                      <w:color w:val="auto"/>
                      <w:sz w:val="21"/>
                      <w:szCs w:val="21"/>
                    </w:rPr>
                    <w:t>产生的</w:t>
                  </w:r>
                  <w:r>
                    <w:rPr>
                      <w:rFonts w:hint="eastAsia" w:ascii="Times New Roman" w:eastAsia="宋体" w:cs="Times New Roman"/>
                      <w:color w:val="auto"/>
                      <w:sz w:val="21"/>
                      <w:szCs w:val="21"/>
                      <w:lang w:val="zh-CN"/>
                    </w:rPr>
                    <w:t>有毒有害和易燃易爆危险物质</w:t>
                  </w:r>
                  <w:r>
                    <w:rPr>
                      <w:rFonts w:hint="eastAsia" w:ascii="Times New Roman" w:eastAsia="宋体" w:cs="Times New Roman"/>
                      <w:color w:val="auto"/>
                      <w:sz w:val="21"/>
                      <w:szCs w:val="21"/>
                    </w:rPr>
                    <w:t>不超过临界量</w:t>
                  </w:r>
                </w:p>
              </w:tc>
            </w:tr>
            <w:tr w14:paraId="6C14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315" w:type="dxa"/>
                  <w:vAlign w:val="center"/>
                </w:tcPr>
                <w:p w14:paraId="0849C805">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生态</w:t>
                  </w:r>
                </w:p>
              </w:tc>
              <w:tc>
                <w:tcPr>
                  <w:tcW w:w="3987" w:type="dxa"/>
                  <w:vAlign w:val="center"/>
                </w:tcPr>
                <w:p w14:paraId="5C8FD77B">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取水口下游500米范围内有重要水生生物的自然产卵场、索饵场、越冬场和洄游通道的新增河道取水的污染类建设项目</w:t>
                  </w:r>
                </w:p>
              </w:tc>
              <w:tc>
                <w:tcPr>
                  <w:tcW w:w="2465" w:type="dxa"/>
                  <w:vAlign w:val="center"/>
                </w:tcPr>
                <w:p w14:paraId="29A62C1B">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无河道取水</w:t>
                  </w:r>
                </w:p>
              </w:tc>
            </w:tr>
            <w:tr w14:paraId="447F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315" w:type="dxa"/>
                  <w:vAlign w:val="center"/>
                </w:tcPr>
                <w:p w14:paraId="19E84AB2">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海洋</w:t>
                  </w:r>
                </w:p>
              </w:tc>
              <w:tc>
                <w:tcPr>
                  <w:tcW w:w="3987" w:type="dxa"/>
                  <w:vAlign w:val="center"/>
                </w:tcPr>
                <w:p w14:paraId="34B89CB8">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直接向海排放污染物的海洋工程建设项目</w:t>
                  </w:r>
                </w:p>
              </w:tc>
              <w:tc>
                <w:tcPr>
                  <w:tcW w:w="2465" w:type="dxa"/>
                  <w:vAlign w:val="center"/>
                </w:tcPr>
                <w:p w14:paraId="165BDFF3">
                  <w:pPr>
                    <w:pStyle w:val="50"/>
                    <w:jc w:val="center"/>
                    <w:rPr>
                      <w:rFonts w:ascii="Times New Roman" w:eastAsia="宋体" w:cs="Times New Roman"/>
                      <w:color w:val="auto"/>
                      <w:sz w:val="21"/>
                      <w:szCs w:val="21"/>
                      <w:lang w:val="zh-CN"/>
                    </w:rPr>
                  </w:pPr>
                  <w:r>
                    <w:rPr>
                      <w:rFonts w:hint="eastAsia" w:ascii="Times New Roman" w:eastAsia="宋体" w:cs="Times New Roman"/>
                      <w:color w:val="auto"/>
                      <w:sz w:val="21"/>
                      <w:szCs w:val="21"/>
                      <w:lang w:val="zh-CN"/>
                    </w:rPr>
                    <w:t>无</w:t>
                  </w:r>
                  <w:r>
                    <w:rPr>
                      <w:rFonts w:hint="eastAsia" w:ascii="Times New Roman" w:eastAsia="宋体" w:cs="Times New Roman"/>
                      <w:color w:val="auto"/>
                      <w:sz w:val="21"/>
                      <w:szCs w:val="21"/>
                    </w:rPr>
                    <w:t>向海洋的</w:t>
                  </w:r>
                  <w:r>
                    <w:rPr>
                      <w:rFonts w:hint="eastAsia" w:ascii="Times New Roman" w:eastAsia="宋体" w:cs="Times New Roman"/>
                      <w:color w:val="auto"/>
                      <w:sz w:val="21"/>
                      <w:szCs w:val="21"/>
                      <w:lang w:val="zh-CN"/>
                    </w:rPr>
                    <w:t>排放口</w:t>
                  </w:r>
                </w:p>
              </w:tc>
            </w:tr>
          </w:tbl>
          <w:p w14:paraId="3B15B176">
            <w:pPr>
              <w:keepLines/>
              <w:wordWrap w:val="0"/>
              <w:topLinePunct/>
              <w:autoSpaceDE/>
              <w:autoSpaceDN/>
              <w:spacing w:line="500" w:lineRule="exact"/>
              <w:jc w:val="both"/>
              <w:rPr>
                <w:rFonts w:ascii="Times New Roman" w:hAnsi="Times New Roman" w:cs="Times New Roman"/>
                <w:bCs/>
                <w:sz w:val="24"/>
                <w:szCs w:val="24"/>
              </w:rPr>
            </w:pPr>
          </w:p>
        </w:tc>
      </w:tr>
      <w:tr w14:paraId="6816E4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 w:hRule="atLeast"/>
        </w:trPr>
        <w:tc>
          <w:tcPr>
            <w:tcW w:w="1862" w:type="dxa"/>
            <w:tcBorders>
              <w:top w:val="single" w:color="000000" w:sz="4" w:space="0"/>
              <w:bottom w:val="single" w:color="000000" w:sz="4" w:space="0"/>
              <w:right w:val="single" w:color="000000" w:sz="4" w:space="0"/>
            </w:tcBorders>
            <w:vAlign w:val="center"/>
          </w:tcPr>
          <w:p w14:paraId="035528A9">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规划情况</w:t>
            </w:r>
          </w:p>
        </w:tc>
        <w:tc>
          <w:tcPr>
            <w:tcW w:w="8140" w:type="dxa"/>
            <w:gridSpan w:val="3"/>
            <w:tcBorders>
              <w:top w:val="single" w:color="000000" w:sz="4" w:space="0"/>
              <w:left w:val="single" w:color="000000" w:sz="4" w:space="0"/>
              <w:bottom w:val="single" w:color="000000" w:sz="4" w:space="0"/>
            </w:tcBorders>
            <w:vAlign w:val="center"/>
          </w:tcPr>
          <w:p w14:paraId="163432E3">
            <w:pPr>
              <w:keepNext w:val="0"/>
              <w:keepLines/>
              <w:pageBreakBefore w:val="0"/>
              <w:widowControl w:val="0"/>
              <w:kinsoku/>
              <w:wordWrap w:val="0"/>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《内蒙古新街矿区总体规划（修编）》2024年</w:t>
            </w:r>
            <w:r>
              <w:rPr>
                <w:rFonts w:hint="eastAsia" w:ascii="Times New Roman" w:hAnsi="Times New Roman" w:cs="Times New Roman"/>
                <w:sz w:val="24"/>
                <w:szCs w:val="24"/>
                <w:lang w:val="en-US" w:eastAsia="zh-CN"/>
              </w:rPr>
              <w:t>由</w:t>
            </w:r>
            <w:r>
              <w:rPr>
                <w:rFonts w:hint="eastAsia" w:ascii="Times New Roman" w:hAnsi="Times New Roman" w:eastAsia="宋体" w:cs="Times New Roman"/>
                <w:sz w:val="24"/>
                <w:szCs w:val="24"/>
                <w:lang w:val="en-US" w:eastAsia="zh-CN"/>
              </w:rPr>
              <w:t>国家发展改革委批复</w:t>
            </w:r>
          </w:p>
        </w:tc>
      </w:tr>
      <w:tr w14:paraId="5012D4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5" w:hRule="atLeast"/>
        </w:trPr>
        <w:tc>
          <w:tcPr>
            <w:tcW w:w="1862" w:type="dxa"/>
            <w:tcBorders>
              <w:top w:val="single" w:color="000000" w:sz="4" w:space="0"/>
              <w:bottom w:val="single" w:color="000000" w:sz="4" w:space="0"/>
              <w:right w:val="single" w:color="000000" w:sz="4" w:space="0"/>
            </w:tcBorders>
            <w:vAlign w:val="center"/>
          </w:tcPr>
          <w:p w14:paraId="68C3ACD9">
            <w:pPr>
              <w:keepLines/>
              <w:wordWrap w:val="0"/>
              <w:topLinePunct/>
              <w:autoSpaceDE/>
              <w:autoSpaceDN/>
              <w:spacing w:line="500" w:lineRule="exact"/>
              <w:jc w:val="center"/>
              <w:rPr>
                <w:rFonts w:ascii="Times New Roman" w:hAnsi="Times New Roman" w:cs="Times New Roman"/>
                <w:sz w:val="24"/>
                <w:szCs w:val="24"/>
              </w:rPr>
            </w:pPr>
            <w:r>
              <w:rPr>
                <w:rFonts w:ascii="Times New Roman" w:hAnsi="Times New Roman" w:cs="Times New Roman"/>
                <w:sz w:val="24"/>
                <w:szCs w:val="24"/>
              </w:rPr>
              <w:t>规划环境影响评价情况</w:t>
            </w:r>
          </w:p>
        </w:tc>
        <w:tc>
          <w:tcPr>
            <w:tcW w:w="8140" w:type="dxa"/>
            <w:gridSpan w:val="3"/>
            <w:tcBorders>
              <w:top w:val="single" w:color="000000" w:sz="4" w:space="0"/>
              <w:left w:val="single" w:color="000000" w:sz="4" w:space="0"/>
              <w:bottom w:val="single" w:color="000000" w:sz="4" w:space="0"/>
            </w:tcBorders>
            <w:vAlign w:val="center"/>
          </w:tcPr>
          <w:p w14:paraId="4C9A4B13">
            <w:pPr>
              <w:keepLines/>
              <w:wordWrap w:val="0"/>
              <w:topLinePunct/>
              <w:autoSpaceDE/>
              <w:autoSpaceDN/>
              <w:spacing w:line="360"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《内蒙古自治区鄂尔多斯市东胜煤田新街煤炭矿区总体规划(修编)环境影响报告书》于2023年7月11日取得生态环境部关于该规划环境影响报告书的审查意见（环审〔2023〕71号）</w:t>
            </w:r>
          </w:p>
        </w:tc>
      </w:tr>
      <w:tr w14:paraId="7037D9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96" w:hRule="atLeast"/>
        </w:trPr>
        <w:tc>
          <w:tcPr>
            <w:tcW w:w="1862" w:type="dxa"/>
            <w:tcBorders>
              <w:top w:val="single" w:color="000000" w:sz="4" w:space="0"/>
              <w:bottom w:val="single" w:color="000000" w:sz="4" w:space="0"/>
              <w:right w:val="single" w:color="000000" w:sz="4" w:space="0"/>
            </w:tcBorders>
            <w:vAlign w:val="center"/>
          </w:tcPr>
          <w:p w14:paraId="575B969E">
            <w:pPr>
              <w:keepLines/>
              <w:pageBreakBefore w:val="0"/>
              <w:widowControl w:val="0"/>
              <w:kinsoku/>
              <w:wordWrap w:val="0"/>
              <w:overflowPunct/>
              <w:topLinePunct/>
              <w:autoSpaceDE/>
              <w:autoSpaceDN/>
              <w:bidi w:val="0"/>
              <w:spacing w:line="500" w:lineRule="exact"/>
              <w:ind w:firstLine="208"/>
              <w:jc w:val="center"/>
              <w:textAlignment w:val="auto"/>
              <w:rPr>
                <w:rFonts w:ascii="Times New Roman" w:hAnsi="Times New Roman" w:cs="Times New Roman"/>
                <w:sz w:val="24"/>
                <w:szCs w:val="24"/>
              </w:rPr>
            </w:pPr>
            <w:r>
              <w:rPr>
                <w:rFonts w:ascii="Times New Roman" w:hAnsi="Times New Roman" w:cs="Times New Roman"/>
                <w:sz w:val="24"/>
                <w:szCs w:val="24"/>
              </w:rPr>
              <w:t>规划及规划环境</w:t>
            </w:r>
            <w:r>
              <w:rPr>
                <w:rFonts w:ascii="Times New Roman" w:hAnsi="Times New Roman" w:cs="Times New Roman"/>
                <w:spacing w:val="-2"/>
                <w:sz w:val="24"/>
                <w:szCs w:val="24"/>
              </w:rPr>
              <w:t>影响评价符合性分析</w:t>
            </w:r>
          </w:p>
        </w:tc>
        <w:tc>
          <w:tcPr>
            <w:tcW w:w="8140" w:type="dxa"/>
            <w:gridSpan w:val="3"/>
            <w:tcBorders>
              <w:top w:val="single" w:color="000000" w:sz="4" w:space="0"/>
              <w:left w:val="single" w:color="000000" w:sz="4" w:space="0"/>
              <w:bottom w:val="single" w:color="000000" w:sz="4" w:space="0"/>
            </w:tcBorders>
            <w:vAlign w:val="center"/>
          </w:tcPr>
          <w:p w14:paraId="73F05F56">
            <w:pPr>
              <w:keepLines/>
              <w:pageBreakBefore w:val="0"/>
              <w:widowControl w:val="0"/>
              <w:kinsoku/>
              <w:wordWrap w:val="0"/>
              <w:overflowPunct/>
              <w:topLinePunct/>
              <w:autoSpaceDE/>
              <w:autoSpaceDN/>
              <w:bidi w:val="0"/>
              <w:spacing w:line="360" w:lineRule="auto"/>
              <w:jc w:val="center"/>
              <w:textAlignment w:val="auto"/>
              <w:rPr>
                <w:rFonts w:hint="eastAsia" w:ascii="Times New Roman" w:hAnsi="Times New Roman"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新街矿区位于鄂尔多斯市境内、东胜煤田南部，属于国家大型煤炭基地神东煤炭基地的骨干矿区，也是蒙西地区煤炭产能接续的主力矿区，矿区规划总规模5900万吨/年</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均衡生产时间39年。矿区拟规划7个井田和1个勘查区,其中现有矿井4个</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包括红庆河井田 (800万吨/年)、察哈素井田 (800万吨/年)、尔林兔井田 (1300万吨/年)、马泰壕井田 (1000万吨/年)</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新建矿井3个</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包括红庆河二号井田 (800万吨/年)、察哈素二号井田 (800万吨/年)、楚鲁图井田 (400万吨/年)。规划在察哈素二号井田、楚鲁图井田新增2座同等规模选煤厂</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红庆河二号和红庆河井田、尔林兔井田、马泰壕井田利用现有选煤厂进行改扩建</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察哈素井田利用现有选煤厂</w:t>
            </w:r>
            <w:r>
              <w:rPr>
                <w:rFonts w:hint="eastAsia" w:ascii="Times New Roman" w:hAnsi="Times New Roman"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原煤入洗率100%</w:t>
            </w:r>
            <w:r>
              <w:rPr>
                <w:rFonts w:hint="eastAsia" w:ascii="Times New Roman" w:hAnsi="Times New Roman" w:cs="Times New Roman"/>
                <w:color w:val="auto"/>
                <w:sz w:val="24"/>
                <w:szCs w:val="24"/>
                <w:lang w:val="en-US" w:eastAsia="zh-CN"/>
              </w:rPr>
              <w:t>。</w:t>
            </w:r>
          </w:p>
          <w:p w14:paraId="755CB4DC">
            <w:pPr>
              <w:keepLines/>
              <w:pageBreakBefore w:val="0"/>
              <w:widowControl w:val="0"/>
              <w:kinsoku/>
              <w:wordWrap w:val="0"/>
              <w:overflowPunct/>
              <w:topLinePunct/>
              <w:autoSpaceDE/>
              <w:autoSpaceDN/>
              <w:bidi w:val="0"/>
              <w:spacing w:line="360" w:lineRule="auto"/>
              <w:jc w:val="center"/>
              <w:textAlignment w:val="auto"/>
              <w:rPr>
                <w:rFonts w:ascii="Times New Roman" w:hAnsi="Times New Roman" w:cs="Times New Roman"/>
                <w:b/>
                <w:sz w:val="24"/>
                <w:szCs w:val="24"/>
                <w:lang w:val="en-US"/>
              </w:rPr>
            </w:pPr>
            <w:r>
              <w:rPr>
                <w:rFonts w:hint="eastAsia" w:ascii="Times New Roman" w:hAnsi="Times New Roman" w:cs="Times New Roman"/>
                <w:color w:val="auto"/>
                <w:sz w:val="24"/>
                <w:szCs w:val="24"/>
                <w:lang w:val="en-US" w:eastAsia="zh-CN"/>
              </w:rPr>
              <w:t>本项目为洗煤厂配套储煤棚扩建项目，洗煤厂洗选原煤来自于马泰壕煤矿，符合规划环评审查意见。</w:t>
            </w:r>
          </w:p>
        </w:tc>
      </w:tr>
      <w:tr w14:paraId="2EA448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0" w:hRule="atLeast"/>
        </w:trPr>
        <w:tc>
          <w:tcPr>
            <w:tcW w:w="1862" w:type="dxa"/>
            <w:tcBorders>
              <w:top w:val="single" w:color="000000" w:sz="4" w:space="0"/>
              <w:bottom w:val="single" w:color="000000" w:sz="4" w:space="0"/>
              <w:right w:val="single" w:color="000000" w:sz="4" w:space="0"/>
            </w:tcBorders>
            <w:vAlign w:val="center"/>
          </w:tcPr>
          <w:p w14:paraId="7C3AF874">
            <w:pPr>
              <w:pageBreakBefore w:val="0"/>
              <w:widowControl w:val="0"/>
              <w:kinsoku/>
              <w:wordWrap w:val="0"/>
              <w:overflowPunct/>
              <w:topLinePunct/>
              <w:autoSpaceDE/>
              <w:autoSpaceDN/>
              <w:bidi w:val="0"/>
              <w:spacing w:line="520" w:lineRule="exact"/>
              <w:jc w:val="center"/>
              <w:textAlignment w:val="auto"/>
              <w:rPr>
                <w:rFonts w:ascii="Times New Roman" w:hAnsi="Times New Roman" w:cs="Times New Roman"/>
                <w:spacing w:val="-2"/>
                <w:sz w:val="24"/>
                <w:szCs w:val="24"/>
              </w:rPr>
            </w:pPr>
            <w:r>
              <w:rPr>
                <w:rFonts w:ascii="Times New Roman" w:hAnsi="Times New Roman" w:cs="Times New Roman"/>
                <w:spacing w:val="-2"/>
                <w:sz w:val="24"/>
                <w:szCs w:val="24"/>
                <w:lang w:val="en-US"/>
              </w:rPr>
              <w:t>其他符合性分析</w:t>
            </w:r>
          </w:p>
        </w:tc>
        <w:tc>
          <w:tcPr>
            <w:tcW w:w="8140" w:type="dxa"/>
            <w:gridSpan w:val="3"/>
            <w:tcBorders>
              <w:top w:val="single" w:color="000000" w:sz="4" w:space="0"/>
              <w:left w:val="single" w:color="000000" w:sz="4" w:space="0"/>
              <w:bottom w:val="single" w:color="000000" w:sz="4" w:space="0"/>
            </w:tcBorders>
            <w:vAlign w:val="center"/>
          </w:tcPr>
          <w:p w14:paraId="4E5F2DA7">
            <w:pPr>
              <w:pStyle w:val="43"/>
              <w:pageBreakBefore w:val="0"/>
              <w:widowControl w:val="0"/>
              <w:kinsoku/>
              <w:overflowPunct/>
              <w:bidi w:val="0"/>
              <w:textAlignment w:val="auto"/>
              <w:rPr>
                <w:rFonts w:ascii="Times New Roman" w:hAnsi="Times New Roman" w:cs="Times New Roman"/>
                <w:b/>
                <w:bCs/>
                <w:lang w:val="en-US"/>
              </w:rPr>
            </w:pPr>
            <w:r>
              <w:rPr>
                <w:rFonts w:ascii="Times New Roman" w:hAnsi="Times New Roman" w:cs="Times New Roman"/>
                <w:b/>
                <w:bCs/>
                <w:lang w:val="en-US"/>
              </w:rPr>
              <w:t>1、</w:t>
            </w:r>
            <w:r>
              <w:rPr>
                <w:rFonts w:ascii="Times New Roman" w:hAnsi="Times New Roman" w:cs="Times New Roman"/>
                <w:b/>
                <w:bCs/>
              </w:rPr>
              <w:t>产业</w:t>
            </w:r>
            <w:r>
              <w:rPr>
                <w:rFonts w:ascii="Times New Roman" w:hAnsi="Times New Roman" w:cs="Times New Roman"/>
                <w:b/>
                <w:bCs/>
                <w:lang w:val="en-US"/>
              </w:rPr>
              <w:t>政策</w:t>
            </w:r>
            <w:r>
              <w:rPr>
                <w:rFonts w:ascii="Times New Roman" w:hAnsi="Times New Roman" w:cs="Times New Roman"/>
                <w:b/>
                <w:bCs/>
              </w:rPr>
              <w:t>符合性</w:t>
            </w:r>
            <w:r>
              <w:rPr>
                <w:rFonts w:ascii="Times New Roman" w:hAnsi="Times New Roman" w:cs="Times New Roman"/>
                <w:b/>
                <w:bCs/>
                <w:lang w:val="en-US"/>
              </w:rPr>
              <w:t>分析</w:t>
            </w:r>
          </w:p>
          <w:p w14:paraId="37497CC9">
            <w:pPr>
              <w:pStyle w:val="43"/>
              <w:pageBreakBefore w:val="0"/>
              <w:widowControl w:val="0"/>
              <w:kinsoku/>
              <w:overflowPunct/>
              <w:bidi w:val="0"/>
              <w:spacing w:line="360" w:lineRule="auto"/>
              <w:textAlignment w:val="auto"/>
              <w:rPr>
                <w:rFonts w:ascii="Times New Roman" w:hAnsi="Times New Roman" w:cs="Times New Roman"/>
                <w:color w:val="auto"/>
                <w:lang w:val="en-US"/>
              </w:rPr>
            </w:pPr>
            <w:r>
              <w:rPr>
                <w:rFonts w:hint="eastAsia" w:ascii="Times New Roman" w:hAnsi="Times New Roman" w:cs="Times New Roman"/>
                <w:color w:val="auto"/>
              </w:rPr>
              <w:t>根据《产业结构调整指导目录（2024年）》，项目属于“三、煤炭--煤炭跨区域运输通道和集疏运体系：管道输煤，大型煤炭储运中心、煤炭交易市场建设，储煤设施建设和环保改造”，为鼓励类项目；不属于《市场准入负面清单（2025年版）》中禁止准入类</w:t>
            </w:r>
            <w:r>
              <w:rPr>
                <w:rFonts w:hint="eastAsia" w:ascii="Times New Roman" w:hAnsi="Times New Roman" w:cs="Times New Roman"/>
                <w:color w:val="auto"/>
                <w:lang w:eastAsia="zh-CN"/>
              </w:rPr>
              <w:t>。</w:t>
            </w:r>
            <w:r>
              <w:rPr>
                <w:rFonts w:hint="eastAsia" w:ascii="Times New Roman" w:hAnsi="Times New Roman" w:cs="Times New Roman"/>
                <w:color w:val="auto"/>
              </w:rPr>
              <w:t>本项目</w:t>
            </w:r>
            <w:r>
              <w:rPr>
                <w:rFonts w:hint="eastAsia" w:ascii="Times New Roman" w:hAnsi="Times New Roman" w:cs="Times New Roman"/>
                <w:color w:val="auto"/>
                <w:lang w:val="en-US" w:eastAsia="zh-CN"/>
              </w:rPr>
              <w:t>为储煤棚扩建项目</w:t>
            </w:r>
            <w:r>
              <w:rPr>
                <w:rFonts w:hint="eastAsia" w:ascii="Times New Roman" w:hAnsi="Times New Roman" w:cs="Times New Roman"/>
                <w:color w:val="auto"/>
              </w:rPr>
              <w:t>，为国家产业政策鼓励类</w:t>
            </w:r>
            <w:r>
              <w:rPr>
                <w:rFonts w:hint="eastAsia" w:ascii="Times New Roman" w:hAnsi="Times New Roman" w:cs="Times New Roman"/>
                <w:color w:val="auto"/>
                <w:lang w:eastAsia="zh-CN"/>
              </w:rPr>
              <w:t>，</w:t>
            </w:r>
            <w:r>
              <w:rPr>
                <w:rFonts w:ascii="Times New Roman" w:hAnsi="Times New Roman" w:cs="Times New Roman"/>
                <w:color w:val="auto"/>
              </w:rPr>
              <w:t>本项目符合国家现行产业政策。</w:t>
            </w:r>
          </w:p>
          <w:p w14:paraId="31D30285">
            <w:pPr>
              <w:pStyle w:val="43"/>
              <w:pageBreakBefore w:val="0"/>
              <w:widowControl w:val="0"/>
              <w:kinsoku/>
              <w:overflowPunct/>
              <w:bidi w:val="0"/>
              <w:textAlignment w:val="auto"/>
              <w:rPr>
                <w:rFonts w:ascii="Times New Roman" w:hAnsi="Times New Roman" w:cs="Times New Roman"/>
                <w:b/>
                <w:bCs/>
                <w:lang w:val="en-US"/>
              </w:rPr>
            </w:pPr>
            <w:r>
              <w:rPr>
                <w:rFonts w:ascii="Times New Roman" w:hAnsi="Times New Roman" w:cs="Times New Roman"/>
                <w:b/>
                <w:bCs/>
                <w:lang w:val="en-US"/>
              </w:rPr>
              <w:t>2、与</w:t>
            </w:r>
            <w:r>
              <w:rPr>
                <w:rFonts w:hint="eastAsia" w:ascii="Times New Roman" w:hAnsi="Times New Roman" w:cs="Times New Roman"/>
                <w:b/>
                <w:bCs/>
                <w:lang w:val="en-US" w:eastAsia="zh-CN"/>
              </w:rPr>
              <w:t>生态环境分区管控</w:t>
            </w:r>
            <w:r>
              <w:rPr>
                <w:rFonts w:ascii="Times New Roman" w:hAnsi="Times New Roman" w:cs="Times New Roman"/>
                <w:b/>
                <w:bCs/>
                <w:lang w:val="en-US"/>
              </w:rPr>
              <w:t>符合性分析</w:t>
            </w:r>
          </w:p>
          <w:p w14:paraId="63F069B1">
            <w:pPr>
              <w:pStyle w:val="43"/>
              <w:pageBreakBefore w:val="0"/>
              <w:widowControl w:val="0"/>
              <w:kinsoku/>
              <w:overflowPunct/>
              <w:bidi w:val="0"/>
              <w:spacing w:line="360" w:lineRule="auto"/>
              <w:textAlignment w:val="auto"/>
              <w:rPr>
                <w:rFonts w:ascii="Times New Roman" w:hAnsi="Times New Roman" w:cs="Times New Roman"/>
                <w:lang w:val="en-US"/>
              </w:rPr>
            </w:pPr>
            <w:r>
              <w:rPr>
                <w:rFonts w:hint="eastAsia" w:ascii="Times New Roman" w:hAnsi="Times New Roman" w:cs="Times New Roman"/>
                <w:lang w:val="en-US"/>
              </w:rPr>
              <w:t>（1）生态保护红线</w:t>
            </w:r>
          </w:p>
          <w:p w14:paraId="2B28087E">
            <w:pPr>
              <w:pStyle w:val="43"/>
              <w:pageBreakBefore w:val="0"/>
              <w:widowControl w:val="0"/>
              <w:kinsoku/>
              <w:overflowPunct/>
              <w:bidi w:val="0"/>
              <w:spacing w:line="360" w:lineRule="auto"/>
              <w:textAlignment w:val="auto"/>
              <w:rPr>
                <w:rFonts w:ascii="Times New Roman" w:hAnsi="Times New Roman" w:cs="Times New Roman"/>
                <w:lang w:val="en-US"/>
              </w:rPr>
            </w:pPr>
            <w:r>
              <w:rPr>
                <w:rFonts w:hint="eastAsia" w:ascii="Times New Roman" w:hAnsi="Times New Roman" w:cs="Times New Roman"/>
                <w:lang w:val="en-US"/>
              </w:rPr>
              <w:t>《鄂尔多斯市生态环境分区管控动态更新成果（2023年版）》指出：“依据生态保护红线、环境质量底线、资源利用上线等调整情况，结合全市经济社会发展和生态环境保护实际，调整优先保护、重点管控、一般</w:t>
            </w:r>
            <w:r>
              <w:rPr>
                <w:rFonts w:hint="eastAsia" w:ascii="Times New Roman" w:hAnsi="Times New Roman" w:cs="Times New Roman"/>
                <w:lang w:val="en-US" w:eastAsia="zh-CN"/>
              </w:rPr>
              <w:t>管控</w:t>
            </w:r>
            <w:r>
              <w:rPr>
                <w:rFonts w:hint="eastAsia" w:ascii="Times New Roman" w:hAnsi="Times New Roman" w:cs="Times New Roman"/>
                <w:lang w:val="en-US"/>
              </w:rPr>
              <w:t>三类环境管控单元，分区分类实施精细化管控。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75661055">
            <w:pPr>
              <w:pStyle w:val="43"/>
              <w:pageBreakBefore w:val="0"/>
              <w:widowControl w:val="0"/>
              <w:kinsoku/>
              <w:overflowPunct/>
              <w:bidi w:val="0"/>
              <w:spacing w:line="360" w:lineRule="auto"/>
              <w:textAlignment w:val="auto"/>
              <w:rPr>
                <w:rFonts w:ascii="Times New Roman" w:hAnsi="Times New Roman" w:cs="Times New Roman"/>
                <w:lang w:val="en-US"/>
              </w:rPr>
            </w:pPr>
            <w:r>
              <w:rPr>
                <w:rFonts w:hint="eastAsia" w:ascii="Times New Roman" w:hAnsi="Times New Roman" w:cs="Times New Roman"/>
                <w:lang w:val="en-US"/>
              </w:rPr>
              <w:t>调整后，全市按优先保护、重点管控、一般管控三大类划分为171个环境管控单元。其中，优先保护单元76个，面积占比64.35%；重点管控单元86个，面积占比28.10%；一般管控单元9个，面积占比7.56%。优先保护单元以生态环境保护优先为原则，依法禁止或限制大规模、高强度的工业开发和城镇建设，确保生态环境功能不降低。重点管控单元应不断提升资源利用效率，有针对性地加强污染物排放控制和环境风险防控，解决生态环境质量不达标、生态环境风险高等问题。一般管控单元主要落实生态环境保护基本要求。</w:t>
            </w:r>
          </w:p>
          <w:p w14:paraId="71602902">
            <w:pPr>
              <w:pStyle w:val="43"/>
              <w:pageBreakBefore w:val="0"/>
              <w:widowControl w:val="0"/>
              <w:kinsoku/>
              <w:overflowPunct/>
              <w:bidi w:val="0"/>
              <w:spacing w:line="360" w:lineRule="auto"/>
              <w:textAlignment w:val="auto"/>
              <w:rPr>
                <w:rFonts w:ascii="Times New Roman" w:hAnsi="Times New Roman" w:cs="Times New Roman"/>
                <w:lang w:val="en-US"/>
              </w:rPr>
            </w:pPr>
            <w:r>
              <w:rPr>
                <w:rFonts w:hint="eastAsia" w:ascii="Times New Roman" w:hAnsi="Times New Roman" w:cs="Times New Roman"/>
                <w:lang w:val="en-US"/>
              </w:rPr>
              <w:t>本项目位于</w:t>
            </w:r>
            <w:r>
              <w:rPr>
                <w:rFonts w:hint="eastAsia" w:ascii="Times New Roman" w:hAnsi="Times New Roman" w:cs="Times New Roman"/>
                <w:sz w:val="24"/>
                <w:lang w:val="en-US" w:eastAsia="zh-CN"/>
              </w:rPr>
              <w:t>鄂尔多斯市伊金霍洛旗札萨克镇哈日木河村</w:t>
            </w:r>
            <w:r>
              <w:rPr>
                <w:rFonts w:hint="eastAsia" w:ascii="Times New Roman" w:hAnsi="Times New Roman" w:cs="Times New Roman"/>
                <w:lang w:val="en-US"/>
              </w:rPr>
              <w:t>，根据鄂尔多斯市环境管控单元图，项目位于</w:t>
            </w:r>
            <w:r>
              <w:rPr>
                <w:rFonts w:hint="eastAsia" w:ascii="Times New Roman" w:hAnsi="Times New Roman" w:cs="Times New Roman"/>
                <w:lang w:val="en-US" w:eastAsia="zh-CN"/>
              </w:rPr>
              <w:t>伊金霍洛旗</w:t>
            </w:r>
            <w:r>
              <w:rPr>
                <w:rFonts w:hint="eastAsia" w:ascii="Times New Roman" w:hAnsi="Times New Roman" w:cs="Times New Roman"/>
                <w:lang w:val="en-US"/>
              </w:rPr>
              <w:t>的重点管控单元。经调查项目评价范围内无饮用水水源地、自然保护区、风景名胜区等特殊环境敏感区，不涉及重要生态功能区、生态敏感脆弱区、禁止开发区域以及其他各类保护地，根据生态红线的主要划定依据，本项目不在生态保护红线范围内。经调查，项目周边不存在重点文物保护单位，因此，本项目的建设满足生态保护红线的要求。</w:t>
            </w:r>
          </w:p>
          <w:p w14:paraId="6527026B">
            <w:pPr>
              <w:pStyle w:val="43"/>
              <w:pageBreakBefore w:val="0"/>
              <w:widowControl w:val="0"/>
              <w:kinsoku/>
              <w:overflowPunct/>
              <w:bidi w:val="0"/>
              <w:spacing w:line="360" w:lineRule="auto"/>
              <w:ind w:firstLine="480" w:firstLineChars="200"/>
              <w:textAlignment w:val="auto"/>
              <w:rPr>
                <w:rFonts w:ascii="Times New Roman" w:hAnsi="Times New Roman" w:cs="Times New Roman"/>
                <w:lang w:val="en-US"/>
              </w:rPr>
            </w:pPr>
            <w:r>
              <w:rPr>
                <w:rFonts w:hint="eastAsia" w:ascii="Times New Roman" w:hAnsi="Times New Roman" w:cs="Times New Roman"/>
                <w:lang w:val="en-US"/>
              </w:rPr>
              <w:t>（2）环境质量底线</w:t>
            </w:r>
          </w:p>
          <w:p w14:paraId="36D099AD">
            <w:pPr>
              <w:pStyle w:val="43"/>
              <w:pageBreakBefore w:val="0"/>
              <w:widowControl w:val="0"/>
              <w:kinsoku/>
              <w:overflowPunct/>
              <w:bidi w:val="0"/>
              <w:spacing w:line="360" w:lineRule="auto"/>
              <w:ind w:firstLine="480" w:firstLineChars="200"/>
              <w:textAlignment w:val="auto"/>
              <w:rPr>
                <w:rFonts w:ascii="Times New Roman" w:hAnsi="Times New Roman" w:cs="Times New Roman"/>
                <w:lang w:val="en-US"/>
              </w:rPr>
            </w:pPr>
            <w:r>
              <w:rPr>
                <w:rFonts w:hint="eastAsia" w:ascii="Times New Roman" w:hAnsi="Times New Roman" w:cs="Times New Roman"/>
                <w:lang w:val="en-US"/>
              </w:rPr>
              <w:t>根据内蒙古自治区生态环境厅202</w:t>
            </w:r>
            <w:r>
              <w:rPr>
                <w:rFonts w:hint="eastAsia" w:ascii="Times New Roman" w:hAnsi="Times New Roman" w:cs="Times New Roman"/>
                <w:lang w:val="en-US" w:eastAsia="zh-CN"/>
              </w:rPr>
              <w:t>5</w:t>
            </w:r>
            <w:r>
              <w:rPr>
                <w:rFonts w:hint="eastAsia" w:ascii="Times New Roman" w:hAnsi="Times New Roman" w:cs="Times New Roman"/>
                <w:lang w:val="en-US"/>
              </w:rPr>
              <w:t>年</w:t>
            </w:r>
            <w:r>
              <w:rPr>
                <w:rFonts w:hint="eastAsia" w:ascii="Times New Roman" w:hAnsi="Times New Roman" w:cs="Times New Roman"/>
                <w:lang w:val="en-US" w:eastAsia="zh-CN"/>
              </w:rPr>
              <w:t>6</w:t>
            </w:r>
            <w:r>
              <w:rPr>
                <w:rFonts w:hint="eastAsia" w:ascii="Times New Roman" w:hAnsi="Times New Roman" w:cs="Times New Roman"/>
                <w:lang w:val="en-US"/>
              </w:rPr>
              <w:t>月公布的《202</w:t>
            </w:r>
            <w:r>
              <w:rPr>
                <w:rFonts w:hint="eastAsia" w:ascii="Times New Roman" w:hAnsi="Times New Roman" w:cs="Times New Roman"/>
                <w:lang w:val="en-US" w:eastAsia="zh-CN"/>
              </w:rPr>
              <w:t>4</w:t>
            </w:r>
            <w:r>
              <w:rPr>
                <w:rFonts w:hint="eastAsia" w:ascii="Times New Roman" w:hAnsi="Times New Roman" w:cs="Times New Roman"/>
                <w:lang w:val="en-US"/>
              </w:rPr>
              <w:t>年内蒙古自治区生态环境状况公报》中的数据，“2024年，全区环境空气六项污染物年均浓度均达标。项目位于鄂尔多斯市伊金霍洛旗，属于环境空气质量达标区。”因此，项目所在区域环境空气质量属于达标区。</w:t>
            </w:r>
            <w:r>
              <w:rPr>
                <w:rFonts w:hint="eastAsia" w:ascii="Times New Roman" w:hAnsi="Times New Roman" w:cs="Times New Roman"/>
                <w:color w:val="auto"/>
                <w:lang w:val="en-US"/>
              </w:rPr>
              <w:t>根据引用</w:t>
            </w:r>
            <w:r>
              <w:rPr>
                <w:rFonts w:hint="eastAsia" w:ascii="Times New Roman" w:hAnsi="Times New Roman" w:eastAsia="宋体"/>
                <w:color w:val="auto"/>
                <w:kern w:val="2"/>
              </w:rPr>
              <w:t>《鄂尔多斯市鑫晶煤炭有限责任公司环境质量现状监测报告》（</w:t>
            </w:r>
            <w:r>
              <w:rPr>
                <w:rFonts w:ascii="Times New Roman" w:hAnsi="Times New Roman" w:eastAsia="宋体"/>
                <w:color w:val="auto"/>
                <w:kern w:val="2"/>
              </w:rPr>
              <w:t>GT/WTQ25171-01</w:t>
            </w:r>
            <w:r>
              <w:rPr>
                <w:rFonts w:hint="eastAsia" w:ascii="Times New Roman" w:hAnsi="Times New Roman" w:eastAsia="宋体"/>
                <w:color w:val="auto"/>
                <w:kern w:val="2"/>
              </w:rPr>
              <w:t>）中</w:t>
            </w:r>
            <w:r>
              <w:rPr>
                <w:rFonts w:hint="eastAsia" w:ascii="Times New Roman" w:hAnsi="Times New Roman" w:cs="Times New Roman"/>
                <w:color w:val="auto"/>
                <w:lang w:val="en-US"/>
              </w:rPr>
              <w:t>监测数据可知，评价范围内环境空气TSP现状监测指标满足《环境空气质量标准》</w:t>
            </w:r>
            <w:r>
              <w:rPr>
                <w:rFonts w:hint="eastAsia" w:ascii="Times New Roman" w:hAnsi="Times New Roman" w:cs="Times New Roman"/>
                <w:lang w:val="en-US"/>
              </w:rPr>
              <w:t>（GB3095-2012）二级标准及其修改单限值要求，总体环境现状符合环境功能区划要求。本项目运营后会产生一定的污染物，但在采取相应的污染防治措施后，各类污染物的排放不会对周边环境造成不良影响，即不会改变区域环境功能区质量要求，能维持环境功能区质量现状。</w:t>
            </w:r>
          </w:p>
          <w:p w14:paraId="23C146E3">
            <w:pPr>
              <w:pStyle w:val="43"/>
              <w:pageBreakBefore w:val="0"/>
              <w:widowControl w:val="0"/>
              <w:kinsoku/>
              <w:overflowPunct/>
              <w:bidi w:val="0"/>
              <w:spacing w:line="360" w:lineRule="auto"/>
              <w:ind w:firstLine="480" w:firstLineChars="200"/>
              <w:textAlignment w:val="auto"/>
              <w:rPr>
                <w:rFonts w:hint="eastAsia" w:ascii="Times New Roman" w:hAnsi="Times New Roman" w:eastAsia="宋体" w:cs="Times New Roman"/>
                <w:lang w:val="en-US" w:eastAsia="zh-CN"/>
              </w:rPr>
            </w:pPr>
            <w:r>
              <w:rPr>
                <w:rFonts w:hint="eastAsia" w:ascii="Times New Roman" w:hAnsi="Times New Roman" w:cs="Times New Roman"/>
                <w:lang w:val="en-US"/>
              </w:rPr>
              <w:t>（3）资源利用上</w:t>
            </w:r>
            <w:r>
              <w:rPr>
                <w:rFonts w:hint="eastAsia" w:ascii="Times New Roman" w:hAnsi="Times New Roman" w:cs="Times New Roman"/>
                <w:lang w:val="en-US" w:eastAsia="zh-CN"/>
              </w:rPr>
              <w:t>线</w:t>
            </w:r>
          </w:p>
          <w:p w14:paraId="4DA2994D">
            <w:pPr>
              <w:pStyle w:val="43"/>
              <w:pageBreakBefore w:val="0"/>
              <w:widowControl w:val="0"/>
              <w:kinsoku/>
              <w:overflowPunct/>
              <w:bidi w:val="0"/>
              <w:spacing w:line="360" w:lineRule="auto"/>
              <w:ind w:firstLine="480" w:firstLineChars="200"/>
              <w:textAlignment w:val="auto"/>
              <w:rPr>
                <w:rFonts w:ascii="Times New Roman" w:hAnsi="Times New Roman" w:cs="Times New Roman"/>
                <w:lang w:val="en-US"/>
              </w:rPr>
            </w:pPr>
            <w:r>
              <w:rPr>
                <w:rFonts w:hint="eastAsia" w:ascii="Times New Roman" w:hAnsi="Times New Roman" w:cs="Times New Roman"/>
                <w:lang w:val="en-US"/>
              </w:rPr>
              <w:t>本项目运营过程主要资源消耗为电和水；本项目用电依托园区现有供电系统，供电由园区通过架空线路或沿路边敷设地下电缆集中供电，再通过供电管网接入用电设备。项目资源消耗量较小，能源利用率高，本项目不会突破当地资源利用上线。</w:t>
            </w:r>
          </w:p>
          <w:p w14:paraId="48A8A838">
            <w:pPr>
              <w:pStyle w:val="43"/>
              <w:pageBreakBefore w:val="0"/>
              <w:widowControl w:val="0"/>
              <w:kinsoku/>
              <w:overflowPunct/>
              <w:bidi w:val="0"/>
              <w:spacing w:line="360" w:lineRule="auto"/>
              <w:ind w:firstLine="480" w:firstLineChars="200"/>
              <w:textAlignment w:val="auto"/>
              <w:rPr>
                <w:rFonts w:ascii="Times New Roman" w:hAnsi="Times New Roman" w:cs="Times New Roman"/>
                <w:lang w:val="en-US"/>
              </w:rPr>
            </w:pPr>
            <w:r>
              <w:rPr>
                <w:rFonts w:hint="eastAsia" w:ascii="Times New Roman" w:hAnsi="Times New Roman" w:cs="Times New Roman"/>
                <w:lang w:val="en-US"/>
              </w:rPr>
              <w:t>（4）生态环境准入清单</w:t>
            </w:r>
          </w:p>
          <w:p w14:paraId="564C40D7">
            <w:pPr>
              <w:pStyle w:val="43"/>
              <w:pageBreakBefore w:val="0"/>
              <w:widowControl w:val="0"/>
              <w:kinsoku/>
              <w:overflowPunct/>
              <w:bidi w:val="0"/>
              <w:spacing w:line="360" w:lineRule="auto"/>
              <w:textAlignment w:val="auto"/>
              <w:rPr>
                <w:rFonts w:ascii="Times New Roman" w:hAnsi="Times New Roman" w:cs="Times New Roman"/>
                <w:b/>
              </w:rPr>
            </w:pPr>
            <w:r>
              <w:rPr>
                <w:rFonts w:hint="eastAsia" w:ascii="Times New Roman" w:hAnsi="Times New Roman" w:cs="Times New Roman"/>
                <w:color w:val="auto"/>
              </w:rPr>
              <w:t>根据鄂尔多斯市生态环境局关于印发《鄂尔多斯市生态环境分区管控动态更新成果（2023 年版）》的通知和《鄂尔多斯市生态环境准入清单》以及内蒙古自治区“三线一单”公众端应用平台查询结果，项目位于重点管控单元</w:t>
            </w:r>
            <w:r>
              <w:rPr>
                <w:rFonts w:ascii="Times New Roman" w:hAnsi="Times New Roman" w:cs="Times New Roman"/>
                <w:color w:val="auto"/>
              </w:rPr>
              <w:t>，</w:t>
            </w:r>
            <w:r>
              <w:rPr>
                <w:rFonts w:ascii="Times New Roman" w:hAnsi="Times New Roman" w:cs="Times New Roman"/>
              </w:rPr>
              <w:t>本项目</w:t>
            </w:r>
            <w:r>
              <w:rPr>
                <w:rFonts w:hint="eastAsia"/>
                <w:lang w:val="en-US"/>
              </w:rPr>
              <w:t>与管控</w:t>
            </w:r>
            <w:r>
              <w:rPr>
                <w:rFonts w:ascii="Times New Roman" w:hAnsi="Times New Roman" w:cs="Times New Roman"/>
              </w:rPr>
              <w:t>单元生态环境准入符合性分析见表1-</w:t>
            </w:r>
            <w:r>
              <w:rPr>
                <w:rFonts w:hint="eastAsia" w:ascii="Times New Roman" w:hAnsi="Times New Roman" w:cs="Times New Roman"/>
                <w:lang w:val="en-US"/>
              </w:rPr>
              <w:t>3</w:t>
            </w:r>
            <w:r>
              <w:rPr>
                <w:rFonts w:ascii="Times New Roman" w:hAnsi="Times New Roman" w:cs="Times New Roman"/>
              </w:rPr>
              <w:t>。</w:t>
            </w:r>
          </w:p>
          <w:p w14:paraId="5E06B1B3">
            <w:pPr>
              <w:keepLines/>
              <w:pageBreakBefore w:val="0"/>
              <w:widowControl w:val="0"/>
              <w:kinsoku/>
              <w:wordWrap w:val="0"/>
              <w:overflowPunct/>
              <w:topLinePunct/>
              <w:autoSpaceDE/>
              <w:autoSpaceDN/>
              <w:bidi w:val="0"/>
              <w:spacing w:line="360" w:lineRule="auto"/>
              <w:jc w:val="center"/>
              <w:textAlignment w:val="auto"/>
              <w:rPr>
                <w:rFonts w:hint="eastAsia" w:ascii="Times New Roman" w:hAnsi="Times New Roman" w:cs="Times New Roman"/>
                <w:b/>
                <w:sz w:val="24"/>
                <w:szCs w:val="24"/>
              </w:rPr>
            </w:pPr>
            <w:r>
              <w:rPr>
                <w:rFonts w:hint="eastAsia" w:ascii="Times New Roman" w:hAnsi="Times New Roman" w:cs="Times New Roman"/>
                <w:b/>
                <w:sz w:val="24"/>
                <w:szCs w:val="24"/>
              </w:rPr>
              <w:t>表1-</w:t>
            </w:r>
            <w:r>
              <w:rPr>
                <w:rFonts w:hint="eastAsia" w:ascii="Times New Roman" w:hAnsi="Times New Roman" w:cs="Times New Roman"/>
                <w:b/>
                <w:sz w:val="24"/>
                <w:szCs w:val="24"/>
                <w:lang w:val="en-US"/>
              </w:rPr>
              <w:t>3</w:t>
            </w:r>
            <w:r>
              <w:rPr>
                <w:rFonts w:hint="eastAsia" w:ascii="Times New Roman" w:hAnsi="Times New Roman" w:cs="Times New Roman"/>
                <w:b/>
                <w:sz w:val="24"/>
                <w:szCs w:val="24"/>
              </w:rPr>
              <w:t xml:space="preserve"> 生态环境准入符合性分析一览表</w:t>
            </w:r>
          </w:p>
          <w:tbl>
            <w:tblPr>
              <w:tblStyle w:val="28"/>
              <w:tblpPr w:leftFromText="180" w:rightFromText="180" w:vertAnchor="text" w:horzAnchor="page" w:tblpX="567" w:tblpY="327"/>
              <w:tblOverlap w:val="never"/>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693"/>
              <w:gridCol w:w="366"/>
              <w:gridCol w:w="647"/>
              <w:gridCol w:w="325"/>
              <w:gridCol w:w="2590"/>
              <w:gridCol w:w="2504"/>
            </w:tblGrid>
            <w:tr w14:paraId="675C98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188" w:hRule="atLeast"/>
              </w:trPr>
              <w:tc>
                <w:tcPr>
                  <w:tcW w:w="1041" w:type="pct"/>
                  <w:vAlign w:val="center"/>
                </w:tcPr>
                <w:p w14:paraId="7D3954D0">
                  <w:pPr>
                    <w:pageBreakBefore w:val="0"/>
                    <w:widowControl w:val="0"/>
                    <w:kinsoku/>
                    <w:overflowPunct/>
                    <w:bidi w:val="0"/>
                    <w:adjustRightInd w:val="0"/>
                    <w:snapToGrid w:val="0"/>
                    <w:jc w:val="center"/>
                    <w:textAlignment w:val="auto"/>
                    <w:rPr>
                      <w:rFonts w:ascii="Times New Roman" w:hAnsi="Times New Roman" w:cs="Times New Roman"/>
                      <w:b/>
                      <w:sz w:val="21"/>
                      <w:szCs w:val="21"/>
                    </w:rPr>
                  </w:pPr>
                  <w:r>
                    <w:rPr>
                      <w:rFonts w:ascii="Times New Roman" w:hAnsi="Times New Roman" w:cs="Times New Roman"/>
                      <w:b/>
                      <w:sz w:val="21"/>
                      <w:szCs w:val="21"/>
                    </w:rPr>
                    <w:t>环境管控单元编码</w:t>
                  </w:r>
                </w:p>
              </w:tc>
              <w:tc>
                <w:tcPr>
                  <w:tcW w:w="225" w:type="pct"/>
                  <w:vAlign w:val="center"/>
                </w:tcPr>
                <w:p w14:paraId="50CCB962">
                  <w:pPr>
                    <w:pageBreakBefore w:val="0"/>
                    <w:widowControl w:val="0"/>
                    <w:kinsoku/>
                    <w:overflowPunct/>
                    <w:bidi w:val="0"/>
                    <w:adjustRightInd w:val="0"/>
                    <w:snapToGrid w:val="0"/>
                    <w:jc w:val="center"/>
                    <w:textAlignment w:val="auto"/>
                    <w:rPr>
                      <w:rFonts w:ascii="Times New Roman" w:hAnsi="Times New Roman" w:cs="Times New Roman"/>
                      <w:b/>
                      <w:sz w:val="21"/>
                      <w:szCs w:val="21"/>
                    </w:rPr>
                  </w:pPr>
                  <w:r>
                    <w:rPr>
                      <w:rFonts w:ascii="Times New Roman" w:hAnsi="Times New Roman" w:cs="Times New Roman"/>
                      <w:b/>
                      <w:sz w:val="21"/>
                      <w:szCs w:val="21"/>
                    </w:rPr>
                    <w:t>环境管控单元名称</w:t>
                  </w:r>
                </w:p>
              </w:tc>
              <w:tc>
                <w:tcPr>
                  <w:tcW w:w="398" w:type="pct"/>
                  <w:vAlign w:val="center"/>
                </w:tcPr>
                <w:p w14:paraId="68462FF5">
                  <w:pPr>
                    <w:pageBreakBefore w:val="0"/>
                    <w:widowControl w:val="0"/>
                    <w:kinsoku/>
                    <w:overflowPunct/>
                    <w:bidi w:val="0"/>
                    <w:adjustRightInd w:val="0"/>
                    <w:snapToGrid w:val="0"/>
                    <w:jc w:val="center"/>
                    <w:textAlignment w:val="auto"/>
                    <w:rPr>
                      <w:rFonts w:ascii="Times New Roman" w:hAnsi="Times New Roman" w:cs="Times New Roman"/>
                      <w:b/>
                      <w:sz w:val="21"/>
                      <w:szCs w:val="21"/>
                    </w:rPr>
                  </w:pPr>
                  <w:r>
                    <w:rPr>
                      <w:rFonts w:ascii="Times New Roman" w:hAnsi="Times New Roman" w:cs="Times New Roman"/>
                      <w:b/>
                      <w:sz w:val="21"/>
                      <w:szCs w:val="21"/>
                    </w:rPr>
                    <w:t>管控单元类别</w:t>
                  </w:r>
                </w:p>
              </w:tc>
              <w:tc>
                <w:tcPr>
                  <w:tcW w:w="1793" w:type="pct"/>
                  <w:gridSpan w:val="2"/>
                  <w:vAlign w:val="center"/>
                </w:tcPr>
                <w:p w14:paraId="78570031">
                  <w:pPr>
                    <w:pageBreakBefore w:val="0"/>
                    <w:widowControl w:val="0"/>
                    <w:kinsoku/>
                    <w:overflowPunct/>
                    <w:bidi w:val="0"/>
                    <w:adjustRightInd w:val="0"/>
                    <w:snapToGrid w:val="0"/>
                    <w:jc w:val="center"/>
                    <w:textAlignment w:val="auto"/>
                    <w:rPr>
                      <w:rFonts w:ascii="Times New Roman" w:hAnsi="Times New Roman" w:cs="Times New Roman"/>
                      <w:b/>
                      <w:sz w:val="21"/>
                      <w:szCs w:val="21"/>
                    </w:rPr>
                  </w:pPr>
                  <w:r>
                    <w:rPr>
                      <w:rFonts w:ascii="Times New Roman" w:hAnsi="Times New Roman" w:cs="Times New Roman"/>
                      <w:b/>
                      <w:sz w:val="21"/>
                      <w:szCs w:val="21"/>
                    </w:rPr>
                    <w:t>管控要求</w:t>
                  </w:r>
                </w:p>
              </w:tc>
              <w:tc>
                <w:tcPr>
                  <w:tcW w:w="1540" w:type="pct"/>
                  <w:vAlign w:val="center"/>
                </w:tcPr>
                <w:p w14:paraId="206089E5">
                  <w:pPr>
                    <w:pageBreakBefore w:val="0"/>
                    <w:widowControl w:val="0"/>
                    <w:kinsoku/>
                    <w:overflowPunct/>
                    <w:bidi w:val="0"/>
                    <w:adjustRightInd w:val="0"/>
                    <w:snapToGrid w:val="0"/>
                    <w:jc w:val="center"/>
                    <w:textAlignment w:val="auto"/>
                    <w:rPr>
                      <w:rFonts w:ascii="Times New Roman" w:hAnsi="Times New Roman" w:cs="Times New Roman"/>
                      <w:b/>
                      <w:sz w:val="21"/>
                      <w:szCs w:val="21"/>
                    </w:rPr>
                  </w:pPr>
                  <w:r>
                    <w:rPr>
                      <w:rFonts w:ascii="Times New Roman" w:hAnsi="Times New Roman" w:cs="Times New Roman"/>
                      <w:b/>
                      <w:sz w:val="21"/>
                      <w:szCs w:val="21"/>
                    </w:rPr>
                    <w:t>符合性说明</w:t>
                  </w:r>
                </w:p>
              </w:tc>
            </w:tr>
            <w:tr w14:paraId="7E0353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188" w:hRule="atLeast"/>
              </w:trPr>
              <w:tc>
                <w:tcPr>
                  <w:tcW w:w="1041" w:type="pct"/>
                  <w:vAlign w:val="center"/>
                </w:tcPr>
                <w:p w14:paraId="506163CC">
                  <w:pPr>
                    <w:pageBreakBefore w:val="0"/>
                    <w:widowControl w:val="0"/>
                    <w:kinsoku/>
                    <w:overflowPunct/>
                    <w:bidi w:val="0"/>
                    <w:adjustRightInd w:val="0"/>
                    <w:snapToGrid w:val="0"/>
                    <w:jc w:val="center"/>
                    <w:textAlignment w:val="auto"/>
                    <w:rPr>
                      <w:rFonts w:hint="default" w:ascii="Times New Roman" w:hAnsi="Times New Roman" w:eastAsia="宋体" w:cs="Times New Roman"/>
                      <w:b/>
                      <w:sz w:val="21"/>
                      <w:szCs w:val="21"/>
                      <w:lang w:val="en-US" w:eastAsia="zh-CN"/>
                    </w:rPr>
                  </w:pPr>
                  <w:r>
                    <w:rPr>
                      <w:rFonts w:hint="eastAsia" w:ascii="Times New Roman" w:hAnsi="Times New Roman" w:cs="Times New Roman"/>
                      <w:bCs/>
                      <w:sz w:val="21"/>
                      <w:szCs w:val="21"/>
                      <w:lang w:val="en-US" w:eastAsia="zh-CN"/>
                    </w:rPr>
                    <w:t>ZH</w:t>
                  </w:r>
                  <w:r>
                    <w:rPr>
                      <w:rFonts w:hint="eastAsia" w:ascii="Times New Roman" w:hAnsi="Times New Roman" w:cs="Times New Roman"/>
                      <w:bCs/>
                      <w:sz w:val="21"/>
                      <w:szCs w:val="21"/>
                    </w:rPr>
                    <w:t>15062</w:t>
                  </w:r>
                  <w:r>
                    <w:rPr>
                      <w:rFonts w:hint="eastAsia" w:ascii="Times New Roman" w:hAnsi="Times New Roman" w:cs="Times New Roman"/>
                      <w:bCs/>
                      <w:sz w:val="21"/>
                      <w:szCs w:val="21"/>
                      <w:lang w:val="en-US" w:eastAsia="zh-CN"/>
                    </w:rPr>
                    <w:t>720007</w:t>
                  </w:r>
                </w:p>
              </w:tc>
              <w:tc>
                <w:tcPr>
                  <w:tcW w:w="225" w:type="pct"/>
                  <w:vAlign w:val="center"/>
                </w:tcPr>
                <w:p w14:paraId="5DB3970B">
                  <w:pPr>
                    <w:pageBreakBefore w:val="0"/>
                    <w:widowControl w:val="0"/>
                    <w:kinsoku/>
                    <w:overflowPunct/>
                    <w:bidi w:val="0"/>
                    <w:adjustRightInd w:val="0"/>
                    <w:snapToGrid w:val="0"/>
                    <w:jc w:val="center"/>
                    <w:textAlignment w:val="auto"/>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新街矿区</w:t>
                  </w:r>
                </w:p>
              </w:tc>
              <w:tc>
                <w:tcPr>
                  <w:tcW w:w="398" w:type="pct"/>
                  <w:vAlign w:val="center"/>
                </w:tcPr>
                <w:p w14:paraId="56FD0500">
                  <w:pPr>
                    <w:pageBreakBefore w:val="0"/>
                    <w:widowControl w:val="0"/>
                    <w:kinsoku/>
                    <w:overflowPunct/>
                    <w:bidi w:val="0"/>
                    <w:adjustRightInd w:val="0"/>
                    <w:snapToGrid w:val="0"/>
                    <w:jc w:val="center"/>
                    <w:textAlignment w:val="auto"/>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rPr>
                    <w:t>重点管控</w:t>
                  </w:r>
                  <w:r>
                    <w:rPr>
                      <w:rFonts w:hint="eastAsia" w:ascii="Times New Roman" w:hAnsi="Times New Roman" w:cs="Times New Roman"/>
                      <w:bCs/>
                      <w:sz w:val="21"/>
                      <w:szCs w:val="21"/>
                      <w:lang w:val="en-US" w:eastAsia="zh-CN"/>
                    </w:rPr>
                    <w:t>单元</w:t>
                  </w:r>
                </w:p>
              </w:tc>
              <w:tc>
                <w:tcPr>
                  <w:tcW w:w="200" w:type="pct"/>
                  <w:vAlign w:val="center"/>
                </w:tcPr>
                <w:p w14:paraId="134E043A">
                  <w:pPr>
                    <w:pageBreakBefore w:val="0"/>
                    <w:widowControl w:val="0"/>
                    <w:kinsoku/>
                    <w:overflowPunct/>
                    <w:bidi w:val="0"/>
                    <w:adjustRightInd w:val="0"/>
                    <w:snapToGrid w:val="0"/>
                    <w:jc w:val="center"/>
                    <w:textAlignment w:val="auto"/>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资源开发效率</w:t>
                  </w:r>
                </w:p>
              </w:tc>
              <w:tc>
                <w:tcPr>
                  <w:tcW w:w="1593" w:type="pct"/>
                  <w:vAlign w:val="center"/>
                </w:tcPr>
                <w:p w14:paraId="60EBEE4A">
                  <w:pPr>
                    <w:pageBreakBefore w:val="0"/>
                    <w:widowControl w:val="0"/>
                    <w:numPr>
                      <w:ilvl w:val="0"/>
                      <w:numId w:val="2"/>
                    </w:numPr>
                    <w:kinsoku/>
                    <w:overflowPunct/>
                    <w:bidi w:val="0"/>
                    <w:adjustRightInd w:val="0"/>
                    <w:snapToGrid w:val="0"/>
                    <w:jc w:val="both"/>
                    <w:textAlignment w:val="auto"/>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原煤入选率不低于75%</w:t>
                  </w:r>
                  <w:r>
                    <w:rPr>
                      <w:rFonts w:hint="eastAsia" w:ascii="Times New Roman" w:hAnsi="Times New Roman" w:cs="Times New Roman"/>
                      <w:bCs/>
                      <w:sz w:val="21"/>
                      <w:szCs w:val="21"/>
                      <w:lang w:val="en-US" w:eastAsia="zh-CN"/>
                    </w:rPr>
                    <w:t>；</w:t>
                  </w:r>
                  <w:r>
                    <w:rPr>
                      <w:rFonts w:hint="eastAsia" w:ascii="Times New Roman" w:hAnsi="Times New Roman" w:eastAsia="宋体" w:cs="Times New Roman"/>
                      <w:bCs/>
                      <w:sz w:val="21"/>
                      <w:szCs w:val="21"/>
                      <w:lang w:val="en-US" w:eastAsia="zh-CN"/>
                    </w:rPr>
                    <w:t>煤矸石综合利用率应达到75</w:t>
                  </w:r>
                  <w:r>
                    <w:rPr>
                      <w:rFonts w:hint="eastAsia" w:ascii="Times New Roman" w:hAnsi="Times New Roman" w:cs="Times New Roman"/>
                      <w:bCs/>
                      <w:sz w:val="21"/>
                      <w:szCs w:val="21"/>
                      <w:lang w:val="en-US" w:eastAsia="zh-CN"/>
                    </w:rPr>
                    <w:t>%；</w:t>
                  </w:r>
                  <w:r>
                    <w:rPr>
                      <w:rFonts w:hint="eastAsia" w:ascii="Times New Roman" w:hAnsi="Times New Roman" w:eastAsia="宋体" w:cs="Times New Roman"/>
                      <w:bCs/>
                      <w:sz w:val="21"/>
                      <w:szCs w:val="21"/>
                      <w:lang w:val="en-US" w:eastAsia="zh-CN"/>
                    </w:rPr>
                    <w:t>矿井水、疏干水应采用洁净化、资源化技术和工艺进行合理处置，处置率达到100%。</w:t>
                  </w:r>
                </w:p>
                <w:p w14:paraId="0264291D">
                  <w:pPr>
                    <w:pageBreakBefore w:val="0"/>
                    <w:widowControl w:val="0"/>
                    <w:numPr>
                      <w:ilvl w:val="0"/>
                      <w:numId w:val="2"/>
                    </w:numPr>
                    <w:kinsoku/>
                    <w:overflowPunct/>
                    <w:bidi w:val="0"/>
                    <w:adjustRightInd w:val="0"/>
                    <w:snapToGrid w:val="0"/>
                    <w:jc w:val="both"/>
                    <w:textAlignment w:val="auto"/>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煤矿采区回采率、原煤入选率、煤矸石与共伴生矿产资源综合利用率等三项指标符合自然资源部发布的《煤炭资源合理开发利用“三率”指标要求(试行)》。</w:t>
                  </w:r>
                </w:p>
                <w:p w14:paraId="006057A7">
                  <w:pPr>
                    <w:pageBreakBefore w:val="0"/>
                    <w:widowControl w:val="0"/>
                    <w:numPr>
                      <w:ilvl w:val="0"/>
                      <w:numId w:val="2"/>
                    </w:numPr>
                    <w:kinsoku/>
                    <w:overflowPunct/>
                    <w:bidi w:val="0"/>
                    <w:adjustRightInd w:val="0"/>
                    <w:snapToGrid w:val="0"/>
                    <w:jc w:val="both"/>
                    <w:textAlignment w:val="auto"/>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严格执行取用水总量控制制度，推进矿井水综合利用，煤炭矿区的补充用水、周边地区生产和生态用水应优先使用矿井水，加强洗煤废水循环利用。</w:t>
                  </w:r>
                </w:p>
                <w:p w14:paraId="7889AB48">
                  <w:pPr>
                    <w:pageBreakBefore w:val="0"/>
                    <w:widowControl w:val="0"/>
                    <w:numPr>
                      <w:ilvl w:val="0"/>
                      <w:numId w:val="2"/>
                    </w:numPr>
                    <w:kinsoku/>
                    <w:overflowPunct/>
                    <w:bidi w:val="0"/>
                    <w:adjustRightInd w:val="0"/>
                    <w:snapToGrid w:val="0"/>
                    <w:jc w:val="both"/>
                    <w:textAlignment w:val="auto"/>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限制勘查开发过程中对环境破坏较大的砂金等重砂矿物，原则上不再新设勘查项目，确需新立的必须通过环境影响评估，并征得环保部门同意。禁止勘查超贫</w:t>
                  </w:r>
                  <w:r>
                    <w:rPr>
                      <w:rFonts w:hint="eastAsia" w:ascii="Times New Roman" w:hAnsi="Times New Roman" w:cs="Times New Roman"/>
                      <w:bCs/>
                      <w:sz w:val="21"/>
                      <w:szCs w:val="21"/>
                      <w:lang w:val="en-US" w:eastAsia="zh-CN"/>
                    </w:rPr>
                    <w:t>磁铁矿。</w:t>
                  </w:r>
                </w:p>
              </w:tc>
              <w:tc>
                <w:tcPr>
                  <w:tcW w:w="1540" w:type="pct"/>
                  <w:vAlign w:val="center"/>
                </w:tcPr>
                <w:p w14:paraId="7895E70A">
                  <w:pPr>
                    <w:pageBreakBefore w:val="0"/>
                    <w:widowControl w:val="0"/>
                    <w:numPr>
                      <w:ilvl w:val="0"/>
                      <w:numId w:val="0"/>
                    </w:numPr>
                    <w:kinsoku/>
                    <w:overflowPunct/>
                    <w:bidi w:val="0"/>
                    <w:adjustRightInd w:val="0"/>
                    <w:snapToGrid w:val="0"/>
                    <w:jc w:val="both"/>
                    <w:textAlignment w:val="auto"/>
                    <w:rPr>
                      <w:rFonts w:hint="default"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本项目为洗选厂煤棚扩建项目，不属于煤炭开采。项目生产用水依托现有，为鄂尔多斯市圣圆水务集团有限责任公司提供的经处理达标后的矿井疏干水。</w:t>
                  </w:r>
                </w:p>
                <w:p w14:paraId="06726715">
                  <w:pPr>
                    <w:pStyle w:val="6"/>
                    <w:ind w:left="0" w:leftChars="0" w:firstLine="0" w:firstLineChars="0"/>
                    <w:rPr>
                      <w:rFonts w:hint="default"/>
                      <w:lang w:val="en-US" w:eastAsia="zh-CN"/>
                    </w:rPr>
                  </w:pPr>
                </w:p>
              </w:tc>
            </w:tr>
          </w:tbl>
          <w:p w14:paraId="6EC7518C">
            <w:pPr>
              <w:pageBreakBefore w:val="0"/>
              <w:widowControl w:val="0"/>
              <w:kinsoku/>
              <w:overflowPunct/>
              <w:bidi w:val="0"/>
              <w:adjustRightInd w:val="0"/>
              <w:snapToGrid w:val="0"/>
              <w:spacing w:line="440" w:lineRule="exact"/>
              <w:ind w:firstLine="440" w:firstLineChars="200"/>
              <w:textAlignment w:val="auto"/>
              <w:rPr>
                <w:rStyle w:val="49"/>
                <w:rFonts w:ascii="Times New Roman" w:hAnsi="Times New Roman" w:cs="Times New Roman"/>
                <w:lang w:val="en-US"/>
              </w:rPr>
            </w:pPr>
            <w:r>
              <w:rPr>
                <w:rFonts w:ascii="Times New Roman" w:hAnsi="Times New Roman" w:cs="Times New Roman"/>
                <w:lang w:val="en-US"/>
              </w:rPr>
              <w:t xml:space="preserve"> </w:t>
            </w:r>
            <w:r>
              <w:rPr>
                <w:rStyle w:val="49"/>
                <w:rFonts w:ascii="Times New Roman" w:hAnsi="Times New Roman" w:cs="Times New Roman"/>
                <w:lang w:val="en-US"/>
              </w:rPr>
              <w:t xml:space="preserve"> </w:t>
            </w:r>
            <w:r>
              <w:rPr>
                <w:rStyle w:val="49"/>
                <w:rFonts w:ascii="Times New Roman" w:hAnsi="Times New Roman" w:cs="Times New Roman"/>
              </w:rPr>
              <w:t>根据上表分析可知，项目符合生态环境准入清单要求。综上所述，本项目符合</w:t>
            </w:r>
            <w:r>
              <w:rPr>
                <w:rStyle w:val="49"/>
                <w:rFonts w:ascii="Times New Roman" w:hAnsi="Times New Roman" w:cs="Times New Roman"/>
                <w:lang w:val="en-US"/>
              </w:rPr>
              <w:t>鄂尔多斯市</w:t>
            </w:r>
            <w:r>
              <w:rPr>
                <w:rStyle w:val="49"/>
                <w:rFonts w:hint="eastAsia" w:ascii="宋体" w:hAnsi="宋体" w:eastAsia="宋体" w:cs="宋体"/>
              </w:rPr>
              <w:t>“三线一单”</w:t>
            </w:r>
            <w:r>
              <w:rPr>
                <w:rStyle w:val="49"/>
                <w:rFonts w:ascii="Times New Roman" w:hAnsi="Times New Roman" w:cs="Times New Roman"/>
              </w:rPr>
              <w:t>的相关要求。</w:t>
            </w:r>
          </w:p>
          <w:p w14:paraId="0426F8BB">
            <w:pPr>
              <w:pStyle w:val="36"/>
              <w:pageBreakBefore w:val="0"/>
              <w:widowControl w:val="0"/>
              <w:kinsoku/>
              <w:overflowPunct/>
              <w:bidi w:val="0"/>
              <w:jc w:val="center"/>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drawing>
                <wp:inline distT="0" distB="0" distL="114300" distR="114300">
                  <wp:extent cx="5088890" cy="3478530"/>
                  <wp:effectExtent l="0" t="0" r="16510" b="7620"/>
                  <wp:docPr id="21" name="图片 21" descr="微信截图_2025041411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截图_20250414115017"/>
                          <pic:cNvPicPr>
                            <a:picLocks noChangeAspect="1"/>
                          </pic:cNvPicPr>
                        </pic:nvPicPr>
                        <pic:blipFill>
                          <a:blip r:embed="rId12"/>
                          <a:stretch>
                            <a:fillRect/>
                          </a:stretch>
                        </pic:blipFill>
                        <pic:spPr>
                          <a:xfrm>
                            <a:off x="0" y="0"/>
                            <a:ext cx="5088890" cy="3478530"/>
                          </a:xfrm>
                          <a:prstGeom prst="rect">
                            <a:avLst/>
                          </a:prstGeom>
                        </pic:spPr>
                      </pic:pic>
                    </a:graphicData>
                  </a:graphic>
                </wp:inline>
              </w:drawing>
            </w:r>
          </w:p>
          <w:p w14:paraId="7ADF7FCD">
            <w:pPr>
              <w:keepNext/>
              <w:pageBreakBefore w:val="0"/>
              <w:widowControl w:val="0"/>
              <w:kinsoku/>
              <w:wordWrap w:val="0"/>
              <w:overflowPunct/>
              <w:topLinePunct/>
              <w:autoSpaceDE/>
              <w:autoSpaceDN/>
              <w:bidi w:val="0"/>
              <w:spacing w:line="520" w:lineRule="exact"/>
              <w:jc w:val="center"/>
              <w:textAlignment w:val="auto"/>
              <w:rPr>
                <w:rFonts w:ascii="Times New Roman" w:hAnsi="Times New Roman" w:cs="Times New Roman"/>
                <w:b/>
                <w:bCs/>
                <w:sz w:val="24"/>
                <w:szCs w:val="24"/>
                <w:lang w:val="en-US"/>
              </w:rPr>
            </w:pPr>
            <w:r>
              <w:rPr>
                <w:rFonts w:ascii="Times New Roman" w:hAnsi="Times New Roman" w:cs="Times New Roman"/>
                <w:b/>
                <w:bCs/>
                <w:sz w:val="24"/>
                <w:szCs w:val="24"/>
                <w:lang w:val="en-US"/>
              </w:rPr>
              <w:t>图</w:t>
            </w:r>
            <w:r>
              <w:rPr>
                <w:rFonts w:hint="eastAsia" w:ascii="Times New Roman" w:hAnsi="Times New Roman" w:cs="Times New Roman"/>
                <w:b/>
                <w:bCs/>
                <w:sz w:val="24"/>
                <w:szCs w:val="24"/>
                <w:lang w:val="en-US"/>
              </w:rPr>
              <w:t>1-2</w:t>
            </w:r>
            <w:r>
              <w:rPr>
                <w:rFonts w:ascii="Times New Roman" w:hAnsi="Times New Roman" w:cs="Times New Roman"/>
                <w:b/>
                <w:bCs/>
                <w:sz w:val="24"/>
                <w:szCs w:val="24"/>
                <w:lang w:val="en-US"/>
              </w:rPr>
              <w:t xml:space="preserve">    本项目与鄂尔多斯市环境管控单元位置关系图</w:t>
            </w:r>
          </w:p>
          <w:p w14:paraId="68A62DA8">
            <w:pPr>
              <w:pStyle w:val="43"/>
              <w:pageBreakBefore w:val="0"/>
              <w:widowControl w:val="0"/>
              <w:kinsoku/>
              <w:overflowPunct/>
              <w:bidi w:val="0"/>
              <w:textAlignment w:val="auto"/>
              <w:rPr>
                <w:rFonts w:ascii="Times New Roman" w:hAnsi="Times New Roman" w:cs="Times New Roman"/>
                <w:b/>
                <w:bCs/>
                <w:lang w:val="en-US"/>
              </w:rPr>
            </w:pPr>
            <w:r>
              <w:rPr>
                <w:rFonts w:ascii="Times New Roman" w:hAnsi="Times New Roman" w:cs="Times New Roman"/>
                <w:b/>
                <w:bCs/>
                <w:lang w:val="en-US"/>
              </w:rPr>
              <w:t xml:space="preserve">3、选址可行性分析 </w:t>
            </w:r>
          </w:p>
          <w:p w14:paraId="16D4B71F">
            <w:pPr>
              <w:pStyle w:val="43"/>
              <w:pageBreakBefore w:val="0"/>
              <w:widowControl w:val="0"/>
              <w:kinsoku/>
              <w:overflowPunct/>
              <w:bidi w:val="0"/>
              <w:spacing w:line="360" w:lineRule="auto"/>
              <w:textAlignment w:val="auto"/>
              <w:rPr>
                <w:rFonts w:ascii="Times New Roman" w:hAnsi="Times New Roman" w:cs="Times New Roman"/>
                <w:lang w:val="en-US"/>
              </w:rPr>
            </w:pPr>
            <w:r>
              <w:rPr>
                <w:rFonts w:ascii="Times New Roman" w:hAnsi="Times New Roman" w:cs="Times New Roman"/>
              </w:rPr>
              <w:t>项目建设地址位于</w:t>
            </w:r>
            <w:r>
              <w:rPr>
                <w:rFonts w:hint="eastAsia" w:ascii="Times New Roman" w:hAnsi="Times New Roman" w:cs="Times New Roman"/>
              </w:rPr>
              <w:t>札萨克镇</w:t>
            </w:r>
            <w:r>
              <w:rPr>
                <w:rFonts w:hint="eastAsia" w:ascii="Times New Roman" w:hAnsi="Times New Roman" w:cs="Times New Roman"/>
                <w:lang w:val="en-US" w:eastAsia="zh-CN"/>
              </w:rPr>
              <w:t>哈日木河村</w:t>
            </w:r>
            <w:r>
              <w:rPr>
                <w:rFonts w:ascii="Times New Roman" w:hAnsi="Times New Roman" w:cs="Times New Roman"/>
                <w:color w:val="auto"/>
              </w:rPr>
              <w:t>，项目不在风景名胜区、自然保护区、水源保护区和其他需要特别保护的区域内</w:t>
            </w:r>
            <w:r>
              <w:rPr>
                <w:rFonts w:hint="eastAsia" w:ascii="Times New Roman" w:hAnsi="Times New Roman" w:cs="Times New Roman"/>
                <w:color w:val="auto"/>
                <w:lang w:val="en-US" w:eastAsia="zh-CN"/>
              </w:rPr>
              <w:t>，项目不涉及文物保护区，</w:t>
            </w:r>
            <w:r>
              <w:rPr>
                <w:rFonts w:hint="eastAsia" w:ascii="Times New Roman" w:hAnsi="Times New Roman" w:cs="Times New Roman"/>
                <w:lang w:val="en-US"/>
              </w:rPr>
              <w:t>项目区周边500m范围内无常住居民，</w:t>
            </w:r>
            <w:r>
              <w:rPr>
                <w:rFonts w:ascii="Times New Roman" w:hAnsi="Times New Roman" w:cs="Times New Roman"/>
              </w:rPr>
              <w:t>基本无环境制约因素。</w:t>
            </w:r>
            <w:r>
              <w:rPr>
                <w:rFonts w:hint="eastAsia"/>
                <w:color w:val="auto"/>
                <w:lang w:val="en-US" w:eastAsia="zh-CN"/>
              </w:rPr>
              <w:t>本项目用地已取得不动产权证，在不动产权证内面积建设，为工业用地，</w:t>
            </w:r>
            <w:r>
              <w:rPr>
                <w:rFonts w:ascii="Times New Roman" w:hAnsi="Times New Roman" w:cs="Times New Roman"/>
                <w:color w:val="auto"/>
              </w:rPr>
              <w:t>综上所述</w:t>
            </w:r>
            <w:r>
              <w:rPr>
                <w:rFonts w:ascii="Times New Roman" w:hAnsi="Times New Roman" w:cs="Times New Roman"/>
              </w:rPr>
              <w:t>，从环境保护的角度分析，采取相应的生态保护措施、污染治理措施后，本项目地选址可行。</w:t>
            </w:r>
          </w:p>
        </w:tc>
      </w:tr>
    </w:tbl>
    <w:p w14:paraId="3188B263">
      <w:pPr>
        <w:rPr>
          <w:rFonts w:ascii="Times New Roman" w:hAnsi="Times New Roman" w:cs="Times New Roman"/>
          <w:sz w:val="20"/>
        </w:rPr>
        <w:sectPr>
          <w:footerReference r:id="rId5" w:type="default"/>
          <w:pgSz w:w="11910" w:h="16840"/>
          <w:pgMar w:top="1440" w:right="879" w:bottom="1219" w:left="901" w:header="720" w:footer="1043" w:gutter="0"/>
          <w:cols w:space="720" w:num="1"/>
        </w:sectPr>
      </w:pPr>
    </w:p>
    <w:p w14:paraId="140ECFCB">
      <w:pPr>
        <w:keepNext/>
        <w:keepLines/>
        <w:spacing w:before="32"/>
        <w:ind w:left="442" w:right="465"/>
        <w:jc w:val="center"/>
        <w:outlineLvl w:val="0"/>
        <w:rPr>
          <w:rFonts w:ascii="Times New Roman" w:hAnsi="Times New Roman" w:cs="Times New Roman"/>
          <w:sz w:val="21"/>
        </w:rPr>
      </w:pPr>
      <w:bookmarkStart w:id="7" w:name="二、建设项目工程分析"/>
      <w:bookmarkEnd w:id="7"/>
      <w:bookmarkStart w:id="8" w:name="_Toc25236"/>
      <w:r>
        <w:rPr>
          <w:rFonts w:ascii="Times New Roman" w:hAnsi="Times New Roman" w:eastAsia="黑体" w:cs="Times New Roman"/>
          <w:sz w:val="30"/>
        </w:rPr>
        <w:t>二、建设项目工程分析</w:t>
      </w:r>
      <w:bookmarkEnd w:id="8"/>
    </w:p>
    <w:tbl>
      <w:tblPr>
        <w:tblStyle w:val="28"/>
        <w:tblW w:w="9998" w:type="dxa"/>
        <w:tblInd w:w="14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400"/>
        <w:gridCol w:w="9598"/>
      </w:tblGrid>
      <w:tr w14:paraId="586B54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012" w:hRule="atLeast"/>
        </w:trPr>
        <w:tc>
          <w:tcPr>
            <w:tcW w:w="400" w:type="dxa"/>
            <w:tcBorders>
              <w:right w:val="single" w:color="000000" w:sz="4" w:space="0"/>
            </w:tcBorders>
          </w:tcPr>
          <w:p w14:paraId="383F8B4A">
            <w:pPr>
              <w:spacing w:line="520" w:lineRule="exact"/>
              <w:rPr>
                <w:rFonts w:ascii="Times New Roman" w:hAnsi="Times New Roman" w:cs="Times New Roman"/>
                <w:sz w:val="20"/>
              </w:rPr>
            </w:pPr>
          </w:p>
          <w:p w14:paraId="218038E3">
            <w:pPr>
              <w:spacing w:line="520" w:lineRule="exact"/>
              <w:rPr>
                <w:rFonts w:ascii="Times New Roman" w:hAnsi="Times New Roman" w:cs="Times New Roman"/>
                <w:sz w:val="20"/>
              </w:rPr>
            </w:pPr>
          </w:p>
          <w:p w14:paraId="74BABF91">
            <w:pPr>
              <w:spacing w:line="520" w:lineRule="exact"/>
              <w:rPr>
                <w:rFonts w:ascii="Times New Roman" w:hAnsi="Times New Roman" w:cs="Times New Roman"/>
                <w:sz w:val="20"/>
              </w:rPr>
            </w:pPr>
          </w:p>
          <w:p w14:paraId="6AE453C1">
            <w:pPr>
              <w:spacing w:line="520" w:lineRule="exact"/>
              <w:rPr>
                <w:rFonts w:ascii="Times New Roman" w:hAnsi="Times New Roman" w:cs="Times New Roman"/>
                <w:sz w:val="20"/>
              </w:rPr>
            </w:pPr>
          </w:p>
          <w:p w14:paraId="13A95140">
            <w:pPr>
              <w:spacing w:line="520" w:lineRule="exact"/>
              <w:rPr>
                <w:rFonts w:ascii="Times New Roman" w:hAnsi="Times New Roman" w:cs="Times New Roman"/>
                <w:sz w:val="20"/>
              </w:rPr>
            </w:pPr>
          </w:p>
          <w:p w14:paraId="32709991">
            <w:pPr>
              <w:spacing w:line="520" w:lineRule="exact"/>
              <w:rPr>
                <w:rFonts w:ascii="Times New Roman" w:hAnsi="Times New Roman" w:cs="Times New Roman"/>
                <w:sz w:val="20"/>
              </w:rPr>
            </w:pPr>
          </w:p>
          <w:p w14:paraId="06227C35">
            <w:pPr>
              <w:spacing w:line="520" w:lineRule="exact"/>
              <w:rPr>
                <w:rFonts w:ascii="Times New Roman" w:hAnsi="Times New Roman" w:cs="Times New Roman"/>
                <w:sz w:val="20"/>
              </w:rPr>
            </w:pPr>
          </w:p>
          <w:p w14:paraId="7DD7D780">
            <w:pPr>
              <w:spacing w:line="520" w:lineRule="exact"/>
              <w:jc w:val="center"/>
              <w:rPr>
                <w:rFonts w:ascii="Times New Roman" w:hAnsi="Times New Roman" w:cs="Times New Roman"/>
                <w:spacing w:val="-2"/>
                <w:sz w:val="24"/>
                <w:szCs w:val="24"/>
                <w:lang w:val="en-US"/>
              </w:rPr>
            </w:pPr>
          </w:p>
          <w:p w14:paraId="3CCC7938">
            <w:pPr>
              <w:spacing w:line="520" w:lineRule="exact"/>
              <w:jc w:val="center"/>
              <w:rPr>
                <w:rFonts w:ascii="Times New Roman" w:hAnsi="Times New Roman" w:cs="Times New Roman"/>
                <w:sz w:val="21"/>
              </w:rPr>
            </w:pPr>
            <w:r>
              <w:rPr>
                <w:rFonts w:ascii="Times New Roman" w:hAnsi="Times New Roman" w:cs="Times New Roman"/>
                <w:spacing w:val="-2"/>
                <w:sz w:val="24"/>
                <w:szCs w:val="24"/>
                <w:lang w:val="en-US"/>
              </w:rPr>
              <w:t>建设内容</w:t>
            </w:r>
          </w:p>
        </w:tc>
        <w:tc>
          <w:tcPr>
            <w:tcW w:w="9598" w:type="dxa"/>
            <w:tcBorders>
              <w:left w:val="single" w:color="000000" w:sz="4" w:space="0"/>
            </w:tcBorders>
          </w:tcPr>
          <w:p w14:paraId="253DB406">
            <w:pPr>
              <w:adjustRightInd w:val="0"/>
              <w:snapToGrid w:val="0"/>
              <w:spacing w:line="360" w:lineRule="auto"/>
              <w:ind w:firstLine="482" w:firstLineChars="200"/>
              <w:rPr>
                <w:rFonts w:ascii="Times New Roman" w:hAnsi="Times New Roman" w:cs="Times New Roman"/>
                <w:b/>
                <w:sz w:val="24"/>
              </w:rPr>
            </w:pPr>
            <w:r>
              <w:rPr>
                <w:rFonts w:ascii="Times New Roman" w:hAnsi="Times New Roman" w:cs="Times New Roman"/>
                <w:b/>
                <w:sz w:val="24"/>
                <w:lang w:val="en-US"/>
              </w:rPr>
              <w:t>一、</w:t>
            </w:r>
            <w:r>
              <w:rPr>
                <w:rFonts w:ascii="Times New Roman" w:hAnsi="Times New Roman" w:cs="Times New Roman"/>
                <w:b/>
                <w:sz w:val="24"/>
              </w:rPr>
              <w:t>项目由来</w:t>
            </w:r>
          </w:p>
          <w:p w14:paraId="030B2866">
            <w:pPr>
              <w:pStyle w:val="43"/>
              <w:rPr>
                <w:rFonts w:ascii="Times New Roman" w:hAnsi="Times New Roman" w:cs="Times New Roman"/>
              </w:rPr>
            </w:pPr>
            <w:r>
              <w:rPr>
                <w:rFonts w:hint="eastAsia" w:ascii="Times New Roman" w:hAnsi="Times New Roman" w:cs="Times New Roman"/>
                <w:lang w:val="en-US" w:eastAsia="zh-CN"/>
              </w:rPr>
              <w:t>伊金霍洛旗鑫海洗煤厂（普通合伙）在原30万吨/年洗煤厂项目改扩建为120万吨/年洗煤厂项目建设的过程中，对洗煤厂的配套储煤棚建设面积比环评批复文件中配套的储煤棚面积大，环评文件中洗煤厂配套储煤棚建设面积为11000m</w:t>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，实际建设中将原改扩建环评中准备车间、洗选车间、原煤棚、精煤棚、中煤棚、矸石棚、煤泥棚等储煤棚未进行分项建设，实际建设一座大型全封闭储煤棚，面积为27069.80m</w:t>
            </w:r>
            <w:r>
              <w:rPr>
                <w:rFonts w:hint="eastAsia" w:ascii="Times New Roman" w:hAnsi="Times New Roman" w:cs="Times New Roman"/>
                <w:vertAlign w:val="superscript"/>
                <w:lang w:val="en-US" w:eastAsia="zh-CN"/>
              </w:rPr>
              <w:t>2</w:t>
            </w:r>
            <w:r>
              <w:rPr>
                <w:rFonts w:hint="eastAsia" w:ascii="Times New Roman" w:hAnsi="Times New Roman" w:cs="Times New Roman"/>
                <w:vertAlign w:val="baseline"/>
                <w:lang w:val="en-US" w:eastAsia="zh-CN"/>
              </w:rPr>
              <w:t>，在该煤棚中建设洗选设施，将原煤、精煤、中煤、矸石、煤泥分区域堆存</w:t>
            </w:r>
            <w:r>
              <w:rPr>
                <w:rFonts w:ascii="Times New Roman" w:hAnsi="Times New Roman" w:cs="Times New Roman"/>
              </w:rPr>
              <w:t>。</w:t>
            </w:r>
          </w:p>
          <w:p w14:paraId="3FD0A23A">
            <w:pPr>
              <w:pStyle w:val="43"/>
              <w:rPr>
                <w:rFonts w:ascii="Times New Roman" w:hAnsi="Times New Roman" w:cs="Times New Roman"/>
                <w:color w:val="auto"/>
              </w:rPr>
            </w:pPr>
            <w:r>
              <w:rPr>
                <w:rFonts w:hint="eastAsia" w:ascii="Times New Roman" w:hAnsi="Times New Roman" w:cs="Times New Roman"/>
                <w:lang w:val="en-US" w:eastAsia="zh-CN"/>
              </w:rPr>
              <w:t>由于洗煤厂配套储煤棚建设面积与原环评批复面积不符，根据《伊金霍洛旗人民政府关于洗选煤厂集装站集中整治有关事宜的会议纪要》〔2024〕47号</w:t>
            </w:r>
            <w:r>
              <w:rPr>
                <w:rFonts w:hint="eastAsia" w:ascii="Times New Roman" w:hAnsi="Times New Roman" w:cs="Times New Roman"/>
                <w:color w:val="auto"/>
                <w:lang w:val="en-US" w:eastAsia="zh-CN"/>
              </w:rPr>
              <w:t>文件要求，伊金霍洛旗鑫海洗煤厂（普通合伙）需要重新报批环评；鄂尔多斯市生态环境局于2025年6月25日以鄂环罚〔2025〕5-15号进行处罚，企业接受处罚并于2025年6月26日缴纳了罚款</w:t>
            </w:r>
            <w:r>
              <w:rPr>
                <w:rFonts w:ascii="Times New Roman" w:hAnsi="Times New Roman" w:cs="Times New Roman"/>
                <w:color w:val="auto"/>
              </w:rPr>
              <w:t>。</w:t>
            </w:r>
          </w:p>
          <w:p w14:paraId="69C559DD">
            <w:pPr>
              <w:spacing w:line="360" w:lineRule="auto"/>
              <w:ind w:firstLine="480" w:firstLineChars="200"/>
              <w:rPr>
                <w:rFonts w:ascii="Times New Roman" w:hAnsi="Times New Roman" w:cs="Times New Roman"/>
                <w:sz w:val="24"/>
                <w:szCs w:val="24"/>
                <w:lang w:val="en-US"/>
              </w:rPr>
            </w:pPr>
            <w:r>
              <w:rPr>
                <w:rFonts w:ascii="Times New Roman" w:hAnsi="Times New Roman" w:cs="Times New Roman"/>
                <w:sz w:val="24"/>
                <w:szCs w:val="24"/>
                <w:lang w:val="en-US"/>
              </w:rPr>
              <w:t>为此</w:t>
            </w:r>
            <w:r>
              <w:rPr>
                <w:rFonts w:hint="eastAsia" w:ascii="Times New Roman" w:hAnsi="Times New Roman" w:cs="Times New Roman"/>
                <w:sz w:val="24"/>
                <w:szCs w:val="24"/>
                <w:lang w:val="en-US"/>
              </w:rPr>
              <w:t>伊金霍洛旗鑫海洗煤厂（普通合伙）</w:t>
            </w:r>
            <w:r>
              <w:rPr>
                <w:rFonts w:ascii="Times New Roman" w:hAnsi="Times New Roman" w:cs="Times New Roman"/>
                <w:sz w:val="24"/>
                <w:szCs w:val="24"/>
                <w:lang w:val="en-US"/>
              </w:rPr>
              <w:t>委托</w:t>
            </w:r>
            <w:r>
              <w:rPr>
                <w:rFonts w:hint="eastAsia" w:ascii="Times New Roman" w:hAnsi="Times New Roman" w:cs="Times New Roman"/>
                <w:sz w:val="24"/>
                <w:szCs w:val="24"/>
                <w:lang w:val="en-US"/>
              </w:rPr>
              <w:t>内蒙古中政国环工程顾问</w:t>
            </w:r>
            <w:r>
              <w:rPr>
                <w:rFonts w:ascii="Times New Roman" w:hAnsi="Times New Roman" w:cs="Times New Roman"/>
                <w:sz w:val="24"/>
                <w:szCs w:val="24"/>
                <w:lang w:val="en-US"/>
              </w:rPr>
              <w:t>有限公司承担本</w:t>
            </w:r>
            <w:r>
              <w:rPr>
                <w:rFonts w:hint="eastAsia" w:ascii="Times New Roman" w:hAnsi="Times New Roman" w:cs="Times New Roman"/>
                <w:sz w:val="24"/>
                <w:szCs w:val="24"/>
                <w:lang w:val="en-US"/>
              </w:rPr>
              <w:t>项目</w:t>
            </w:r>
            <w:r>
              <w:rPr>
                <w:rFonts w:ascii="Times New Roman" w:hAnsi="Times New Roman" w:cs="Times New Roman"/>
                <w:sz w:val="24"/>
                <w:szCs w:val="24"/>
                <w:lang w:val="en-US"/>
              </w:rPr>
              <w:t>报告表的编制工作，我单位接受委托后，</w:t>
            </w:r>
            <w:r>
              <w:rPr>
                <w:rFonts w:hint="eastAsia" w:ascii="Times New Roman" w:hAnsi="Times New Roman" w:cs="Times New Roman"/>
                <w:sz w:val="24"/>
                <w:szCs w:val="24"/>
                <w:lang w:val="en-US"/>
              </w:rPr>
              <w:t>立</w:t>
            </w:r>
            <w:r>
              <w:rPr>
                <w:rFonts w:ascii="Times New Roman" w:hAnsi="Times New Roman" w:cs="Times New Roman"/>
                <w:sz w:val="24"/>
                <w:szCs w:val="24"/>
                <w:lang w:val="en-US"/>
              </w:rPr>
              <w:t>即组织有关技术人员进行了现场勘查、资料收集，依据国家环境保护有关法律、法规文件和环境影响评价技术导则，编制了《</w:t>
            </w:r>
            <w:r>
              <w:rPr>
                <w:rFonts w:hint="eastAsia" w:ascii="Times New Roman" w:hAnsi="Times New Roman" w:cs="Times New Roman"/>
                <w:sz w:val="24"/>
                <w:szCs w:val="24"/>
                <w:lang w:val="en-US"/>
              </w:rPr>
              <w:t>内蒙古鄂尔多斯市伊金霍洛旗札萨克镇鑫海洗煤厂配套储煤棚扩建项目</w:t>
            </w:r>
            <w:r>
              <w:rPr>
                <w:rFonts w:ascii="Times New Roman" w:hAnsi="Times New Roman" w:cs="Times New Roman"/>
                <w:sz w:val="24"/>
                <w:szCs w:val="24"/>
                <w:lang w:val="en-US"/>
              </w:rPr>
              <w:t>环境影响报告表》。</w:t>
            </w:r>
          </w:p>
          <w:p w14:paraId="3600F386">
            <w:pPr>
              <w:numPr>
                <w:ilvl w:val="0"/>
                <w:numId w:val="3"/>
              </w:numPr>
              <w:spacing w:line="360" w:lineRule="auto"/>
              <w:ind w:firstLine="482" w:firstLineChars="200"/>
              <w:rPr>
                <w:rFonts w:ascii="Times New Roman" w:hAnsi="Times New Roman" w:cs="Times New Roman"/>
                <w:b/>
                <w:bCs/>
                <w:sz w:val="24"/>
              </w:rPr>
            </w:pPr>
            <w:r>
              <w:rPr>
                <w:rFonts w:ascii="Times New Roman" w:hAnsi="Times New Roman" w:cs="Times New Roman"/>
                <w:b/>
                <w:bCs/>
                <w:sz w:val="24"/>
                <w:lang w:val="en-US"/>
              </w:rPr>
              <w:t>现有</w:t>
            </w:r>
            <w:r>
              <w:rPr>
                <w:rFonts w:ascii="Times New Roman" w:hAnsi="Times New Roman" w:cs="Times New Roman"/>
                <w:b/>
                <w:bCs/>
                <w:sz w:val="24"/>
              </w:rPr>
              <w:t>项目概况</w:t>
            </w:r>
            <w:bookmarkStart w:id="9" w:name="_Hlk73395231"/>
          </w:p>
          <w:p w14:paraId="05CFF36C">
            <w:pPr>
              <w:numPr>
                <w:ilvl w:val="0"/>
                <w:numId w:val="0"/>
              </w:numPr>
              <w:spacing w:line="360" w:lineRule="auto"/>
              <w:ind w:firstLine="482" w:firstLineChars="200"/>
              <w:rPr>
                <w:rFonts w:hint="default" w:ascii="Times New Roman" w:hAnsi="Times New Roman" w:cs="Times New Roman"/>
                <w:color w:val="auto"/>
                <w:lang w:val="en-US" w:eastAsia="zh-CN"/>
              </w:rPr>
            </w:pPr>
            <w:r>
              <w:rPr>
                <w:rFonts w:hint="eastAsia" w:ascii="Times New Roman" w:hAnsi="Times New Roman" w:cs="Times New Roman"/>
                <w:b/>
                <w:sz w:val="24"/>
                <w:lang w:val="en-US" w:eastAsia="zh-CN"/>
              </w:rPr>
              <w:t>1、现有项目情况及建设情况</w:t>
            </w:r>
          </w:p>
          <w:p w14:paraId="11959589">
            <w:pPr>
              <w:pStyle w:val="43"/>
              <w:spacing w:line="360" w:lineRule="auto"/>
              <w:rPr>
                <w:rFonts w:ascii="Times New Roman" w:hAnsi="Times New Roman" w:cs="Times New Roman"/>
                <w:color w:val="auto"/>
              </w:rPr>
            </w:pPr>
            <w:r>
              <w:rPr>
                <w:rFonts w:hint="eastAsia" w:ascii="Times New Roman" w:hAnsi="Times New Roman" w:cs="Times New Roman"/>
                <w:color w:val="auto"/>
                <w:lang w:val="en-US" w:eastAsia="zh-CN"/>
              </w:rPr>
              <w:t>原鄂尔多斯市环境保护局于2018年5月11日出具了《鄂尔多斯市环境保护局关于内蒙古鄂尔多斯市伊金霍洛旗札萨克镇鑫海洗煤厂扩建项目环境影响报告表的批复》（鄂环评字〔2018〕67号）（见附件）；于2018年7月14日</w:t>
            </w:r>
            <w:r>
              <w:rPr>
                <w:rFonts w:hint="eastAsia" w:ascii="Times New Roman" w:hAnsi="Times New Roman" w:cs="Times New Roman"/>
                <w:sz w:val="24"/>
                <w:szCs w:val="24"/>
                <w:lang w:val="en-US"/>
              </w:rPr>
              <w:t>伊金霍洛旗鑫海洗煤厂（普通合伙）</w:t>
            </w:r>
            <w:r>
              <w:rPr>
                <w:rFonts w:hint="eastAsia" w:ascii="Times New Roman" w:hAnsi="Times New Roman" w:cs="Times New Roman"/>
                <w:sz w:val="24"/>
                <w:szCs w:val="24"/>
                <w:lang w:val="en-US" w:eastAsia="zh-CN"/>
              </w:rPr>
              <w:t>组织专家对扩建环评进行了竣工环境保护验收（见附件）；</w:t>
            </w:r>
            <w:r>
              <w:rPr>
                <w:rFonts w:hint="eastAsia" w:ascii="Times New Roman" w:hAnsi="Times New Roman" w:cs="Times New Roman"/>
                <w:color w:val="auto"/>
                <w:lang w:val="en-US" w:eastAsia="zh-CN"/>
              </w:rPr>
              <w:t>于2022年8月</w:t>
            </w:r>
            <w:r>
              <w:rPr>
                <w:rFonts w:hint="eastAsia" w:ascii="Times New Roman" w:hAnsi="Times New Roman" w:cs="Times New Roman"/>
                <w:sz w:val="24"/>
                <w:szCs w:val="24"/>
                <w:lang w:val="en-US"/>
              </w:rPr>
              <w:t>伊金霍洛旗鑫海洗煤厂（普通合伙）</w:t>
            </w:r>
            <w:r>
              <w:rPr>
                <w:rFonts w:hint="eastAsia" w:ascii="Times New Roman" w:hAnsi="Times New Roman" w:cs="Times New Roman"/>
                <w:sz w:val="24"/>
                <w:szCs w:val="24"/>
                <w:lang w:val="en-US" w:eastAsia="zh-CN"/>
              </w:rPr>
              <w:t>将原有储煤棚拆除后建设了</w:t>
            </w:r>
            <w:r>
              <w:rPr>
                <w:rFonts w:hint="eastAsia" w:ascii="Times New Roman" w:hAnsi="Times New Roman" w:cs="Times New Roman"/>
                <w:color w:val="auto"/>
                <w:sz w:val="24"/>
                <w:szCs w:val="24"/>
                <w:lang w:val="en-US" w:eastAsia="zh-CN"/>
              </w:rPr>
              <w:t>现有的1座全封闭储煤棚，总面积为27069.80m</w:t>
            </w:r>
            <w:r>
              <w:rPr>
                <w:rFonts w:hint="eastAsia" w:ascii="Times New Roman" w:hAnsi="Times New Roman" w:cs="Times New Roman"/>
                <w:color w:val="auto"/>
                <w:sz w:val="24"/>
                <w:szCs w:val="24"/>
                <w:vertAlign w:val="superscript"/>
                <w:lang w:val="en-US" w:eastAsia="zh-CN"/>
              </w:rPr>
              <w:t>2</w:t>
            </w:r>
            <w:bookmarkEnd w:id="9"/>
            <w:r>
              <w:rPr>
                <w:rFonts w:hint="eastAsia" w:ascii="Times New Roman" w:hAnsi="Times New Roman" w:cs="Times New Roman"/>
                <w:color w:val="auto"/>
                <w:sz w:val="24"/>
                <w:szCs w:val="24"/>
                <w:vertAlign w:val="baseline"/>
                <w:lang w:val="en-US" w:eastAsia="zh-CN"/>
              </w:rPr>
              <w:t>，其中1#区面积为16847.8m</w:t>
            </w:r>
            <w:r>
              <w:rPr>
                <w:rFonts w:hint="eastAsia"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vertAlign w:val="baseline"/>
                <w:lang w:val="en-US" w:eastAsia="zh-CN"/>
              </w:rPr>
              <w:t>，2#区面积为10222m</w:t>
            </w:r>
            <w:r>
              <w:rPr>
                <w:rFonts w:hint="eastAsia"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vertAlign w:val="baseline"/>
                <w:lang w:val="en-US" w:eastAsia="zh-CN"/>
              </w:rPr>
              <w:t>。</w:t>
            </w:r>
            <w:r>
              <w:rPr>
                <w:rFonts w:hint="eastAsia" w:ascii="Times New Roman" w:hAnsi="Times New Roman" w:cs="Times New Roman"/>
                <w:color w:val="auto"/>
                <w:lang w:val="en-US" w:eastAsia="zh-CN"/>
              </w:rPr>
              <w:t>现有工程</w:t>
            </w:r>
            <w:r>
              <w:rPr>
                <w:rFonts w:ascii="Times New Roman" w:hAnsi="Times New Roman" w:cs="Times New Roman"/>
                <w:color w:val="auto"/>
              </w:rPr>
              <w:t>建设内容详见表2-</w:t>
            </w:r>
            <w:r>
              <w:rPr>
                <w:rFonts w:ascii="Times New Roman" w:hAnsi="Times New Roman" w:cs="Times New Roman"/>
                <w:color w:val="auto"/>
                <w:lang w:val="en-US"/>
              </w:rPr>
              <w:t>1</w:t>
            </w:r>
            <w:r>
              <w:rPr>
                <w:rFonts w:ascii="Times New Roman" w:hAnsi="Times New Roman" w:cs="Times New Roman"/>
                <w:color w:val="auto"/>
              </w:rPr>
              <w:t>。</w:t>
            </w:r>
          </w:p>
          <w:p w14:paraId="6D2806AB">
            <w:pPr>
              <w:spacing w:line="360" w:lineRule="auto"/>
              <w:jc w:val="center"/>
              <w:rPr>
                <w:rFonts w:ascii="Times New Roman" w:hAnsi="Times New Roman" w:cs="Times New Roman"/>
                <w:b/>
                <w:sz w:val="24"/>
                <w:szCs w:val="21"/>
              </w:rPr>
            </w:pPr>
            <w:r>
              <w:rPr>
                <w:rFonts w:ascii="Times New Roman" w:hAnsi="Times New Roman" w:cs="Times New Roman"/>
                <w:b/>
                <w:sz w:val="24"/>
                <w:szCs w:val="21"/>
              </w:rPr>
              <w:t>表2-</w:t>
            </w:r>
            <w:r>
              <w:rPr>
                <w:rFonts w:ascii="Times New Roman" w:hAnsi="Times New Roman" w:cs="Times New Roman"/>
                <w:b/>
                <w:sz w:val="24"/>
                <w:szCs w:val="21"/>
                <w:lang w:val="en-US"/>
              </w:rPr>
              <w:t>1</w:t>
            </w:r>
            <w:r>
              <w:rPr>
                <w:rFonts w:ascii="Times New Roman" w:hAnsi="Times New Roman" w:cs="Times New Roman"/>
                <w:b/>
                <w:sz w:val="24"/>
                <w:szCs w:val="21"/>
              </w:rPr>
              <w:t xml:space="preserve">  项目</w:t>
            </w:r>
            <w:r>
              <w:rPr>
                <w:rFonts w:hint="eastAsia" w:ascii="Times New Roman" w:hAnsi="Times New Roman" w:cs="Times New Roman"/>
                <w:b/>
                <w:sz w:val="24"/>
                <w:szCs w:val="21"/>
                <w:lang w:val="en-US" w:eastAsia="zh-CN"/>
              </w:rPr>
              <w:t>工程组成</w:t>
            </w:r>
            <w:r>
              <w:rPr>
                <w:rFonts w:ascii="Times New Roman" w:hAnsi="Times New Roman" w:cs="Times New Roman"/>
                <w:b/>
                <w:sz w:val="24"/>
                <w:szCs w:val="21"/>
              </w:rPr>
              <w:t>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8"/>
              <w:gridCol w:w="533"/>
              <w:gridCol w:w="2039"/>
              <w:gridCol w:w="1978"/>
              <w:gridCol w:w="2119"/>
              <w:gridCol w:w="2050"/>
            </w:tblGrid>
            <w:tr w14:paraId="07BF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Align w:val="center"/>
                </w:tcPr>
                <w:p w14:paraId="1E6B32C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工程名称</w:t>
                  </w:r>
                </w:p>
              </w:tc>
              <w:tc>
                <w:tcPr>
                  <w:tcW w:w="224" w:type="pct"/>
                  <w:vAlign w:val="center"/>
                </w:tcPr>
                <w:p w14:paraId="72E8A2BC">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项目组成</w:t>
                  </w:r>
                </w:p>
              </w:tc>
              <w:tc>
                <w:tcPr>
                  <w:tcW w:w="1342" w:type="pct"/>
                  <w:gridSpan w:val="2"/>
                  <w:vAlign w:val="center"/>
                </w:tcPr>
                <w:p w14:paraId="6C482FB4">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环评建设内容</w:t>
                  </w:r>
                </w:p>
              </w:tc>
              <w:tc>
                <w:tcPr>
                  <w:tcW w:w="1032" w:type="pct"/>
                  <w:vAlign w:val="center"/>
                </w:tcPr>
                <w:p w14:paraId="33E53B4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验收建设内容</w:t>
                  </w:r>
                </w:p>
              </w:tc>
              <w:tc>
                <w:tcPr>
                  <w:tcW w:w="1106" w:type="pct"/>
                  <w:vAlign w:val="center"/>
                </w:tcPr>
                <w:p w14:paraId="7E9B1FE7">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实际建设内容</w:t>
                  </w:r>
                </w:p>
              </w:tc>
              <w:tc>
                <w:tcPr>
                  <w:tcW w:w="1070" w:type="pct"/>
                  <w:vAlign w:val="center"/>
                </w:tcPr>
                <w:p w14:paraId="4F33B214">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变化情况（2022年建设煤棚内容）</w:t>
                  </w:r>
                </w:p>
              </w:tc>
            </w:tr>
            <w:tr w14:paraId="40AB0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restart"/>
                  <w:vAlign w:val="center"/>
                </w:tcPr>
                <w:p w14:paraId="51B6A82C">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主体工程</w:t>
                  </w:r>
                </w:p>
              </w:tc>
              <w:tc>
                <w:tcPr>
                  <w:tcW w:w="224" w:type="pct"/>
                  <w:vAlign w:val="center"/>
                </w:tcPr>
                <w:p w14:paraId="7E526B07">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准备车间</w:t>
                  </w:r>
                </w:p>
              </w:tc>
              <w:tc>
                <w:tcPr>
                  <w:tcW w:w="1342" w:type="pct"/>
                  <w:gridSpan w:val="2"/>
                  <w:vAlign w:val="center"/>
                </w:tcPr>
                <w:p w14:paraId="7BFD9FCF">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封闭彩钢结构，建筑面积1500m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，内设分级筛及破碎机各1台</w:t>
                  </w:r>
                </w:p>
              </w:tc>
              <w:tc>
                <w:tcPr>
                  <w:tcW w:w="1032" w:type="pct"/>
                  <w:vAlign w:val="center"/>
                </w:tcPr>
                <w:p w14:paraId="18BE1590">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全封闭彩钢结构1座，建筑面积900m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，长45m，宽20m，内设分级筛及破碎机各1台，受煤坑及输煤廊道置于全封闭车间内，单独设置1座筛选车间，全封闭彩钢结构，建筑面积500m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，内设振动筛1台。</w:t>
                  </w:r>
                </w:p>
              </w:tc>
              <w:tc>
                <w:tcPr>
                  <w:tcW w:w="1106" w:type="pct"/>
                  <w:vMerge w:val="restart"/>
                  <w:vAlign w:val="center"/>
                </w:tcPr>
                <w:p w14:paraId="4198E97A">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1#区内洗煤区，建筑面积2200m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，内设分级筛及破碎机各1台，受煤坑及输煤廊道置于区域内，设置振动筛1台；彩钢+砖混结构，厂房建筑面积800m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，年洗选原煤120万吨。主厂房内设置1台56m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数控跳汰机（SKT-20），浓缩车间单独设置，包括1台压滤机（F=450m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），1台深锥浓缩机（型号15）、1座容积为210m</w:t>
                  </w:r>
                  <w:r>
                    <w:rPr>
                      <w:rFonts w:hint="eastAsia" w:ascii="Times New Roman" w:hAnsi="Times New Roman" w:cs="Times New Roman"/>
                      <w:color w:val="auto"/>
                      <w:sz w:val="21"/>
                      <w:szCs w:val="21"/>
                      <w:vertAlign w:val="superscript"/>
                      <w:lang w:val="en-US" w:eastAsia="zh-CN"/>
                    </w:rPr>
                    <w:t>3</w:t>
                  </w:r>
                  <w:r>
                    <w:rPr>
                      <w:rFonts w:hint="eastAsia" w:ascii="Times New Roman" w:hAnsi="Times New Roman" w:cs="Times New Roman"/>
                      <w:color w:val="auto"/>
                      <w:sz w:val="21"/>
                      <w:szCs w:val="21"/>
                      <w:lang w:val="en-US" w:eastAsia="zh-CN"/>
                    </w:rPr>
                    <w:t>的循环水池，3座容积各为70m</w:t>
                  </w:r>
                  <w:r>
                    <w:rPr>
                      <w:rFonts w:hint="eastAsia" w:ascii="Times New Roman" w:hAnsi="Times New Roman" w:cs="Times New Roman"/>
                      <w:color w:val="auto"/>
                      <w:sz w:val="21"/>
                      <w:szCs w:val="21"/>
                      <w:vertAlign w:val="superscript"/>
                      <w:lang w:val="en-US" w:eastAsia="zh-CN"/>
                    </w:rPr>
                    <w:t>3</w:t>
                  </w:r>
                  <w:r>
                    <w:rPr>
                      <w:rFonts w:hint="eastAsia" w:ascii="Times New Roman" w:hAnsi="Times New Roman" w:cs="Times New Roman"/>
                      <w:color w:val="auto"/>
                      <w:sz w:val="21"/>
                      <w:szCs w:val="21"/>
                      <w:lang w:val="en-US" w:eastAsia="zh-CN"/>
                    </w:rPr>
                    <w:t>的事故池。</w:t>
                  </w:r>
                </w:p>
              </w:tc>
              <w:tc>
                <w:tcPr>
                  <w:tcW w:w="1070" w:type="pct"/>
                  <w:vMerge w:val="restart"/>
                  <w:vAlign w:val="center"/>
                </w:tcPr>
                <w:p w14:paraId="711076AF">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将准备车间和洗选车间原结构拆除，在新建全封闭储煤棚1#区内设置洗煤区，面积为2200m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，设置1台56m2数控跳汰机（SKT-20），浓缩车间单独设置，包括1台压滤机（F=450m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），1台深锥浓缩机（型号15）、1座容积为210m</w:t>
                  </w:r>
                  <w:r>
                    <w:rPr>
                      <w:rFonts w:hint="eastAsia" w:ascii="Times New Roman" w:hAnsi="Times New Roman" w:cs="Times New Roman"/>
                      <w:color w:val="auto"/>
                      <w:sz w:val="21"/>
                      <w:szCs w:val="21"/>
                      <w:vertAlign w:val="superscript"/>
                      <w:lang w:val="en-US" w:eastAsia="zh-CN"/>
                    </w:rPr>
                    <w:t>3</w:t>
                  </w:r>
                  <w:r>
                    <w:rPr>
                      <w:rFonts w:hint="eastAsia" w:ascii="Times New Roman" w:hAnsi="Times New Roman" w:cs="Times New Roman"/>
                      <w:color w:val="auto"/>
                      <w:sz w:val="21"/>
                      <w:szCs w:val="21"/>
                      <w:lang w:val="en-US" w:eastAsia="zh-CN"/>
                    </w:rPr>
                    <w:t>的循环水池，3座容积各为70m</w:t>
                  </w:r>
                  <w:r>
                    <w:rPr>
                      <w:rFonts w:hint="eastAsia" w:ascii="Times New Roman" w:hAnsi="Times New Roman" w:cs="Times New Roman"/>
                      <w:color w:val="auto"/>
                      <w:sz w:val="21"/>
                      <w:szCs w:val="21"/>
                      <w:vertAlign w:val="superscript"/>
                      <w:lang w:val="en-US" w:eastAsia="zh-CN"/>
                    </w:rPr>
                    <w:t>3</w:t>
                  </w:r>
                  <w:r>
                    <w:rPr>
                      <w:rFonts w:hint="eastAsia" w:ascii="Times New Roman" w:hAnsi="Times New Roman" w:cs="Times New Roman"/>
                      <w:color w:val="auto"/>
                      <w:sz w:val="21"/>
                      <w:szCs w:val="21"/>
                      <w:lang w:val="en-US" w:eastAsia="zh-CN"/>
                    </w:rPr>
                    <w:t>的事故池，洗煤规模及设备均不变。</w:t>
                  </w:r>
                </w:p>
              </w:tc>
            </w:tr>
            <w:tr w14:paraId="17EA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42F7C1C5">
                  <w:pPr>
                    <w:adjustRightInd w:val="0"/>
                    <w:snapToGrid w:val="0"/>
                    <w:jc w:val="center"/>
                    <w:rPr>
                      <w:rFonts w:hint="eastAsia" w:ascii="Times New Roman" w:hAnsi="Times New Roman" w:cs="Times New Roman"/>
                      <w:color w:val="auto"/>
                      <w:sz w:val="21"/>
                      <w:szCs w:val="21"/>
                      <w:lang w:val="en-US" w:eastAsia="zh-CN"/>
                    </w:rPr>
                  </w:pPr>
                </w:p>
              </w:tc>
              <w:tc>
                <w:tcPr>
                  <w:tcW w:w="224" w:type="pct"/>
                  <w:vAlign w:val="center"/>
                </w:tcPr>
                <w:p w14:paraId="7431F6F5">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洗选车间</w:t>
                  </w:r>
                </w:p>
              </w:tc>
              <w:tc>
                <w:tcPr>
                  <w:tcW w:w="1342" w:type="pct"/>
                  <w:gridSpan w:val="2"/>
                  <w:vAlign w:val="center"/>
                </w:tcPr>
                <w:p w14:paraId="4D7C3134">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彩钢结构，厂房建筑面积1000m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，年洗选原煤120万吨。主厂房内设置1台56m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数控跳汰机（SKT-20），2台尾煤耙式浓缩机，2台压滤机（SMZG300/1500）、1座容积</w:t>
                  </w:r>
                  <w:r>
                    <w:rPr>
                      <w:rFonts w:hint="eastAsia" w:ascii="Times New Roman" w:hAnsi="Times New Roman" w:cs="Times New Roman"/>
                      <w:color w:val="auto"/>
                      <w:sz w:val="21"/>
                      <w:szCs w:val="21"/>
                      <w:vertAlign w:val="baseline"/>
                      <w:lang w:val="en-US" w:eastAsia="zh-CN"/>
                    </w:rPr>
                    <w:t>250m</w:t>
                  </w:r>
                  <w:r>
                    <w:rPr>
                      <w:rFonts w:hint="eastAsia" w:ascii="Times New Roman" w:hAnsi="Times New Roman" w:cs="Times New Roman"/>
                      <w:color w:val="auto"/>
                      <w:sz w:val="21"/>
                      <w:szCs w:val="21"/>
                      <w:vertAlign w:val="superscript"/>
                      <w:lang w:val="en-US" w:eastAsia="zh-CN"/>
                    </w:rPr>
                    <w:t>3</w:t>
                  </w:r>
                  <w:r>
                    <w:rPr>
                      <w:rFonts w:hint="eastAsia" w:ascii="Times New Roman" w:hAnsi="Times New Roman" w:cs="Times New Roman"/>
                      <w:color w:val="auto"/>
                      <w:sz w:val="21"/>
                      <w:szCs w:val="21"/>
                      <w:vertAlign w:val="baseline"/>
                      <w:lang w:val="en-US" w:eastAsia="zh-CN"/>
                    </w:rPr>
                    <w:t>循环水池等设备、设施。</w:t>
                  </w:r>
                </w:p>
              </w:tc>
              <w:tc>
                <w:tcPr>
                  <w:tcW w:w="1032" w:type="pct"/>
                  <w:vAlign w:val="center"/>
                </w:tcPr>
                <w:p w14:paraId="527E33D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彩钢+砖混结构，厂房建筑面积800m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，年洗选原煤120万吨。主厂房内设置1台56m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数控跳汰机（SKT-20），浓缩车间单独设置，包括1台压滤机（F=450m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），1台深锥浓缩机（型号15）、1座容积为210m</w:t>
                  </w:r>
                  <w:r>
                    <w:rPr>
                      <w:rFonts w:hint="eastAsia" w:ascii="Times New Roman" w:hAnsi="Times New Roman" w:cs="Times New Roman"/>
                      <w:color w:val="auto"/>
                      <w:sz w:val="21"/>
                      <w:szCs w:val="21"/>
                      <w:vertAlign w:val="superscript"/>
                      <w:lang w:val="en-US" w:eastAsia="zh-CN"/>
                    </w:rPr>
                    <w:t>3</w:t>
                  </w:r>
                  <w:r>
                    <w:rPr>
                      <w:rFonts w:hint="eastAsia" w:ascii="Times New Roman" w:hAnsi="Times New Roman" w:cs="Times New Roman"/>
                      <w:color w:val="auto"/>
                      <w:sz w:val="21"/>
                      <w:szCs w:val="21"/>
                      <w:lang w:val="en-US" w:eastAsia="zh-CN"/>
                    </w:rPr>
                    <w:t>的循环水池，3座容积各为70m</w:t>
                  </w:r>
                  <w:r>
                    <w:rPr>
                      <w:rFonts w:hint="eastAsia" w:ascii="Times New Roman" w:hAnsi="Times New Roman" w:cs="Times New Roman"/>
                      <w:color w:val="auto"/>
                      <w:sz w:val="21"/>
                      <w:szCs w:val="21"/>
                      <w:vertAlign w:val="superscript"/>
                      <w:lang w:val="en-US" w:eastAsia="zh-CN"/>
                    </w:rPr>
                    <w:t>3</w:t>
                  </w:r>
                  <w:r>
                    <w:rPr>
                      <w:rFonts w:hint="eastAsia" w:ascii="Times New Roman" w:hAnsi="Times New Roman" w:cs="Times New Roman"/>
                      <w:color w:val="auto"/>
                      <w:sz w:val="21"/>
                      <w:szCs w:val="21"/>
                      <w:lang w:val="en-US" w:eastAsia="zh-CN"/>
                    </w:rPr>
                    <w:t>的事故池。</w:t>
                  </w:r>
                </w:p>
              </w:tc>
              <w:tc>
                <w:tcPr>
                  <w:tcW w:w="1106" w:type="pct"/>
                  <w:vMerge w:val="continue"/>
                  <w:vAlign w:val="center"/>
                </w:tcPr>
                <w:p w14:paraId="41DCBF4C">
                  <w:pPr>
                    <w:adjustRightInd w:val="0"/>
                    <w:snapToGrid w:val="0"/>
                    <w:jc w:val="center"/>
                    <w:rPr>
                      <w:rFonts w:hint="eastAsia" w:ascii="Times New Roman" w:hAnsi="Times New Roman" w:cs="Times New Roman"/>
                      <w:color w:val="auto"/>
                      <w:sz w:val="21"/>
                      <w:szCs w:val="21"/>
                      <w:lang w:val="en-US" w:eastAsia="zh-CN"/>
                    </w:rPr>
                  </w:pPr>
                </w:p>
              </w:tc>
              <w:tc>
                <w:tcPr>
                  <w:tcW w:w="1070" w:type="pct"/>
                  <w:vMerge w:val="continue"/>
                  <w:vAlign w:val="center"/>
                </w:tcPr>
                <w:p w14:paraId="3EEB2EED">
                  <w:pPr>
                    <w:adjustRightInd w:val="0"/>
                    <w:snapToGrid w:val="0"/>
                    <w:jc w:val="center"/>
                    <w:rPr>
                      <w:rFonts w:hint="eastAsia" w:ascii="Times New Roman" w:hAnsi="Times New Roman" w:cs="Times New Roman"/>
                      <w:color w:val="auto"/>
                      <w:sz w:val="21"/>
                      <w:szCs w:val="21"/>
                      <w:lang w:val="en-US" w:eastAsia="zh-CN"/>
                    </w:rPr>
                  </w:pPr>
                </w:p>
              </w:tc>
            </w:tr>
            <w:tr w14:paraId="32C1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restart"/>
                  <w:vAlign w:val="center"/>
                </w:tcPr>
                <w:p w14:paraId="61AEC30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储运工程</w:t>
                  </w:r>
                </w:p>
              </w:tc>
              <w:tc>
                <w:tcPr>
                  <w:tcW w:w="224" w:type="pct"/>
                  <w:vAlign w:val="center"/>
                </w:tcPr>
                <w:p w14:paraId="67805D74">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原煤棚</w:t>
                  </w:r>
                </w:p>
              </w:tc>
              <w:tc>
                <w:tcPr>
                  <w:tcW w:w="1342" w:type="pct"/>
                  <w:gridSpan w:val="2"/>
                  <w:vAlign w:val="center"/>
                </w:tcPr>
                <w:p w14:paraId="0312E9C3">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彩钢结构封闭式储棚1座。建筑面积2500m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，可储存1.2万吨原煤，约为3天用煤量。棚内设置1个受煤坑，原煤棚四周各设置1套喷淋设施，受煤坑上方设置1套喷淋设施。</w:t>
                  </w:r>
                </w:p>
              </w:tc>
              <w:tc>
                <w:tcPr>
                  <w:tcW w:w="1032" w:type="pct"/>
                  <w:vAlign w:val="center"/>
                </w:tcPr>
                <w:p w14:paraId="5B30249A">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彩钢结构封闭式储棚2座，建筑面积分别为1000m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、1500m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，原煤棚设置1套喷淋降尘措施，四周采用洒水车洒水，洗煤厂配有1台20吨洒水车。</w:t>
                  </w:r>
                </w:p>
              </w:tc>
              <w:tc>
                <w:tcPr>
                  <w:tcW w:w="1106" w:type="pct"/>
                  <w:vAlign w:val="center"/>
                </w:tcPr>
                <w:p w14:paraId="11DAC129">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储棚为全封闭彩钢结构，</w:t>
                  </w:r>
                  <w:r>
                    <w:rPr>
                      <w:rFonts w:hint="eastAsia" w:ascii="Times New Roman" w:hAnsi="Times New Roman" w:cs="Times New Roman"/>
                      <w:color w:val="auto"/>
                      <w:sz w:val="21"/>
                      <w:szCs w:val="21"/>
                      <w:lang w:val="en-US" w:eastAsia="zh-CN"/>
                    </w:rPr>
                    <w:t>原煤区设置在储煤棚2#区域内东南侧，建筑面积6815m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，四周采用洒水车洒水。</w:t>
                  </w:r>
                </w:p>
              </w:tc>
              <w:tc>
                <w:tcPr>
                  <w:tcW w:w="1070" w:type="pct"/>
                  <w:vAlign w:val="center"/>
                </w:tcPr>
                <w:p w14:paraId="720296F8">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将原封闭式储棚2座拆除后建设1座大型储煤棚，原煤区设置在2#区域内东南侧。</w:t>
                  </w:r>
                </w:p>
              </w:tc>
            </w:tr>
            <w:tr w14:paraId="3A65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09422F09">
                  <w:pPr>
                    <w:adjustRightInd w:val="0"/>
                    <w:snapToGrid w:val="0"/>
                    <w:jc w:val="center"/>
                    <w:rPr>
                      <w:rFonts w:hint="eastAsia" w:ascii="Times New Roman" w:hAnsi="Times New Roman" w:cs="Times New Roman"/>
                      <w:color w:val="auto"/>
                      <w:sz w:val="21"/>
                      <w:szCs w:val="21"/>
                      <w:lang w:val="en-US" w:eastAsia="zh-CN"/>
                    </w:rPr>
                  </w:pPr>
                </w:p>
              </w:tc>
              <w:tc>
                <w:tcPr>
                  <w:tcW w:w="224" w:type="pct"/>
                  <w:vAlign w:val="center"/>
                </w:tcPr>
                <w:p w14:paraId="7E2C61DD">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精煤棚</w:t>
                  </w:r>
                </w:p>
              </w:tc>
              <w:tc>
                <w:tcPr>
                  <w:tcW w:w="1342" w:type="pct"/>
                  <w:gridSpan w:val="2"/>
                  <w:vAlign w:val="center"/>
                </w:tcPr>
                <w:p w14:paraId="57255730">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彩钢结构封闭式储棚1座，建筑面积2000m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，内部分隔成2部分，可储存1.2万吨块精煤和末煤，约为5天储量。</w:t>
                  </w:r>
                </w:p>
              </w:tc>
              <w:tc>
                <w:tcPr>
                  <w:tcW w:w="1032" w:type="pct"/>
                  <w:vAlign w:val="center"/>
                </w:tcPr>
                <w:p w14:paraId="37AAB88F">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彩钢结构封闭式储棚1座，建设一座长50m、宽20m、高20m储棚，建筑面积1000m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w:t>
                  </w:r>
                </w:p>
              </w:tc>
              <w:tc>
                <w:tcPr>
                  <w:tcW w:w="1106" w:type="pct"/>
                  <w:vAlign w:val="center"/>
                </w:tcPr>
                <w:p w14:paraId="039257C8">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储棚为全封闭彩钢结构，</w:t>
                  </w:r>
                  <w:r>
                    <w:rPr>
                      <w:rFonts w:hint="eastAsia" w:ascii="Times New Roman" w:hAnsi="Times New Roman" w:cs="Times New Roman"/>
                      <w:color w:val="auto"/>
                      <w:sz w:val="21"/>
                      <w:szCs w:val="21"/>
                      <w:lang w:val="en-US" w:eastAsia="zh-CN"/>
                    </w:rPr>
                    <w:t>精煤区设置在储煤棚1#区域内东南侧，建筑面积6000m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w:t>
                  </w:r>
                </w:p>
              </w:tc>
              <w:tc>
                <w:tcPr>
                  <w:tcW w:w="1070" w:type="pct"/>
                  <w:vAlign w:val="center"/>
                </w:tcPr>
                <w:p w14:paraId="79D1394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将原封闭式储棚1座拆除后建设1座大型储煤棚，精煤区设置在1#区域内东南侧。</w:t>
                  </w:r>
                </w:p>
              </w:tc>
            </w:tr>
            <w:tr w14:paraId="67E0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3AB963E1">
                  <w:pPr>
                    <w:adjustRightInd w:val="0"/>
                    <w:snapToGrid w:val="0"/>
                    <w:jc w:val="center"/>
                    <w:rPr>
                      <w:rFonts w:hint="eastAsia" w:ascii="Times New Roman" w:hAnsi="Times New Roman" w:cs="Times New Roman"/>
                      <w:color w:val="auto"/>
                      <w:sz w:val="21"/>
                      <w:szCs w:val="21"/>
                      <w:lang w:val="en-US" w:eastAsia="zh-CN"/>
                    </w:rPr>
                  </w:pPr>
                </w:p>
              </w:tc>
              <w:tc>
                <w:tcPr>
                  <w:tcW w:w="224" w:type="pct"/>
                  <w:vAlign w:val="center"/>
                </w:tcPr>
                <w:p w14:paraId="1555233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中煤棚</w:t>
                  </w:r>
                </w:p>
              </w:tc>
              <w:tc>
                <w:tcPr>
                  <w:tcW w:w="1342" w:type="pct"/>
                  <w:gridSpan w:val="2"/>
                  <w:vAlign w:val="center"/>
                </w:tcPr>
                <w:p w14:paraId="550816C0">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彩钢结构，建筑面积1000m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，可储存0.06万吨中煤，约为3天储量。</w:t>
                  </w:r>
                </w:p>
              </w:tc>
              <w:tc>
                <w:tcPr>
                  <w:tcW w:w="1032" w:type="pct"/>
                  <w:vAlign w:val="center"/>
                </w:tcPr>
                <w:p w14:paraId="4D54FE57">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未建设中煤棚，中煤堆放于精煤棚内</w:t>
                  </w:r>
                </w:p>
              </w:tc>
              <w:tc>
                <w:tcPr>
                  <w:tcW w:w="1106" w:type="pct"/>
                  <w:vAlign w:val="center"/>
                </w:tcPr>
                <w:p w14:paraId="1141724F">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vertAlign w:val="baseline"/>
                      <w:lang w:val="en-US" w:eastAsia="zh-CN"/>
                    </w:rPr>
                    <w:t>储棚为全封闭彩钢结构，中</w:t>
                  </w:r>
                  <w:r>
                    <w:rPr>
                      <w:rFonts w:hint="eastAsia" w:ascii="Times New Roman" w:hAnsi="Times New Roman" w:cs="Times New Roman"/>
                      <w:color w:val="auto"/>
                      <w:sz w:val="21"/>
                      <w:szCs w:val="21"/>
                      <w:lang w:val="en-US" w:eastAsia="zh-CN"/>
                    </w:rPr>
                    <w:t>煤区设置在储煤棚1#区域内洗煤区西侧，建筑面积4500m</w:t>
                  </w:r>
                  <w:r>
                    <w:rPr>
                      <w:rFonts w:hint="eastAsia" w:ascii="Times New Roman" w:hAnsi="Times New Roman" w:cs="Times New Roman"/>
                      <w:color w:val="auto"/>
                      <w:sz w:val="21"/>
                      <w:szCs w:val="21"/>
                      <w:vertAlign w:val="superscript"/>
                      <w:lang w:val="en-US" w:eastAsia="zh-CN"/>
                    </w:rPr>
                    <w:t>2</w:t>
                  </w:r>
                </w:p>
              </w:tc>
              <w:tc>
                <w:tcPr>
                  <w:tcW w:w="1070" w:type="pct"/>
                  <w:vAlign w:val="center"/>
                </w:tcPr>
                <w:p w14:paraId="79E5D85F">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建设1座大型储煤棚，中煤区设置在1#区域内洗煤区西侧</w:t>
                  </w:r>
                </w:p>
              </w:tc>
            </w:tr>
            <w:tr w14:paraId="3F2E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0D0C6CD8">
                  <w:pPr>
                    <w:adjustRightInd w:val="0"/>
                    <w:snapToGrid w:val="0"/>
                    <w:jc w:val="center"/>
                    <w:rPr>
                      <w:rFonts w:hint="eastAsia" w:ascii="Times New Roman" w:hAnsi="Times New Roman" w:cs="Times New Roman"/>
                      <w:color w:val="auto"/>
                      <w:sz w:val="21"/>
                      <w:szCs w:val="21"/>
                      <w:lang w:val="en-US" w:eastAsia="zh-CN"/>
                    </w:rPr>
                  </w:pPr>
                </w:p>
              </w:tc>
              <w:tc>
                <w:tcPr>
                  <w:tcW w:w="224" w:type="pct"/>
                  <w:vAlign w:val="center"/>
                </w:tcPr>
                <w:p w14:paraId="00DB9D6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矸石棚</w:t>
                  </w:r>
                </w:p>
              </w:tc>
              <w:tc>
                <w:tcPr>
                  <w:tcW w:w="1342" w:type="pct"/>
                  <w:gridSpan w:val="2"/>
                  <w:vAlign w:val="center"/>
                </w:tcPr>
                <w:p w14:paraId="46050F06">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彩钢结构，建筑面积1500m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，可储存0.09万吨矸石，约为3天储量，矸石经斗式提升机直接落至矸石棚内，斗式提升机置于全封闭洗选车间内，外售于伊金霍洛旗怡达商贸有限责任公司，销售不畅时临时储存于马泰壕煤矿排矸场。</w:t>
                  </w:r>
                </w:p>
              </w:tc>
              <w:tc>
                <w:tcPr>
                  <w:tcW w:w="1032" w:type="pct"/>
                  <w:vAlign w:val="center"/>
                </w:tcPr>
                <w:p w14:paraId="4F4A2031">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封闭矸石落载点，矸石直接装车外运排至马泰壕煤矿临时排矸场。</w:t>
                  </w:r>
                </w:p>
              </w:tc>
              <w:tc>
                <w:tcPr>
                  <w:tcW w:w="1106" w:type="pct"/>
                  <w:vAlign w:val="center"/>
                </w:tcPr>
                <w:p w14:paraId="08A26BA5">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vertAlign w:val="baseline"/>
                      <w:lang w:val="en-US" w:eastAsia="zh-CN"/>
                    </w:rPr>
                    <w:t>储棚为全封闭彩钢结构，矸石</w:t>
                  </w:r>
                  <w:r>
                    <w:rPr>
                      <w:rFonts w:hint="eastAsia" w:ascii="Times New Roman" w:hAnsi="Times New Roman" w:cs="Times New Roman"/>
                      <w:color w:val="auto"/>
                      <w:sz w:val="21"/>
                      <w:szCs w:val="21"/>
                      <w:lang w:val="en-US" w:eastAsia="zh-CN"/>
                    </w:rPr>
                    <w:t>区设置在储煤棚2#区域内西北侧，建筑面积3407m</w:t>
                  </w:r>
                  <w:r>
                    <w:rPr>
                      <w:rFonts w:hint="eastAsia" w:ascii="Times New Roman" w:hAnsi="Times New Roman" w:cs="Times New Roman"/>
                      <w:color w:val="auto"/>
                      <w:sz w:val="21"/>
                      <w:szCs w:val="21"/>
                      <w:vertAlign w:val="superscript"/>
                      <w:lang w:val="en-US" w:eastAsia="zh-CN"/>
                    </w:rPr>
                    <w:t>2</w:t>
                  </w:r>
                </w:p>
              </w:tc>
              <w:tc>
                <w:tcPr>
                  <w:tcW w:w="1070" w:type="pct"/>
                  <w:vAlign w:val="center"/>
                </w:tcPr>
                <w:p w14:paraId="2634F016">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建设1座大型储煤棚，矸石区设置在2#区域内西北侧。</w:t>
                  </w:r>
                </w:p>
              </w:tc>
            </w:tr>
            <w:tr w14:paraId="36A2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5A9B0C2D">
                  <w:pPr>
                    <w:adjustRightInd w:val="0"/>
                    <w:snapToGrid w:val="0"/>
                    <w:jc w:val="center"/>
                    <w:rPr>
                      <w:rFonts w:hint="eastAsia" w:ascii="Times New Roman" w:hAnsi="Times New Roman" w:cs="Times New Roman"/>
                      <w:color w:val="auto"/>
                      <w:sz w:val="21"/>
                      <w:szCs w:val="21"/>
                      <w:lang w:val="en-US" w:eastAsia="zh-CN"/>
                    </w:rPr>
                  </w:pPr>
                </w:p>
              </w:tc>
              <w:tc>
                <w:tcPr>
                  <w:tcW w:w="224" w:type="pct"/>
                  <w:vAlign w:val="center"/>
                </w:tcPr>
                <w:p w14:paraId="64E7939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煤泥棚</w:t>
                  </w:r>
                </w:p>
              </w:tc>
              <w:tc>
                <w:tcPr>
                  <w:tcW w:w="1342" w:type="pct"/>
                  <w:gridSpan w:val="2"/>
                  <w:vAlign w:val="center"/>
                </w:tcPr>
                <w:p w14:paraId="0F3F9E2E">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彩钢结构储棚1座，建筑面积1500m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，可储存0.1万吨煤泥，约为3天储量，经压滤机压滤后的煤泥经皮带输送至煤泥棚，皮带全部置于全封闭储棚内，煤泥最终外售于伊金霍洛旗怡达商贸有限责任公司，销售不畅时临时储存于马泰壕煤矿排矸场。</w:t>
                  </w:r>
                </w:p>
              </w:tc>
              <w:tc>
                <w:tcPr>
                  <w:tcW w:w="1032" w:type="pct"/>
                  <w:vAlign w:val="center"/>
                </w:tcPr>
                <w:p w14:paraId="3D99C83F">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彩钢结构储棚1座，建筑面积100m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，煤泥掺入末精煤外售。</w:t>
                  </w:r>
                </w:p>
              </w:tc>
              <w:tc>
                <w:tcPr>
                  <w:tcW w:w="1106" w:type="pct"/>
                  <w:vAlign w:val="center"/>
                </w:tcPr>
                <w:p w14:paraId="7001B04E">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vertAlign w:val="baseline"/>
                      <w:lang w:val="en-US" w:eastAsia="zh-CN"/>
                    </w:rPr>
                    <w:t>储棚为全封闭彩钢结构，煤泥</w:t>
                  </w:r>
                  <w:r>
                    <w:rPr>
                      <w:rFonts w:hint="eastAsia" w:ascii="Times New Roman" w:hAnsi="Times New Roman" w:cs="Times New Roman"/>
                      <w:color w:val="auto"/>
                      <w:sz w:val="21"/>
                      <w:szCs w:val="21"/>
                      <w:lang w:val="en-US" w:eastAsia="zh-CN"/>
                    </w:rPr>
                    <w:t>区设置在储煤棚1#区域内西北侧，建筑面积4147.8m</w:t>
                  </w:r>
                  <w:r>
                    <w:rPr>
                      <w:rFonts w:hint="eastAsia" w:ascii="Times New Roman" w:hAnsi="Times New Roman" w:cs="Times New Roman"/>
                      <w:color w:val="auto"/>
                      <w:sz w:val="21"/>
                      <w:szCs w:val="21"/>
                      <w:vertAlign w:val="superscript"/>
                      <w:lang w:val="en-US" w:eastAsia="zh-CN"/>
                    </w:rPr>
                    <w:t>2</w:t>
                  </w:r>
                </w:p>
              </w:tc>
              <w:tc>
                <w:tcPr>
                  <w:tcW w:w="1070" w:type="pct"/>
                  <w:vAlign w:val="center"/>
                </w:tcPr>
                <w:p w14:paraId="72A0693C">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将原封闭式储棚1座拆除后建设1座大型储煤棚，煤泥区设置在1#区域内西北侧</w:t>
                  </w:r>
                </w:p>
              </w:tc>
            </w:tr>
            <w:tr w14:paraId="1FA5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10A63ABD">
                  <w:pPr>
                    <w:adjustRightInd w:val="0"/>
                    <w:snapToGrid w:val="0"/>
                    <w:jc w:val="center"/>
                    <w:rPr>
                      <w:rFonts w:hint="eastAsia" w:ascii="Times New Roman" w:hAnsi="Times New Roman" w:cs="Times New Roman"/>
                      <w:color w:val="auto"/>
                      <w:sz w:val="21"/>
                      <w:szCs w:val="21"/>
                      <w:lang w:val="en-US" w:eastAsia="zh-CN"/>
                    </w:rPr>
                  </w:pPr>
                </w:p>
              </w:tc>
              <w:tc>
                <w:tcPr>
                  <w:tcW w:w="224" w:type="pct"/>
                  <w:vAlign w:val="center"/>
                </w:tcPr>
                <w:p w14:paraId="0DF9A9A0">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输煤廊道</w:t>
                  </w:r>
                </w:p>
              </w:tc>
              <w:tc>
                <w:tcPr>
                  <w:tcW w:w="1342" w:type="pct"/>
                  <w:gridSpan w:val="2"/>
                  <w:vAlign w:val="center"/>
                </w:tcPr>
                <w:p w14:paraId="2E02B477">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所有输煤廊道均全封闭，共4条。分别为原煤储棚通往准备车间1条；准备车间通往洗选车间1条；洗选车间通往精煤棚及中煤棚各1条。</w:t>
                  </w:r>
                </w:p>
              </w:tc>
              <w:tc>
                <w:tcPr>
                  <w:tcW w:w="1032" w:type="pct"/>
                  <w:vAlign w:val="center"/>
                </w:tcPr>
                <w:p w14:paraId="375B6FC4">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块煤、末煤</w:t>
                  </w:r>
                </w:p>
                <w:p w14:paraId="49D8AE9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精煤各一条输煤廊道，共计3条，全封闭输煤廊道，采用保温性彩钢板维护，全长220m。</w:t>
                  </w:r>
                </w:p>
              </w:tc>
              <w:tc>
                <w:tcPr>
                  <w:tcW w:w="1106" w:type="pct"/>
                  <w:vAlign w:val="center"/>
                </w:tcPr>
                <w:p w14:paraId="4D1DF4E7">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建设1座大型储煤棚，将储煤棚内划分区域，由装载机将分选出的精煤、中煤、煤泥、矸石运输到各个区域。</w:t>
                  </w:r>
                </w:p>
              </w:tc>
              <w:tc>
                <w:tcPr>
                  <w:tcW w:w="1070" w:type="pct"/>
                  <w:vAlign w:val="center"/>
                </w:tcPr>
                <w:p w14:paraId="7C03306E">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将输煤廊道拆除，建设1座大型储煤棚，将储煤棚内划分区域，由装载机将分选出的精煤、中煤、煤泥、矸石运输到各个区域。</w:t>
                  </w:r>
                </w:p>
              </w:tc>
            </w:tr>
            <w:tr w14:paraId="0D49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7C14724F">
                  <w:pPr>
                    <w:adjustRightInd w:val="0"/>
                    <w:snapToGrid w:val="0"/>
                    <w:jc w:val="center"/>
                    <w:rPr>
                      <w:rFonts w:hint="eastAsia" w:ascii="Times New Roman" w:hAnsi="Times New Roman" w:cs="Times New Roman"/>
                      <w:color w:val="auto"/>
                      <w:sz w:val="21"/>
                      <w:szCs w:val="21"/>
                      <w:lang w:val="en-US" w:eastAsia="zh-CN"/>
                    </w:rPr>
                  </w:pPr>
                </w:p>
              </w:tc>
              <w:tc>
                <w:tcPr>
                  <w:tcW w:w="224" w:type="pct"/>
                  <w:vAlign w:val="center"/>
                </w:tcPr>
                <w:p w14:paraId="07895EA8">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进厂道路</w:t>
                  </w:r>
                </w:p>
              </w:tc>
              <w:tc>
                <w:tcPr>
                  <w:tcW w:w="1342" w:type="pct"/>
                  <w:gridSpan w:val="2"/>
                  <w:vAlign w:val="center"/>
                </w:tcPr>
                <w:p w14:paraId="60C3DD01">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场内道路主道路宽12m，直线宽9m，路面结构为混凝土路面。场内硬化地面500m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，硬化地面可行车。</w:t>
                  </w:r>
                </w:p>
              </w:tc>
              <w:tc>
                <w:tcPr>
                  <w:tcW w:w="1032" w:type="pct"/>
                  <w:vAlign w:val="center"/>
                </w:tcPr>
                <w:p w14:paraId="67E6F12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场内道路主道路宽12m，直线宽9m，硬化采用砂石子路面。</w:t>
                  </w:r>
                </w:p>
              </w:tc>
              <w:tc>
                <w:tcPr>
                  <w:tcW w:w="1106" w:type="pct"/>
                  <w:vAlign w:val="center"/>
                </w:tcPr>
                <w:p w14:paraId="6CBBD2BA">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建设1座大型储煤棚，将储煤棚内划分区域，储煤棚地面全部混凝土硬化，</w:t>
                  </w:r>
                  <w:r>
                    <w:rPr>
                      <w:rFonts w:hint="eastAsia" w:ascii="Times New Roman" w:hAnsi="Times New Roman" w:cs="Times New Roman"/>
                      <w:color w:val="auto"/>
                      <w:sz w:val="21"/>
                      <w:szCs w:val="21"/>
                      <w:vertAlign w:val="baseline"/>
                      <w:lang w:val="en-US" w:eastAsia="zh-CN"/>
                    </w:rPr>
                    <w:t>硬化地面可行车</w:t>
                  </w:r>
                  <w:r>
                    <w:rPr>
                      <w:rFonts w:hint="eastAsia" w:ascii="Times New Roman" w:hAnsi="Times New Roman" w:cs="Times New Roman"/>
                      <w:color w:val="auto"/>
                      <w:sz w:val="21"/>
                      <w:szCs w:val="21"/>
                      <w:lang w:val="en-US" w:eastAsia="zh-CN"/>
                    </w:rPr>
                    <w:t>。</w:t>
                  </w:r>
                </w:p>
              </w:tc>
              <w:tc>
                <w:tcPr>
                  <w:tcW w:w="1070" w:type="pct"/>
                  <w:vAlign w:val="center"/>
                </w:tcPr>
                <w:p w14:paraId="619E54A0">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将原有道路拆除后建设1座大型储煤棚，将储煤棚内划分区域，储煤棚地面全部混凝土硬化，</w:t>
                  </w:r>
                  <w:r>
                    <w:rPr>
                      <w:rFonts w:hint="eastAsia" w:ascii="Times New Roman" w:hAnsi="Times New Roman" w:cs="Times New Roman"/>
                      <w:color w:val="auto"/>
                      <w:sz w:val="21"/>
                      <w:szCs w:val="21"/>
                      <w:vertAlign w:val="baseline"/>
                      <w:lang w:val="en-US" w:eastAsia="zh-CN"/>
                    </w:rPr>
                    <w:t>硬化地面可行车。</w:t>
                  </w:r>
                </w:p>
              </w:tc>
            </w:tr>
            <w:tr w14:paraId="784B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restart"/>
                  <w:vAlign w:val="center"/>
                </w:tcPr>
                <w:p w14:paraId="06311738">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辅助工程</w:t>
                  </w:r>
                </w:p>
              </w:tc>
              <w:tc>
                <w:tcPr>
                  <w:tcW w:w="224" w:type="pct"/>
                  <w:vAlign w:val="center"/>
                </w:tcPr>
                <w:p w14:paraId="79CED329">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办公区</w:t>
                  </w:r>
                </w:p>
              </w:tc>
              <w:tc>
                <w:tcPr>
                  <w:tcW w:w="1342" w:type="pct"/>
                  <w:gridSpan w:val="2"/>
                  <w:vAlign w:val="center"/>
                </w:tcPr>
                <w:p w14:paraId="5B002404">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办公区采用砖混结构，建筑面积800m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w:t>
                  </w:r>
                </w:p>
              </w:tc>
              <w:tc>
                <w:tcPr>
                  <w:tcW w:w="1032" w:type="pct"/>
                  <w:vAlign w:val="center"/>
                </w:tcPr>
                <w:p w14:paraId="2E671A1E">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办公区采用砖混结构，建筑面积800m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w:t>
                  </w:r>
                </w:p>
              </w:tc>
              <w:tc>
                <w:tcPr>
                  <w:tcW w:w="1106" w:type="pct"/>
                  <w:vAlign w:val="center"/>
                </w:tcPr>
                <w:p w14:paraId="10BAC93A">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办公区采用砖混结构，建筑面积800m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w:t>
                  </w:r>
                </w:p>
              </w:tc>
              <w:tc>
                <w:tcPr>
                  <w:tcW w:w="1070" w:type="pct"/>
                  <w:vAlign w:val="center"/>
                </w:tcPr>
                <w:p w14:paraId="61DB2BAE">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未改变</w:t>
                  </w:r>
                </w:p>
              </w:tc>
            </w:tr>
            <w:tr w14:paraId="22FD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20E021DB">
                  <w:pPr>
                    <w:adjustRightInd w:val="0"/>
                    <w:snapToGrid w:val="0"/>
                    <w:jc w:val="center"/>
                    <w:rPr>
                      <w:rFonts w:hint="eastAsia" w:ascii="Times New Roman" w:hAnsi="Times New Roman" w:cs="Times New Roman"/>
                      <w:color w:val="auto"/>
                      <w:sz w:val="21"/>
                      <w:szCs w:val="21"/>
                      <w:lang w:val="en-US" w:eastAsia="zh-CN"/>
                    </w:rPr>
                  </w:pPr>
                </w:p>
              </w:tc>
              <w:tc>
                <w:tcPr>
                  <w:tcW w:w="224" w:type="pct"/>
                  <w:vAlign w:val="center"/>
                </w:tcPr>
                <w:p w14:paraId="7FE9C618">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地磅房</w:t>
                  </w:r>
                </w:p>
              </w:tc>
              <w:tc>
                <w:tcPr>
                  <w:tcW w:w="1342" w:type="pct"/>
                  <w:gridSpan w:val="2"/>
                  <w:vAlign w:val="center"/>
                </w:tcPr>
                <w:p w14:paraId="1BD44E45">
                  <w:pPr>
                    <w:adjustRightInd w:val="0"/>
                    <w:snapToGrid w:val="0"/>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砖混结构，建筑面积20m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，位于厂区门口位置（原有工程依托原有）</w:t>
                  </w:r>
                </w:p>
              </w:tc>
              <w:tc>
                <w:tcPr>
                  <w:tcW w:w="1032" w:type="pct"/>
                  <w:vAlign w:val="center"/>
                </w:tcPr>
                <w:p w14:paraId="2D71BE35">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砖混结构，建筑面积20m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，位于厂区门口位置</w:t>
                  </w:r>
                </w:p>
              </w:tc>
              <w:tc>
                <w:tcPr>
                  <w:tcW w:w="1106" w:type="pct"/>
                  <w:vAlign w:val="center"/>
                </w:tcPr>
                <w:p w14:paraId="41023EAD">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砖混结构，建筑面积20m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vertAlign w:val="baseline"/>
                      <w:lang w:val="en-US" w:eastAsia="zh-CN"/>
                    </w:rPr>
                    <w:t>，位于厂区门口位置</w:t>
                  </w:r>
                </w:p>
              </w:tc>
              <w:tc>
                <w:tcPr>
                  <w:tcW w:w="1070" w:type="pct"/>
                  <w:vAlign w:val="center"/>
                </w:tcPr>
                <w:p w14:paraId="2AE68424">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未改变</w:t>
                  </w:r>
                </w:p>
              </w:tc>
            </w:tr>
            <w:tr w14:paraId="15D4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3850549B">
                  <w:pPr>
                    <w:adjustRightInd w:val="0"/>
                    <w:snapToGrid w:val="0"/>
                    <w:jc w:val="center"/>
                    <w:rPr>
                      <w:rFonts w:hint="eastAsia" w:ascii="Times New Roman" w:hAnsi="Times New Roman" w:cs="Times New Roman"/>
                      <w:color w:val="auto"/>
                      <w:sz w:val="21"/>
                      <w:szCs w:val="21"/>
                      <w:lang w:val="en-US" w:eastAsia="zh-CN"/>
                    </w:rPr>
                  </w:pPr>
                </w:p>
              </w:tc>
              <w:tc>
                <w:tcPr>
                  <w:tcW w:w="224" w:type="pct"/>
                  <w:vAlign w:val="center"/>
                </w:tcPr>
                <w:p w14:paraId="7AA6B883">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生产设备</w:t>
                  </w:r>
                </w:p>
              </w:tc>
              <w:tc>
                <w:tcPr>
                  <w:tcW w:w="1342" w:type="pct"/>
                  <w:gridSpan w:val="2"/>
                  <w:vAlign w:val="center"/>
                </w:tcPr>
                <w:p w14:paraId="39C1C74F">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基础减震，设备均在车间内布置。</w:t>
                  </w:r>
                </w:p>
              </w:tc>
              <w:tc>
                <w:tcPr>
                  <w:tcW w:w="1032" w:type="pct"/>
                  <w:vAlign w:val="center"/>
                </w:tcPr>
                <w:p w14:paraId="2A290D37">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基础减震，设备均在车间内布置。</w:t>
                  </w:r>
                </w:p>
              </w:tc>
              <w:tc>
                <w:tcPr>
                  <w:tcW w:w="1106" w:type="pct"/>
                  <w:vAlign w:val="center"/>
                </w:tcPr>
                <w:p w14:paraId="49408AC6">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基础减震，设备均在车间内布置。</w:t>
                  </w:r>
                </w:p>
              </w:tc>
              <w:tc>
                <w:tcPr>
                  <w:tcW w:w="1070" w:type="pct"/>
                  <w:vAlign w:val="center"/>
                </w:tcPr>
                <w:p w14:paraId="3414C84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未改变</w:t>
                  </w:r>
                </w:p>
              </w:tc>
            </w:tr>
            <w:tr w14:paraId="4D65F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restart"/>
                  <w:vAlign w:val="center"/>
                </w:tcPr>
                <w:p w14:paraId="714DD60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公用工程</w:t>
                  </w:r>
                </w:p>
              </w:tc>
              <w:tc>
                <w:tcPr>
                  <w:tcW w:w="224" w:type="pct"/>
                  <w:vAlign w:val="center"/>
                </w:tcPr>
                <w:p w14:paraId="2BF03F4D">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供水</w:t>
                  </w:r>
                </w:p>
              </w:tc>
              <w:tc>
                <w:tcPr>
                  <w:tcW w:w="1342" w:type="pct"/>
                  <w:gridSpan w:val="2"/>
                  <w:vAlign w:val="center"/>
                </w:tcPr>
                <w:p w14:paraId="01E626FE">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生产用水为孙家岔镇崔家沟煤矿疏干水，由水罐车拉至厂区350m</w:t>
                  </w:r>
                  <w:r>
                    <w:rPr>
                      <w:rFonts w:hint="eastAsia" w:ascii="Times New Roman" w:hAnsi="Times New Roman" w:cs="Times New Roman"/>
                      <w:color w:val="auto"/>
                      <w:sz w:val="21"/>
                      <w:szCs w:val="21"/>
                      <w:vertAlign w:val="superscript"/>
                      <w:lang w:val="en-US" w:eastAsia="zh-CN"/>
                    </w:rPr>
                    <w:t>3</w:t>
                  </w:r>
                  <w:r>
                    <w:rPr>
                      <w:rFonts w:hint="eastAsia" w:ascii="Times New Roman" w:hAnsi="Times New Roman" w:cs="Times New Roman"/>
                      <w:color w:val="auto"/>
                      <w:sz w:val="21"/>
                      <w:szCs w:val="21"/>
                      <w:lang w:val="en-US" w:eastAsia="zh-CN"/>
                    </w:rPr>
                    <w:t>的蓄水池。生活用水自备水井提供。</w:t>
                  </w:r>
                </w:p>
              </w:tc>
              <w:tc>
                <w:tcPr>
                  <w:tcW w:w="1032" w:type="pct"/>
                  <w:vAlign w:val="center"/>
                </w:tcPr>
                <w:p w14:paraId="7CD414F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生产用水为孙家岔镇崔家沟煤矿疏干水，由水罐车拉至厂区210m</w:t>
                  </w:r>
                  <w:r>
                    <w:rPr>
                      <w:rFonts w:hint="eastAsia" w:ascii="Times New Roman" w:hAnsi="Times New Roman" w:cs="Times New Roman"/>
                      <w:color w:val="auto"/>
                      <w:sz w:val="21"/>
                      <w:szCs w:val="21"/>
                      <w:vertAlign w:val="superscript"/>
                      <w:lang w:val="en-US" w:eastAsia="zh-CN"/>
                    </w:rPr>
                    <w:t>3</w:t>
                  </w:r>
                  <w:r>
                    <w:rPr>
                      <w:rFonts w:hint="eastAsia" w:ascii="Times New Roman" w:hAnsi="Times New Roman" w:cs="Times New Roman"/>
                      <w:color w:val="auto"/>
                      <w:sz w:val="21"/>
                      <w:szCs w:val="21"/>
                      <w:lang w:val="en-US" w:eastAsia="zh-CN"/>
                    </w:rPr>
                    <w:t>的蓄水池。生活用水自备水井提供。</w:t>
                  </w:r>
                </w:p>
              </w:tc>
              <w:tc>
                <w:tcPr>
                  <w:tcW w:w="1106" w:type="pct"/>
                  <w:vAlign w:val="center"/>
                </w:tcPr>
                <w:p w14:paraId="3D28DD7F">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生产用水为鄂尔多斯市圣圆水务集团有限责任公司提供的经处理达标后的矿井疏干水，生活用水为鄂尔多斯市圣圆水务集团有限责任公司提供的自来水。</w:t>
                  </w:r>
                </w:p>
              </w:tc>
              <w:tc>
                <w:tcPr>
                  <w:tcW w:w="1070" w:type="pct"/>
                  <w:vAlign w:val="center"/>
                </w:tcPr>
                <w:p w14:paraId="3F712C6F">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生产用水为鄂尔多斯市圣圆水务集团有限责任公司提供的经处理达标后的矿井疏干水，生活用水为鄂尔多斯市圣圆水务集团有限责任公司提供的自来水。</w:t>
                  </w:r>
                </w:p>
              </w:tc>
            </w:tr>
            <w:tr w14:paraId="201B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7A3984ED">
                  <w:pPr>
                    <w:adjustRightInd w:val="0"/>
                    <w:snapToGrid w:val="0"/>
                    <w:jc w:val="center"/>
                    <w:rPr>
                      <w:rFonts w:hint="eastAsia" w:ascii="Times New Roman" w:hAnsi="Times New Roman" w:cs="Times New Roman"/>
                      <w:color w:val="auto"/>
                      <w:sz w:val="21"/>
                      <w:szCs w:val="21"/>
                      <w:lang w:val="en-US" w:eastAsia="zh-CN"/>
                    </w:rPr>
                  </w:pPr>
                </w:p>
              </w:tc>
              <w:tc>
                <w:tcPr>
                  <w:tcW w:w="224" w:type="pct"/>
                  <w:vAlign w:val="center"/>
                </w:tcPr>
                <w:p w14:paraId="2C5B84D9">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供电</w:t>
                  </w:r>
                </w:p>
              </w:tc>
              <w:tc>
                <w:tcPr>
                  <w:tcW w:w="1342" w:type="pct"/>
                  <w:gridSpan w:val="2"/>
                  <w:vAlign w:val="center"/>
                </w:tcPr>
                <w:p w14:paraId="42653C65">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用电由札萨克镇供电系统提供，年用电量460.84万kWh。</w:t>
                  </w:r>
                </w:p>
              </w:tc>
              <w:tc>
                <w:tcPr>
                  <w:tcW w:w="1032" w:type="pct"/>
                  <w:vAlign w:val="center"/>
                </w:tcPr>
                <w:p w14:paraId="65AC83FF">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用电由札萨克镇供电系统提供，年用电量460.84万kWh。</w:t>
                  </w:r>
                </w:p>
              </w:tc>
              <w:tc>
                <w:tcPr>
                  <w:tcW w:w="1106" w:type="pct"/>
                  <w:vAlign w:val="center"/>
                </w:tcPr>
                <w:p w14:paraId="6A774B30">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用电由札萨克镇供电系统提供，年用电量460.84万kWh。</w:t>
                  </w:r>
                </w:p>
              </w:tc>
              <w:tc>
                <w:tcPr>
                  <w:tcW w:w="1070" w:type="pct"/>
                  <w:vAlign w:val="center"/>
                </w:tcPr>
                <w:p w14:paraId="4A493D8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未改变</w:t>
                  </w:r>
                </w:p>
              </w:tc>
            </w:tr>
            <w:tr w14:paraId="3DF1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22" w:type="pct"/>
                  <w:vMerge w:val="continue"/>
                  <w:vAlign w:val="center"/>
                </w:tcPr>
                <w:p w14:paraId="6ED65B92">
                  <w:pPr>
                    <w:adjustRightInd w:val="0"/>
                    <w:snapToGrid w:val="0"/>
                    <w:jc w:val="center"/>
                    <w:rPr>
                      <w:rFonts w:hint="eastAsia" w:ascii="Times New Roman" w:hAnsi="Times New Roman" w:cs="Times New Roman"/>
                      <w:color w:val="auto"/>
                      <w:sz w:val="21"/>
                      <w:szCs w:val="21"/>
                      <w:lang w:val="en-US" w:eastAsia="zh-CN"/>
                    </w:rPr>
                  </w:pPr>
                </w:p>
              </w:tc>
              <w:tc>
                <w:tcPr>
                  <w:tcW w:w="224" w:type="pct"/>
                  <w:vMerge w:val="restart"/>
                  <w:vAlign w:val="center"/>
                </w:tcPr>
                <w:p w14:paraId="6F4066FC">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供热</w:t>
                  </w:r>
                </w:p>
              </w:tc>
              <w:tc>
                <w:tcPr>
                  <w:tcW w:w="1342" w:type="pct"/>
                  <w:gridSpan w:val="2"/>
                  <w:vAlign w:val="center"/>
                </w:tcPr>
                <w:p w14:paraId="4BFA85D3">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主厂房及办公区供暖各由一台0.2t/h电锅炉提供，锅炉满足本项目采暖需求。</w:t>
                  </w:r>
                </w:p>
              </w:tc>
              <w:tc>
                <w:tcPr>
                  <w:tcW w:w="1032" w:type="pct"/>
                  <w:vAlign w:val="center"/>
                </w:tcPr>
                <w:p w14:paraId="5EEDACC9">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洗选车间无供暖设施，办公区采用电暖气供暖。</w:t>
                  </w:r>
                </w:p>
              </w:tc>
              <w:tc>
                <w:tcPr>
                  <w:tcW w:w="1106" w:type="pct"/>
                  <w:vAlign w:val="center"/>
                </w:tcPr>
                <w:p w14:paraId="735F0F6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整体煤棚无供暖设施，办公区采用电暖气供暖。</w:t>
                  </w:r>
                </w:p>
              </w:tc>
              <w:tc>
                <w:tcPr>
                  <w:tcW w:w="1070" w:type="pct"/>
                  <w:vAlign w:val="center"/>
                </w:tcPr>
                <w:p w14:paraId="163CDA64">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未改变</w:t>
                  </w:r>
                </w:p>
              </w:tc>
            </w:tr>
            <w:tr w14:paraId="1F17C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restart"/>
                  <w:vAlign w:val="center"/>
                </w:tcPr>
                <w:p w14:paraId="476A047D">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环保工程</w:t>
                  </w:r>
                </w:p>
              </w:tc>
              <w:tc>
                <w:tcPr>
                  <w:tcW w:w="224" w:type="pct"/>
                  <w:vMerge w:val="restart"/>
                  <w:vAlign w:val="center"/>
                </w:tcPr>
                <w:p w14:paraId="2B4813DC">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固废</w:t>
                  </w:r>
                </w:p>
              </w:tc>
              <w:tc>
                <w:tcPr>
                  <w:tcW w:w="278" w:type="pct"/>
                  <w:vAlign w:val="center"/>
                </w:tcPr>
                <w:p w14:paraId="699E197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矸石煤泥</w:t>
                  </w:r>
                </w:p>
              </w:tc>
              <w:tc>
                <w:tcPr>
                  <w:tcW w:w="1064" w:type="pct"/>
                  <w:vAlign w:val="center"/>
                </w:tcPr>
                <w:p w14:paraId="59BC7550">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矸石煤泥临时储存在矸石棚、煤泥棚内，煤泥、矸石外售</w:t>
                  </w:r>
                  <w:r>
                    <w:rPr>
                      <w:rFonts w:hint="eastAsia" w:ascii="Times New Roman" w:hAnsi="Times New Roman" w:cs="Times New Roman"/>
                      <w:color w:val="auto"/>
                      <w:sz w:val="21"/>
                      <w:szCs w:val="21"/>
                      <w:vertAlign w:val="baseline"/>
                      <w:lang w:val="en-US" w:eastAsia="zh-CN"/>
                    </w:rPr>
                    <w:t>伊金霍洛旗怡达商贸有限责任公司，销售不畅时临时储存于马泰壕煤矿排矸场</w:t>
                  </w:r>
                </w:p>
              </w:tc>
              <w:tc>
                <w:tcPr>
                  <w:tcW w:w="1032" w:type="pct"/>
                  <w:vAlign w:val="center"/>
                </w:tcPr>
                <w:p w14:paraId="672F7261">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煤泥掺入末精煤外售，矸石直接装车外运排至马泰壕煤矿临时排矸场</w:t>
                  </w:r>
                </w:p>
              </w:tc>
              <w:tc>
                <w:tcPr>
                  <w:tcW w:w="1106" w:type="pct"/>
                  <w:vAlign w:val="center"/>
                </w:tcPr>
                <w:p w14:paraId="694A67DC">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矸石、煤泥临时储存于矸石区和煤泥区，煤泥掺入末精煤外售，矸石直接装车外运排至马泰壕煤矿临时排矸场</w:t>
                  </w:r>
                </w:p>
              </w:tc>
              <w:tc>
                <w:tcPr>
                  <w:tcW w:w="1070" w:type="pct"/>
                  <w:vAlign w:val="center"/>
                </w:tcPr>
                <w:p w14:paraId="376C955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未改变</w:t>
                  </w:r>
                </w:p>
              </w:tc>
            </w:tr>
            <w:tr w14:paraId="7A1C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2CF5437F">
                  <w:pPr>
                    <w:adjustRightInd w:val="0"/>
                    <w:snapToGrid w:val="0"/>
                    <w:jc w:val="center"/>
                    <w:rPr>
                      <w:rFonts w:hint="eastAsia" w:ascii="Times New Roman" w:hAnsi="Times New Roman" w:cs="Times New Roman"/>
                      <w:color w:val="auto"/>
                      <w:sz w:val="21"/>
                      <w:szCs w:val="21"/>
                      <w:lang w:val="en-US" w:eastAsia="zh-CN"/>
                    </w:rPr>
                  </w:pPr>
                </w:p>
              </w:tc>
              <w:tc>
                <w:tcPr>
                  <w:tcW w:w="224" w:type="pct"/>
                  <w:vMerge w:val="continue"/>
                  <w:vAlign w:val="center"/>
                </w:tcPr>
                <w:p w14:paraId="762B29E7">
                  <w:pPr>
                    <w:adjustRightInd w:val="0"/>
                    <w:snapToGrid w:val="0"/>
                    <w:jc w:val="center"/>
                    <w:rPr>
                      <w:rFonts w:hint="eastAsia" w:ascii="Times New Roman" w:hAnsi="Times New Roman" w:cs="Times New Roman"/>
                      <w:color w:val="auto"/>
                      <w:sz w:val="21"/>
                      <w:szCs w:val="21"/>
                      <w:lang w:val="en-US" w:eastAsia="zh-CN"/>
                    </w:rPr>
                  </w:pPr>
                </w:p>
              </w:tc>
              <w:tc>
                <w:tcPr>
                  <w:tcW w:w="278" w:type="pct"/>
                  <w:vAlign w:val="center"/>
                </w:tcPr>
                <w:p w14:paraId="7F5E704F">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沉淀池底泥</w:t>
                  </w:r>
                </w:p>
              </w:tc>
              <w:tc>
                <w:tcPr>
                  <w:tcW w:w="1064" w:type="pct"/>
                  <w:vAlign w:val="center"/>
                </w:tcPr>
                <w:p w14:paraId="6BDB18A0">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定期处理掺入煤泥外售</w:t>
                  </w:r>
                </w:p>
              </w:tc>
              <w:tc>
                <w:tcPr>
                  <w:tcW w:w="1032" w:type="pct"/>
                  <w:vAlign w:val="center"/>
                </w:tcPr>
                <w:p w14:paraId="0EFF5C2A">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定期处理掺入煤泥外售</w:t>
                  </w:r>
                </w:p>
              </w:tc>
              <w:tc>
                <w:tcPr>
                  <w:tcW w:w="1106" w:type="pct"/>
                  <w:vAlign w:val="center"/>
                </w:tcPr>
                <w:p w14:paraId="04B0FF60">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定期处理掺入煤泥外售</w:t>
                  </w:r>
                </w:p>
              </w:tc>
              <w:tc>
                <w:tcPr>
                  <w:tcW w:w="1070" w:type="pct"/>
                  <w:vAlign w:val="center"/>
                </w:tcPr>
                <w:p w14:paraId="2629658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未改变</w:t>
                  </w:r>
                </w:p>
              </w:tc>
            </w:tr>
            <w:tr w14:paraId="11E1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3C610335">
                  <w:pPr>
                    <w:adjustRightInd w:val="0"/>
                    <w:snapToGrid w:val="0"/>
                    <w:jc w:val="center"/>
                    <w:rPr>
                      <w:rFonts w:hint="eastAsia" w:ascii="Times New Roman" w:hAnsi="Times New Roman" w:cs="Times New Roman"/>
                      <w:color w:val="auto"/>
                      <w:sz w:val="21"/>
                      <w:szCs w:val="21"/>
                      <w:lang w:val="en-US" w:eastAsia="zh-CN"/>
                    </w:rPr>
                  </w:pPr>
                </w:p>
              </w:tc>
              <w:tc>
                <w:tcPr>
                  <w:tcW w:w="224" w:type="pct"/>
                  <w:vMerge w:val="continue"/>
                  <w:vAlign w:val="center"/>
                </w:tcPr>
                <w:p w14:paraId="62149A01">
                  <w:pPr>
                    <w:adjustRightInd w:val="0"/>
                    <w:snapToGrid w:val="0"/>
                    <w:jc w:val="center"/>
                    <w:rPr>
                      <w:rFonts w:hint="eastAsia" w:ascii="Times New Roman" w:hAnsi="Times New Roman" w:cs="Times New Roman"/>
                      <w:color w:val="auto"/>
                      <w:sz w:val="21"/>
                      <w:szCs w:val="21"/>
                      <w:lang w:val="en-US" w:eastAsia="zh-CN"/>
                    </w:rPr>
                  </w:pPr>
                </w:p>
              </w:tc>
              <w:tc>
                <w:tcPr>
                  <w:tcW w:w="278" w:type="pct"/>
                  <w:vAlign w:val="center"/>
                </w:tcPr>
                <w:p w14:paraId="072C2602">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生活垃圾</w:t>
                  </w:r>
                </w:p>
              </w:tc>
              <w:tc>
                <w:tcPr>
                  <w:tcW w:w="1064" w:type="pct"/>
                  <w:vAlign w:val="center"/>
                </w:tcPr>
                <w:p w14:paraId="5AB08390">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定期交由当地环卫部门统一处置。</w:t>
                  </w:r>
                </w:p>
              </w:tc>
              <w:tc>
                <w:tcPr>
                  <w:tcW w:w="1032" w:type="pct"/>
                  <w:vAlign w:val="center"/>
                </w:tcPr>
                <w:p w14:paraId="53E38D4D">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依托原有办公生活区垃圾收集设施，定期由伊金霍洛旗馨谊物业管理有限责任公司清运到当地环卫部门指定地点统一处理。</w:t>
                  </w:r>
                </w:p>
              </w:tc>
              <w:tc>
                <w:tcPr>
                  <w:tcW w:w="1106" w:type="pct"/>
                  <w:vAlign w:val="center"/>
                </w:tcPr>
                <w:p w14:paraId="04BA4986">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依托原有办公生活区垃圾收集设施，定期由伊金霍洛旗馨谊物业管理有限责任公司清运到当地环卫部门指定地点统一处理。</w:t>
                  </w:r>
                </w:p>
              </w:tc>
              <w:tc>
                <w:tcPr>
                  <w:tcW w:w="1070" w:type="pct"/>
                  <w:vAlign w:val="center"/>
                </w:tcPr>
                <w:p w14:paraId="560A8846">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未改变</w:t>
                  </w:r>
                </w:p>
              </w:tc>
            </w:tr>
            <w:tr w14:paraId="77FC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 w:type="pct"/>
                  <w:vMerge w:val="continue"/>
                  <w:vAlign w:val="center"/>
                </w:tcPr>
                <w:p w14:paraId="39CBE1BE">
                  <w:pPr>
                    <w:adjustRightInd w:val="0"/>
                    <w:snapToGrid w:val="0"/>
                    <w:jc w:val="center"/>
                    <w:rPr>
                      <w:rFonts w:hint="eastAsia" w:ascii="Times New Roman" w:hAnsi="Times New Roman" w:cs="Times New Roman"/>
                      <w:color w:val="auto"/>
                      <w:sz w:val="21"/>
                      <w:szCs w:val="21"/>
                      <w:lang w:val="en-US" w:eastAsia="zh-CN"/>
                    </w:rPr>
                  </w:pPr>
                </w:p>
              </w:tc>
              <w:tc>
                <w:tcPr>
                  <w:tcW w:w="224" w:type="pct"/>
                  <w:vMerge w:val="continue"/>
                  <w:vAlign w:val="center"/>
                </w:tcPr>
                <w:p w14:paraId="12B8BB9A">
                  <w:pPr>
                    <w:adjustRightInd w:val="0"/>
                    <w:snapToGrid w:val="0"/>
                    <w:jc w:val="center"/>
                    <w:rPr>
                      <w:rFonts w:hint="eastAsia" w:ascii="Times New Roman" w:hAnsi="Times New Roman" w:cs="Times New Roman"/>
                      <w:color w:val="auto"/>
                      <w:sz w:val="21"/>
                      <w:szCs w:val="21"/>
                      <w:lang w:val="en-US" w:eastAsia="zh-CN"/>
                    </w:rPr>
                  </w:pPr>
                </w:p>
              </w:tc>
              <w:tc>
                <w:tcPr>
                  <w:tcW w:w="278" w:type="pct"/>
                  <w:vAlign w:val="center"/>
                </w:tcPr>
                <w:p w14:paraId="3182804A">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废机油</w:t>
                  </w:r>
                </w:p>
              </w:tc>
              <w:tc>
                <w:tcPr>
                  <w:tcW w:w="1064" w:type="pct"/>
                  <w:vAlign w:val="center"/>
                </w:tcPr>
                <w:p w14:paraId="1D5EF3BE">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暂存于危废暂存库内（20m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），产生量约为0.6t/a，交由有资质的单位进行处置。</w:t>
                  </w:r>
                </w:p>
              </w:tc>
              <w:tc>
                <w:tcPr>
                  <w:tcW w:w="1032" w:type="pct"/>
                  <w:vAlign w:val="center"/>
                </w:tcPr>
                <w:p w14:paraId="76BC713F">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暂存于危废暂存库内（20m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产生量约为0.05t/a，交由石家庄翔宇环保技术服务中心处置，危废暂存库地面已进行基础防渗，防渗层为1.5mm厚的高密度聚乙烯膜，再在上层铺10-15cm的水泥进行硬化，导流渠：四周均设导流渠（宽20cm，高10cm），通往危废库集液池，用于将溢出废液导入集液池内；</w:t>
                  </w:r>
                </w:p>
                <w:p w14:paraId="0B4DE9EB">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裙角：墙面四周设置300mm高的裙角；</w:t>
                  </w:r>
                </w:p>
                <w:p w14:paraId="66560A1C">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集液池：角落设1座集液池（容积1m</w:t>
                  </w:r>
                  <w:r>
                    <w:rPr>
                      <w:rFonts w:hint="eastAsia" w:ascii="Times New Roman" w:hAnsi="Times New Roman" w:cs="Times New Roman"/>
                      <w:color w:val="auto"/>
                      <w:sz w:val="21"/>
                      <w:szCs w:val="21"/>
                      <w:vertAlign w:val="superscript"/>
                      <w:lang w:val="en-US" w:eastAsia="zh-CN"/>
                    </w:rPr>
                    <w:t>3</w:t>
                  </w:r>
                  <w:r>
                    <w:rPr>
                      <w:rFonts w:hint="eastAsia" w:ascii="Times New Roman" w:hAnsi="Times New Roman" w:cs="Times New Roman"/>
                      <w:color w:val="auto"/>
                      <w:sz w:val="21"/>
                      <w:szCs w:val="21"/>
                      <w:lang w:val="en-US" w:eastAsia="zh-CN"/>
                    </w:rPr>
                    <w:t>），用于收集暂存一旦发生损坏时渗漏的危险废物。渗透系数小于1×10</w:t>
                  </w:r>
                  <w:r>
                    <w:rPr>
                      <w:rFonts w:hint="eastAsia" w:ascii="Times New Roman" w:hAnsi="Times New Roman" w:cs="Times New Roman"/>
                      <w:color w:val="auto"/>
                      <w:sz w:val="21"/>
                      <w:szCs w:val="21"/>
                      <w:vertAlign w:val="superscript"/>
                      <w:lang w:val="en-US" w:eastAsia="zh-CN"/>
                    </w:rPr>
                    <w:t>-10</w:t>
                  </w:r>
                  <w:r>
                    <w:rPr>
                      <w:rFonts w:hint="eastAsia" w:ascii="Times New Roman" w:hAnsi="Times New Roman" w:cs="Times New Roman"/>
                      <w:color w:val="auto"/>
                      <w:sz w:val="21"/>
                      <w:szCs w:val="21"/>
                      <w:lang w:val="en-US" w:eastAsia="zh-CN"/>
                    </w:rPr>
                    <w:t>cm/s。</w:t>
                  </w:r>
                </w:p>
              </w:tc>
              <w:tc>
                <w:tcPr>
                  <w:tcW w:w="1106" w:type="pct"/>
                  <w:vAlign w:val="center"/>
                </w:tcPr>
                <w:p w14:paraId="530A1127">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暂存于危废暂存库内（20m</w:t>
                  </w:r>
                  <w:r>
                    <w:rPr>
                      <w:rFonts w:hint="eastAsia" w:ascii="Times New Roman" w:hAnsi="Times New Roman" w:cs="Times New Roman"/>
                      <w:color w:val="auto"/>
                      <w:sz w:val="21"/>
                      <w:szCs w:val="21"/>
                      <w:vertAlign w:val="superscript"/>
                      <w:lang w:val="en-US" w:eastAsia="zh-CN"/>
                    </w:rPr>
                    <w:t>2</w:t>
                  </w:r>
                  <w:r>
                    <w:rPr>
                      <w:rFonts w:hint="eastAsia" w:ascii="Times New Roman" w:hAnsi="Times New Roman" w:cs="Times New Roman"/>
                      <w:color w:val="auto"/>
                      <w:sz w:val="21"/>
                      <w:szCs w:val="21"/>
                      <w:lang w:val="en-US" w:eastAsia="zh-CN"/>
                    </w:rPr>
                    <w:t>），产生量约为0.05t/a，交由石家庄翔宇环保技术服务中心处置，危废暂存库地面已进行基础防渗，防渗层为1.5mm厚的高密度聚乙烯膜，再在上层铺10-15cm的水泥进行硬化，导流渠：四周均设导流渠（宽20cm，高10cm），通往危废库集液池，用于将溢出废液导入集液池内；</w:t>
                  </w:r>
                </w:p>
                <w:p w14:paraId="5D112B77">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裙角：墙面四周设置300mm高的裙角；</w:t>
                  </w:r>
                </w:p>
                <w:p w14:paraId="6E1C6355">
                  <w:pPr>
                    <w:adjustRightInd w:val="0"/>
                    <w:snapToGrid w:val="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集液池：角落设1座集液池（容积1m</w:t>
                  </w:r>
                  <w:r>
                    <w:rPr>
                      <w:rFonts w:hint="eastAsia" w:ascii="Times New Roman" w:hAnsi="Times New Roman" w:cs="Times New Roman"/>
                      <w:color w:val="auto"/>
                      <w:sz w:val="21"/>
                      <w:szCs w:val="21"/>
                      <w:vertAlign w:val="superscript"/>
                      <w:lang w:val="en-US" w:eastAsia="zh-CN"/>
                    </w:rPr>
                    <w:t>3</w:t>
                  </w:r>
                  <w:r>
                    <w:rPr>
                      <w:rFonts w:hint="eastAsia" w:ascii="Times New Roman" w:hAnsi="Times New Roman" w:cs="Times New Roman"/>
                      <w:color w:val="auto"/>
                      <w:sz w:val="21"/>
                      <w:szCs w:val="21"/>
                      <w:lang w:val="en-US" w:eastAsia="zh-CN"/>
                    </w:rPr>
                    <w:t>），用于收集暂存一旦发生损坏时渗漏的危险废物。渗透系数小于1×10</w:t>
                  </w:r>
                  <w:r>
                    <w:rPr>
                      <w:rFonts w:hint="eastAsia" w:ascii="Times New Roman" w:hAnsi="Times New Roman" w:cs="Times New Roman"/>
                      <w:color w:val="auto"/>
                      <w:sz w:val="21"/>
                      <w:szCs w:val="21"/>
                      <w:vertAlign w:val="superscript"/>
                      <w:lang w:val="en-US" w:eastAsia="zh-CN"/>
                    </w:rPr>
                    <w:t>-10</w:t>
                  </w:r>
                  <w:r>
                    <w:rPr>
                      <w:rFonts w:hint="eastAsia" w:ascii="Times New Roman" w:hAnsi="Times New Roman" w:cs="Times New Roman"/>
                      <w:color w:val="auto"/>
                      <w:sz w:val="21"/>
                      <w:szCs w:val="21"/>
                      <w:lang w:val="en-US" w:eastAsia="zh-CN"/>
                    </w:rPr>
                    <w:t>cm/s。</w:t>
                  </w:r>
                </w:p>
              </w:tc>
              <w:tc>
                <w:tcPr>
                  <w:tcW w:w="1070" w:type="pct"/>
                  <w:vAlign w:val="center"/>
                </w:tcPr>
                <w:p w14:paraId="5FE1D841">
                  <w:pPr>
                    <w:adjustRightInd w:val="0"/>
                    <w:snapToGrid w:val="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未改变</w:t>
                  </w:r>
                </w:p>
              </w:tc>
            </w:tr>
          </w:tbl>
          <w:p w14:paraId="5980C728">
            <w:pPr>
              <w:numPr>
                <w:ilvl w:val="0"/>
                <w:numId w:val="0"/>
              </w:numPr>
              <w:spacing w:before="240" w:line="360" w:lineRule="auto"/>
              <w:ind w:firstLine="480" w:firstLineChars="200"/>
              <w:rPr>
                <w:rFonts w:hint="eastAsia" w:ascii="Times New Roman" w:hAnsi="Times New Roman" w:cs="Times New Roman"/>
                <w:color w:val="auto"/>
                <w:sz w:val="24"/>
                <w:szCs w:val="24"/>
                <w:vertAlign w:val="baseline"/>
                <w:lang w:val="en-US" w:eastAsia="zh-CN"/>
              </w:rPr>
            </w:pPr>
            <w:r>
              <w:rPr>
                <w:rFonts w:hint="eastAsia" w:ascii="Times New Roman" w:hAnsi="Times New Roman" w:eastAsia="宋体" w:cs="Times New Roman"/>
                <w:color w:val="auto"/>
                <w:sz w:val="24"/>
                <w:szCs w:val="24"/>
                <w:lang w:val="en-US" w:eastAsia="zh-CN" w:bidi="zh-CN"/>
              </w:rPr>
              <w:t>本次扩建过程不对跳汰机、压滤机、浓缩机等洗选设备设施进行变更，保持原样，只对原有储煤棚及车间等进行拆除后扩建</w:t>
            </w:r>
            <w:r>
              <w:rPr>
                <w:rFonts w:hint="eastAsia" w:ascii="Times New Roman" w:hAnsi="Times New Roman" w:cs="Times New Roman"/>
                <w:color w:val="auto"/>
                <w:sz w:val="24"/>
                <w:szCs w:val="24"/>
                <w:lang w:val="en-US" w:eastAsia="zh-CN" w:bidi="zh-CN"/>
              </w:rPr>
              <w:t>1</w:t>
            </w:r>
            <w:r>
              <w:rPr>
                <w:rFonts w:hint="eastAsia" w:ascii="Times New Roman" w:hAnsi="Times New Roman" w:eastAsia="宋体" w:cs="Times New Roman"/>
                <w:color w:val="auto"/>
                <w:sz w:val="24"/>
                <w:szCs w:val="24"/>
                <w:lang w:val="en-US" w:eastAsia="zh-CN" w:bidi="zh-CN"/>
              </w:rPr>
              <w:t>座大型储煤棚，</w:t>
            </w:r>
            <w:r>
              <w:rPr>
                <w:rFonts w:hint="eastAsia" w:ascii="Times New Roman" w:hAnsi="Times New Roman" w:cs="Times New Roman"/>
                <w:color w:val="auto"/>
                <w:sz w:val="24"/>
                <w:szCs w:val="24"/>
                <w:lang w:val="en-US" w:eastAsia="zh-CN" w:bidi="zh-CN"/>
              </w:rPr>
              <w:t>总</w:t>
            </w:r>
            <w:r>
              <w:rPr>
                <w:rFonts w:hint="eastAsia" w:ascii="Times New Roman" w:hAnsi="Times New Roman" w:eastAsia="宋体" w:cs="Times New Roman"/>
                <w:color w:val="auto"/>
                <w:sz w:val="24"/>
                <w:szCs w:val="24"/>
                <w:lang w:val="en-US" w:eastAsia="zh-CN" w:bidi="zh-CN"/>
              </w:rPr>
              <w:t>建筑面积为</w:t>
            </w:r>
            <w:r>
              <w:rPr>
                <w:rFonts w:hint="eastAsia" w:ascii="Times New Roman" w:hAnsi="Times New Roman" w:cs="Times New Roman"/>
                <w:color w:val="auto"/>
                <w:sz w:val="24"/>
                <w:szCs w:val="24"/>
                <w:lang w:val="en-US" w:eastAsia="zh-CN" w:bidi="zh-CN"/>
              </w:rPr>
              <w:t>27069.80</w:t>
            </w:r>
            <w:r>
              <w:rPr>
                <w:rFonts w:hint="eastAsia" w:ascii="Times New Roman" w:hAnsi="Times New Roman" w:eastAsia="宋体" w:cs="Times New Roman"/>
                <w:color w:val="auto"/>
                <w:sz w:val="24"/>
                <w:szCs w:val="24"/>
                <w:lang w:val="en-US" w:eastAsia="zh-CN" w:bidi="zh-CN"/>
              </w:rPr>
              <w:t>m</w:t>
            </w:r>
            <w:r>
              <w:rPr>
                <w:rFonts w:hint="eastAsia" w:ascii="Times New Roman" w:hAnsi="Times New Roman" w:eastAsia="宋体" w:cs="Times New Roman"/>
                <w:color w:val="auto"/>
                <w:sz w:val="24"/>
                <w:szCs w:val="24"/>
                <w:vertAlign w:val="superscript"/>
                <w:lang w:val="en-US" w:eastAsia="zh-CN" w:bidi="zh-CN"/>
              </w:rPr>
              <w:t>2</w:t>
            </w:r>
            <w:r>
              <w:rPr>
                <w:rFonts w:hint="eastAsia" w:ascii="Times New Roman" w:hAnsi="Times New Roman" w:cs="Times New Roman"/>
                <w:color w:val="auto"/>
                <w:sz w:val="24"/>
                <w:szCs w:val="24"/>
                <w:vertAlign w:val="baseline"/>
                <w:lang w:val="en-US" w:eastAsia="zh-CN" w:bidi="zh-CN"/>
              </w:rPr>
              <w:t>，</w:t>
            </w:r>
            <w:r>
              <w:rPr>
                <w:rFonts w:hint="eastAsia" w:ascii="Times New Roman" w:hAnsi="Times New Roman" w:cs="Times New Roman"/>
                <w:color w:val="auto"/>
                <w:sz w:val="24"/>
                <w:szCs w:val="24"/>
                <w:vertAlign w:val="baseline"/>
                <w:lang w:val="en-US" w:eastAsia="zh-CN"/>
              </w:rPr>
              <w:t>其中1#区面积为16847.8m</w:t>
            </w:r>
            <w:r>
              <w:rPr>
                <w:rFonts w:hint="eastAsia"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vertAlign w:val="baseline"/>
                <w:lang w:val="en-US" w:eastAsia="zh-CN"/>
              </w:rPr>
              <w:t>，2#区面积为10222m</w:t>
            </w:r>
            <w:r>
              <w:rPr>
                <w:rFonts w:hint="eastAsia" w:ascii="Times New Roman" w:hAnsi="Times New Roman" w:cs="Times New Roman"/>
                <w:color w:val="auto"/>
                <w:sz w:val="24"/>
                <w:szCs w:val="24"/>
                <w:vertAlign w:val="superscript"/>
                <w:lang w:val="en-US" w:eastAsia="zh-CN"/>
              </w:rPr>
              <w:t>2</w:t>
            </w:r>
            <w:r>
              <w:rPr>
                <w:rFonts w:hint="eastAsia" w:ascii="Times New Roman" w:hAnsi="Times New Roman" w:cs="Times New Roman"/>
                <w:color w:val="auto"/>
                <w:sz w:val="24"/>
                <w:szCs w:val="24"/>
                <w:vertAlign w:val="baseline"/>
                <w:lang w:val="en-US" w:eastAsia="zh-CN"/>
              </w:rPr>
              <w:t>。</w:t>
            </w:r>
          </w:p>
          <w:p w14:paraId="332F0FD9">
            <w:pPr>
              <w:numPr>
                <w:ilvl w:val="0"/>
                <w:numId w:val="0"/>
              </w:numPr>
              <w:spacing w:before="240" w:line="360" w:lineRule="auto"/>
              <w:ind w:firstLine="480" w:firstLineChars="200"/>
              <w:rPr>
                <w:rFonts w:hint="eastAsia" w:ascii="Times New Roman" w:hAnsi="Times New Roman" w:cs="Times New Roman"/>
                <w:color w:val="0000FF"/>
                <w:sz w:val="24"/>
                <w:szCs w:val="24"/>
                <w:vertAlign w:val="baseline"/>
                <w:lang w:val="en-US" w:eastAsia="zh-CN"/>
              </w:rPr>
            </w:pPr>
          </w:p>
          <w:p w14:paraId="369265EE">
            <w:pPr>
              <w:numPr>
                <w:ilvl w:val="0"/>
                <w:numId w:val="4"/>
              </w:numPr>
              <w:spacing w:line="360" w:lineRule="auto"/>
              <w:ind w:firstLine="482" w:firstLineChars="200"/>
              <w:rPr>
                <w:rFonts w:hint="eastAsia" w:ascii="Times New Roman" w:hAnsi="Times New Roman" w:cs="Times New Roman"/>
                <w:b/>
                <w:sz w:val="24"/>
                <w:lang w:val="en-US" w:eastAsia="zh-CN"/>
              </w:rPr>
            </w:pPr>
            <w:r>
              <w:rPr>
                <w:rFonts w:hint="eastAsia" w:ascii="Times New Roman" w:hAnsi="Times New Roman" w:cs="Times New Roman"/>
                <w:b/>
                <w:sz w:val="24"/>
                <w:lang w:val="en-US" w:eastAsia="zh-CN"/>
              </w:rPr>
              <w:t>主要生产设备情况</w:t>
            </w:r>
          </w:p>
          <w:p w14:paraId="4AAA2048">
            <w:pPr>
              <w:numPr>
                <w:ilvl w:val="0"/>
                <w:numId w:val="0"/>
              </w:numPr>
              <w:spacing w:line="360" w:lineRule="auto"/>
              <w:jc w:val="center"/>
              <w:rPr>
                <w:rFonts w:hint="default" w:ascii="Times New Roman" w:hAnsi="Times New Roman" w:cs="Times New Roman"/>
                <w:b/>
                <w:sz w:val="24"/>
                <w:lang w:val="en-US" w:eastAsia="zh-CN"/>
              </w:rPr>
            </w:pPr>
            <w:r>
              <w:rPr>
                <w:rFonts w:hint="eastAsia" w:ascii="Times New Roman" w:hAnsi="Times New Roman" w:cs="Times New Roman"/>
                <w:b/>
                <w:sz w:val="24"/>
                <w:lang w:val="en-US" w:eastAsia="zh-CN"/>
              </w:rPr>
              <w:t>表2-2 主要生产设备情况表</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1995"/>
              <w:gridCol w:w="4357"/>
              <w:gridCol w:w="2395"/>
            </w:tblGrid>
            <w:tr w14:paraId="5208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12903BAB">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序号</w:t>
                  </w:r>
                </w:p>
              </w:tc>
              <w:tc>
                <w:tcPr>
                  <w:tcW w:w="1995" w:type="dxa"/>
                </w:tcPr>
                <w:p w14:paraId="27E4FED9">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设备名称</w:t>
                  </w:r>
                </w:p>
              </w:tc>
              <w:tc>
                <w:tcPr>
                  <w:tcW w:w="4357" w:type="dxa"/>
                </w:tcPr>
                <w:p w14:paraId="6630BDA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型号及规格</w:t>
                  </w:r>
                </w:p>
              </w:tc>
              <w:tc>
                <w:tcPr>
                  <w:tcW w:w="2395" w:type="dxa"/>
                </w:tcPr>
                <w:p w14:paraId="238EA9B8">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数量（台）</w:t>
                  </w:r>
                </w:p>
              </w:tc>
            </w:tr>
            <w:tr w14:paraId="05C9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19EE2DC0">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一</w:t>
                  </w:r>
                </w:p>
              </w:tc>
              <w:tc>
                <w:tcPr>
                  <w:tcW w:w="1995" w:type="dxa"/>
                </w:tcPr>
                <w:p w14:paraId="0B710E2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原煤受煤系统</w:t>
                  </w:r>
                </w:p>
              </w:tc>
              <w:tc>
                <w:tcPr>
                  <w:tcW w:w="4357" w:type="dxa"/>
                </w:tcPr>
                <w:p w14:paraId="655AFC10">
                  <w:pPr>
                    <w:adjustRightInd w:val="0"/>
                    <w:snapToGrid w:val="0"/>
                    <w:jc w:val="center"/>
                    <w:rPr>
                      <w:rFonts w:hint="default" w:ascii="Times New Roman" w:hAnsi="Times New Roman" w:eastAsia="宋体" w:cs="Times New Roman"/>
                      <w:color w:val="auto"/>
                      <w:sz w:val="21"/>
                      <w:szCs w:val="21"/>
                      <w:lang w:val="en-US" w:eastAsia="zh-CN"/>
                    </w:rPr>
                  </w:pPr>
                </w:p>
              </w:tc>
              <w:tc>
                <w:tcPr>
                  <w:tcW w:w="2395" w:type="dxa"/>
                </w:tcPr>
                <w:p w14:paraId="0AB6C526">
                  <w:pPr>
                    <w:adjustRightInd w:val="0"/>
                    <w:snapToGrid w:val="0"/>
                    <w:jc w:val="center"/>
                    <w:rPr>
                      <w:rFonts w:hint="default" w:ascii="Times New Roman" w:hAnsi="Times New Roman" w:eastAsia="宋体" w:cs="Times New Roman"/>
                      <w:color w:val="auto"/>
                      <w:sz w:val="21"/>
                      <w:szCs w:val="21"/>
                      <w:lang w:val="en-US" w:eastAsia="zh-CN"/>
                    </w:rPr>
                  </w:pPr>
                </w:p>
              </w:tc>
            </w:tr>
            <w:tr w14:paraId="3E74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67841412">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995" w:type="dxa"/>
                </w:tcPr>
                <w:p w14:paraId="086822FB">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受煤皮带</w:t>
                  </w:r>
                </w:p>
              </w:tc>
              <w:tc>
                <w:tcPr>
                  <w:tcW w:w="4357" w:type="dxa"/>
                </w:tcPr>
                <w:p w14:paraId="715703C9">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B800,L=98m,a=0°,V=2m/s</w:t>
                  </w:r>
                </w:p>
              </w:tc>
              <w:tc>
                <w:tcPr>
                  <w:tcW w:w="2395" w:type="dxa"/>
                </w:tcPr>
                <w:p w14:paraId="72D7BBCB">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54B6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6C721D66">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1995" w:type="dxa"/>
                </w:tcPr>
                <w:p w14:paraId="47643517">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电振给煤机</w:t>
                  </w:r>
                </w:p>
              </w:tc>
              <w:tc>
                <w:tcPr>
                  <w:tcW w:w="4357" w:type="dxa"/>
                </w:tcPr>
                <w:p w14:paraId="1A7ED552">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GZY1020</w:t>
                  </w:r>
                </w:p>
              </w:tc>
              <w:tc>
                <w:tcPr>
                  <w:tcW w:w="2395" w:type="dxa"/>
                </w:tcPr>
                <w:p w14:paraId="4C120D20">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670C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023F206B">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1995" w:type="dxa"/>
                </w:tcPr>
                <w:p w14:paraId="2FB8DF31">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毛煤皮带机</w:t>
                  </w:r>
                </w:p>
              </w:tc>
              <w:tc>
                <w:tcPr>
                  <w:tcW w:w="4357" w:type="dxa"/>
                </w:tcPr>
                <w:p w14:paraId="15CDF1EE">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B800,L=63m,a=18V=1.6m/s</w:t>
                  </w:r>
                </w:p>
              </w:tc>
              <w:tc>
                <w:tcPr>
                  <w:tcW w:w="2395" w:type="dxa"/>
                </w:tcPr>
                <w:p w14:paraId="24B70964">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279F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49BBA398">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1995" w:type="dxa"/>
                </w:tcPr>
                <w:p w14:paraId="106C3E75">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液下泵</w:t>
                  </w:r>
                </w:p>
              </w:tc>
              <w:tc>
                <w:tcPr>
                  <w:tcW w:w="4357" w:type="dxa"/>
                </w:tcPr>
                <w:p w14:paraId="27733F87">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WQ20</w:t>
                  </w:r>
                </w:p>
              </w:tc>
              <w:tc>
                <w:tcPr>
                  <w:tcW w:w="2395" w:type="dxa"/>
                </w:tcPr>
                <w:p w14:paraId="55932FD3">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76B4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610D302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1995" w:type="dxa"/>
                </w:tcPr>
                <w:p w14:paraId="2660AEA8">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除铁器</w:t>
                  </w:r>
                </w:p>
              </w:tc>
              <w:tc>
                <w:tcPr>
                  <w:tcW w:w="4357" w:type="dxa"/>
                </w:tcPr>
                <w:p w14:paraId="50A0303D">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RCDC-8A</w:t>
                  </w:r>
                </w:p>
              </w:tc>
              <w:tc>
                <w:tcPr>
                  <w:tcW w:w="2395" w:type="dxa"/>
                </w:tcPr>
                <w:p w14:paraId="0E0F2F31">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527A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45DF3B01">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1995" w:type="dxa"/>
                </w:tcPr>
                <w:p w14:paraId="0F64F7E3">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原煤分级筛</w:t>
                  </w:r>
                </w:p>
              </w:tc>
              <w:tc>
                <w:tcPr>
                  <w:tcW w:w="4357" w:type="dxa"/>
                </w:tcPr>
                <w:p w14:paraId="24B55B2B">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YK2445，筛孔50mm,F=10.8m</w:t>
                  </w:r>
                  <w:r>
                    <w:rPr>
                      <w:rFonts w:hint="default" w:ascii="Times New Roman" w:hAnsi="Times New Roman" w:eastAsia="宋体" w:cs="Times New Roman"/>
                      <w:color w:val="auto"/>
                      <w:sz w:val="21"/>
                      <w:szCs w:val="21"/>
                      <w:lang w:val="en-US" w:eastAsia="zh-CN"/>
                    </w:rPr>
                    <w:t>2</w:t>
                  </w:r>
                </w:p>
              </w:tc>
              <w:tc>
                <w:tcPr>
                  <w:tcW w:w="2395" w:type="dxa"/>
                </w:tcPr>
                <w:p w14:paraId="4860976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1FAE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792BDF56">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1995" w:type="dxa"/>
                </w:tcPr>
                <w:p w14:paraId="0F33450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手选皮带机</w:t>
                  </w:r>
                </w:p>
              </w:tc>
              <w:tc>
                <w:tcPr>
                  <w:tcW w:w="4357" w:type="dxa"/>
                </w:tcPr>
                <w:p w14:paraId="109A33E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B1000,L</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6m,a</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0°,V=3m/s</w:t>
                  </w:r>
                </w:p>
              </w:tc>
              <w:tc>
                <w:tcPr>
                  <w:tcW w:w="2395" w:type="dxa"/>
                </w:tcPr>
                <w:p w14:paraId="6B3DBEF9">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20B4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3DB0D0A6">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p>
              </w:tc>
              <w:tc>
                <w:tcPr>
                  <w:tcW w:w="1995" w:type="dxa"/>
                </w:tcPr>
                <w:p w14:paraId="64DC65E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破碎机</w:t>
                  </w:r>
                </w:p>
              </w:tc>
              <w:tc>
                <w:tcPr>
                  <w:tcW w:w="4357" w:type="dxa"/>
                </w:tcPr>
                <w:p w14:paraId="1941D4D5">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2PGC65120,入料&lt;200m，出料&lt;50 mm</w:t>
                  </w:r>
                </w:p>
              </w:tc>
              <w:tc>
                <w:tcPr>
                  <w:tcW w:w="2395" w:type="dxa"/>
                </w:tcPr>
                <w:p w14:paraId="04F9DD42">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5F14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28942C61">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w:t>
                  </w:r>
                </w:p>
              </w:tc>
              <w:tc>
                <w:tcPr>
                  <w:tcW w:w="1995" w:type="dxa"/>
                </w:tcPr>
                <w:p w14:paraId="738809F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原煤皮带机</w:t>
                  </w:r>
                </w:p>
              </w:tc>
              <w:tc>
                <w:tcPr>
                  <w:tcW w:w="4357" w:type="dxa"/>
                </w:tcPr>
                <w:p w14:paraId="166DA68E">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B800,L=63m,a=18°,V=1.6m/s</w:t>
                  </w:r>
                </w:p>
              </w:tc>
              <w:tc>
                <w:tcPr>
                  <w:tcW w:w="2395" w:type="dxa"/>
                </w:tcPr>
                <w:p w14:paraId="234F0585">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72F9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48EB75D6">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1995" w:type="dxa"/>
                </w:tcPr>
                <w:p w14:paraId="672DD925">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离心式通风机</w:t>
                  </w:r>
                </w:p>
              </w:tc>
              <w:tc>
                <w:tcPr>
                  <w:tcW w:w="4357" w:type="dxa"/>
                </w:tcPr>
                <w:p w14:paraId="1CFE343B">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Y100L1-4</w:t>
                  </w:r>
                </w:p>
              </w:tc>
              <w:tc>
                <w:tcPr>
                  <w:tcW w:w="2395" w:type="dxa"/>
                </w:tcPr>
                <w:p w14:paraId="05086D0E">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0C34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54C9E7D1">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二</w:t>
                  </w:r>
                </w:p>
              </w:tc>
              <w:tc>
                <w:tcPr>
                  <w:tcW w:w="1995" w:type="dxa"/>
                </w:tcPr>
                <w:p w14:paraId="05241FE6">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洗选系统</w:t>
                  </w:r>
                </w:p>
              </w:tc>
              <w:tc>
                <w:tcPr>
                  <w:tcW w:w="4357" w:type="dxa"/>
                </w:tcPr>
                <w:p w14:paraId="68026597">
                  <w:pPr>
                    <w:adjustRightInd w:val="0"/>
                    <w:snapToGrid w:val="0"/>
                    <w:jc w:val="center"/>
                    <w:rPr>
                      <w:rFonts w:hint="default" w:ascii="Times New Roman" w:hAnsi="Times New Roman" w:eastAsia="宋体" w:cs="Times New Roman"/>
                      <w:color w:val="auto"/>
                      <w:sz w:val="21"/>
                      <w:szCs w:val="21"/>
                      <w:lang w:val="en-US" w:eastAsia="zh-CN"/>
                    </w:rPr>
                  </w:pPr>
                </w:p>
              </w:tc>
              <w:tc>
                <w:tcPr>
                  <w:tcW w:w="2395" w:type="dxa"/>
                </w:tcPr>
                <w:p w14:paraId="149321EE">
                  <w:pPr>
                    <w:adjustRightInd w:val="0"/>
                    <w:snapToGrid w:val="0"/>
                    <w:jc w:val="center"/>
                    <w:rPr>
                      <w:rFonts w:hint="default" w:ascii="Times New Roman" w:hAnsi="Times New Roman" w:eastAsia="宋体" w:cs="Times New Roman"/>
                      <w:color w:val="auto"/>
                      <w:sz w:val="21"/>
                      <w:szCs w:val="21"/>
                      <w:lang w:val="en-US" w:eastAsia="zh-CN"/>
                    </w:rPr>
                  </w:pPr>
                </w:p>
              </w:tc>
            </w:tr>
            <w:tr w14:paraId="29FE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26348078">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995" w:type="dxa"/>
                </w:tcPr>
                <w:p w14:paraId="05D69A1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振动给煤机</w:t>
                  </w:r>
                </w:p>
              </w:tc>
              <w:tc>
                <w:tcPr>
                  <w:tcW w:w="4357" w:type="dxa"/>
                </w:tcPr>
                <w:p w14:paraId="6DEEDFE8">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GZY-K3625，a</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5°，Q</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300t</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h</w:t>
                  </w:r>
                </w:p>
              </w:tc>
              <w:tc>
                <w:tcPr>
                  <w:tcW w:w="2395" w:type="dxa"/>
                </w:tcPr>
                <w:p w14:paraId="283D4D5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1449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31D1B6D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1995" w:type="dxa"/>
                </w:tcPr>
                <w:p w14:paraId="05711745">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跳汰机</w:t>
                  </w:r>
                </w:p>
              </w:tc>
              <w:tc>
                <w:tcPr>
                  <w:tcW w:w="4357" w:type="dxa"/>
                </w:tcPr>
                <w:p w14:paraId="2F193A48">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SK</w:t>
                  </w:r>
                  <w:r>
                    <w:rPr>
                      <w:rFonts w:hint="default" w:ascii="Times New Roman" w:hAnsi="Times New Roman" w:eastAsia="宋体" w:cs="Times New Roman"/>
                      <w:color w:val="auto"/>
                      <w:sz w:val="21"/>
                      <w:szCs w:val="21"/>
                    </w:rPr>
                    <w:t>T-20</w:t>
                  </w:r>
                </w:p>
              </w:tc>
              <w:tc>
                <w:tcPr>
                  <w:tcW w:w="2395" w:type="dxa"/>
                </w:tcPr>
                <w:p w14:paraId="4062527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3237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3A424A67">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1995" w:type="dxa"/>
                </w:tcPr>
                <w:p w14:paraId="2E7E2892">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弧形筛</w:t>
                  </w:r>
                </w:p>
              </w:tc>
              <w:tc>
                <w:tcPr>
                  <w:tcW w:w="4357" w:type="dxa"/>
                </w:tcPr>
                <w:p w14:paraId="37D82371">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R2430，a</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60</w:t>
                  </w:r>
                </w:p>
              </w:tc>
              <w:tc>
                <w:tcPr>
                  <w:tcW w:w="2395" w:type="dxa"/>
                </w:tcPr>
                <w:p w14:paraId="0BB39708">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72114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44E92DC5">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1995" w:type="dxa"/>
                </w:tcPr>
                <w:p w14:paraId="0CD6361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精煤脱水筛</w:t>
                  </w:r>
                </w:p>
              </w:tc>
              <w:tc>
                <w:tcPr>
                  <w:tcW w:w="4357" w:type="dxa"/>
                </w:tcPr>
                <w:p w14:paraId="458B99AD">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ZK3660，F=21.6m</w:t>
                  </w:r>
                  <w:r>
                    <w:rPr>
                      <w:rFonts w:hint="default" w:ascii="Times New Roman" w:hAnsi="Times New Roman" w:eastAsia="宋体" w:cs="Times New Roman"/>
                      <w:color w:val="auto"/>
                      <w:sz w:val="21"/>
                      <w:szCs w:val="21"/>
                      <w:lang w:val="en-US" w:eastAsia="zh-CN"/>
                    </w:rPr>
                    <w:t>2</w:t>
                  </w:r>
                </w:p>
              </w:tc>
              <w:tc>
                <w:tcPr>
                  <w:tcW w:w="2395" w:type="dxa"/>
                </w:tcPr>
                <w:p w14:paraId="15846722">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2791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4F9726C4">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1995" w:type="dxa"/>
                </w:tcPr>
                <w:p w14:paraId="38A767F7">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精煤离心机</w:t>
                  </w:r>
                </w:p>
              </w:tc>
              <w:tc>
                <w:tcPr>
                  <w:tcW w:w="4357" w:type="dxa"/>
                </w:tcPr>
                <w:p w14:paraId="6715412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TLL1150</w:t>
                  </w:r>
                </w:p>
              </w:tc>
              <w:tc>
                <w:tcPr>
                  <w:tcW w:w="2395" w:type="dxa"/>
                </w:tcPr>
                <w:p w14:paraId="0577152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69E8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53FA94D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1995" w:type="dxa"/>
                </w:tcPr>
                <w:p w14:paraId="6AC4A25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中煤斗式提升机</w:t>
                  </w:r>
                </w:p>
              </w:tc>
              <w:tc>
                <w:tcPr>
                  <w:tcW w:w="4357" w:type="dxa"/>
                </w:tcPr>
                <w:p w14:paraId="2991642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T4080，a</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60</w:t>
                  </w:r>
                </w:p>
              </w:tc>
              <w:tc>
                <w:tcPr>
                  <w:tcW w:w="2395" w:type="dxa"/>
                </w:tcPr>
                <w:p w14:paraId="57934475">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38B0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4780F502">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1995" w:type="dxa"/>
                </w:tcPr>
                <w:p w14:paraId="1CACE8ED">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矸石斗式提升机</w:t>
                  </w:r>
                </w:p>
              </w:tc>
              <w:tc>
                <w:tcPr>
                  <w:tcW w:w="4357" w:type="dxa"/>
                </w:tcPr>
                <w:p w14:paraId="1AB62ED0">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T3260，a</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60</w:t>
                  </w:r>
                </w:p>
              </w:tc>
              <w:tc>
                <w:tcPr>
                  <w:tcW w:w="2395" w:type="dxa"/>
                </w:tcPr>
                <w:p w14:paraId="1EB8FD6D">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444B5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5920FA40">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w:t>
                  </w:r>
                </w:p>
              </w:tc>
              <w:tc>
                <w:tcPr>
                  <w:tcW w:w="1995" w:type="dxa"/>
                </w:tcPr>
                <w:p w14:paraId="6A650F06">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鼓风机</w:t>
                  </w:r>
                </w:p>
              </w:tc>
              <w:tc>
                <w:tcPr>
                  <w:tcW w:w="4357" w:type="dxa"/>
                </w:tcPr>
                <w:p w14:paraId="69CB847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R601,Q</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112m</w:t>
                  </w:r>
                  <w:r>
                    <w:rPr>
                      <w:rFonts w:hint="default"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rPr>
                    <w:t>/Min,h</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39200Pa</w:t>
                  </w:r>
                </w:p>
              </w:tc>
              <w:tc>
                <w:tcPr>
                  <w:tcW w:w="2395" w:type="dxa"/>
                </w:tcPr>
                <w:p w14:paraId="79529F2B">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r>
            <w:tr w14:paraId="140C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18303AB9">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w:t>
                  </w:r>
                </w:p>
              </w:tc>
              <w:tc>
                <w:tcPr>
                  <w:tcW w:w="1995" w:type="dxa"/>
                </w:tcPr>
                <w:p w14:paraId="35847A16">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空压机</w:t>
                  </w:r>
                </w:p>
              </w:tc>
              <w:tc>
                <w:tcPr>
                  <w:tcW w:w="4357" w:type="dxa"/>
                </w:tcPr>
                <w:p w14:paraId="27681E23">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OGFD10/8</w:t>
                  </w:r>
                </w:p>
              </w:tc>
              <w:tc>
                <w:tcPr>
                  <w:tcW w:w="2395" w:type="dxa"/>
                </w:tcPr>
                <w:p w14:paraId="50B56E50">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r>
            <w:tr w14:paraId="2196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5743A9D0">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1995" w:type="dxa"/>
                </w:tcPr>
                <w:p w14:paraId="4F19F15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旋流器入料泵</w:t>
                  </w:r>
                </w:p>
              </w:tc>
              <w:tc>
                <w:tcPr>
                  <w:tcW w:w="4357" w:type="dxa"/>
                </w:tcPr>
                <w:p w14:paraId="072CD59D">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200LZ-750</w:t>
                  </w:r>
                </w:p>
              </w:tc>
              <w:tc>
                <w:tcPr>
                  <w:tcW w:w="2395" w:type="dxa"/>
                </w:tcPr>
                <w:p w14:paraId="38ACDB3E">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r>
            <w:tr w14:paraId="1ED1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79C70018">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w:t>
                  </w:r>
                </w:p>
              </w:tc>
              <w:tc>
                <w:tcPr>
                  <w:tcW w:w="1995" w:type="dxa"/>
                </w:tcPr>
                <w:p w14:paraId="175BCB02">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分级浓缩旋流器组</w:t>
                  </w:r>
                </w:p>
              </w:tc>
              <w:tc>
                <w:tcPr>
                  <w:tcW w:w="4357" w:type="dxa"/>
                </w:tcPr>
                <w:p w14:paraId="62212C6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NNX350*8</w:t>
                  </w:r>
                </w:p>
              </w:tc>
              <w:tc>
                <w:tcPr>
                  <w:tcW w:w="2395" w:type="dxa"/>
                </w:tcPr>
                <w:p w14:paraId="2153E52E">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645D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058219A5">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w:t>
                  </w:r>
                </w:p>
              </w:tc>
              <w:tc>
                <w:tcPr>
                  <w:tcW w:w="1995" w:type="dxa"/>
                </w:tcPr>
                <w:p w14:paraId="5AC10A57">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振动脱水筛</w:t>
                  </w:r>
                </w:p>
              </w:tc>
              <w:tc>
                <w:tcPr>
                  <w:tcW w:w="4357" w:type="dxa"/>
                </w:tcPr>
                <w:p w14:paraId="0B5B21F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SZK3850,F=19 m</w:t>
                  </w:r>
                  <w:r>
                    <w:rPr>
                      <w:rFonts w:hint="default" w:ascii="Times New Roman" w:hAnsi="Times New Roman" w:eastAsia="宋体" w:cs="Times New Roman"/>
                      <w:color w:val="auto"/>
                      <w:sz w:val="21"/>
                      <w:szCs w:val="21"/>
                      <w:lang w:val="en-US" w:eastAsia="zh-CN"/>
                    </w:rPr>
                    <w:t>2</w:t>
                  </w:r>
                </w:p>
              </w:tc>
              <w:tc>
                <w:tcPr>
                  <w:tcW w:w="2395" w:type="dxa"/>
                </w:tcPr>
                <w:p w14:paraId="1ECD38C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r>
            <w:tr w14:paraId="404D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76509593">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w:t>
                  </w:r>
                </w:p>
              </w:tc>
              <w:tc>
                <w:tcPr>
                  <w:tcW w:w="1995" w:type="dxa"/>
                </w:tcPr>
                <w:p w14:paraId="4EC6804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浮选机</w:t>
                  </w:r>
                </w:p>
              </w:tc>
              <w:tc>
                <w:tcPr>
                  <w:tcW w:w="4357" w:type="dxa"/>
                </w:tcPr>
                <w:p w14:paraId="1DD041EF">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ZXJM-S12，V=4*12m</w:t>
                  </w:r>
                  <w:r>
                    <w:rPr>
                      <w:rFonts w:hint="default" w:ascii="Times New Roman" w:hAnsi="Times New Roman" w:eastAsia="宋体" w:cs="Times New Roman"/>
                      <w:color w:val="auto"/>
                      <w:sz w:val="21"/>
                      <w:szCs w:val="21"/>
                      <w:lang w:val="en-US" w:eastAsia="zh-CN"/>
                    </w:rPr>
                    <w:t>3</w:t>
                  </w:r>
                </w:p>
              </w:tc>
              <w:tc>
                <w:tcPr>
                  <w:tcW w:w="2395" w:type="dxa"/>
                </w:tcPr>
                <w:p w14:paraId="73D73467">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r>
            <w:tr w14:paraId="1800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40C1EEC5">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w:t>
                  </w:r>
                </w:p>
              </w:tc>
              <w:tc>
                <w:tcPr>
                  <w:tcW w:w="1995" w:type="dxa"/>
                </w:tcPr>
                <w:p w14:paraId="6CE1A11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精煤压滤机</w:t>
                  </w:r>
                </w:p>
              </w:tc>
              <w:tc>
                <w:tcPr>
                  <w:tcW w:w="4357" w:type="dxa"/>
                </w:tcPr>
                <w:p w14:paraId="23C24A6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XMZG300/1500</w:t>
                  </w:r>
                </w:p>
              </w:tc>
              <w:tc>
                <w:tcPr>
                  <w:tcW w:w="2395" w:type="dxa"/>
                </w:tcPr>
                <w:p w14:paraId="39EE1240">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r>
            <w:tr w14:paraId="148D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22EA8E2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c>
                <w:tcPr>
                  <w:tcW w:w="1995" w:type="dxa"/>
                </w:tcPr>
                <w:p w14:paraId="2C3BD58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冲洗滤布水泵</w:t>
                  </w:r>
                </w:p>
              </w:tc>
              <w:tc>
                <w:tcPr>
                  <w:tcW w:w="4357" w:type="dxa"/>
                </w:tcPr>
                <w:p w14:paraId="38758874">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IS80-50-200</w:t>
                  </w:r>
                </w:p>
              </w:tc>
              <w:tc>
                <w:tcPr>
                  <w:tcW w:w="2395" w:type="dxa"/>
                </w:tcPr>
                <w:p w14:paraId="4D6FAD0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0645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22E87B41">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w:t>
                  </w:r>
                </w:p>
              </w:tc>
              <w:tc>
                <w:tcPr>
                  <w:tcW w:w="1995" w:type="dxa"/>
                </w:tcPr>
                <w:p w14:paraId="32321E73">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尾煤压滤机</w:t>
                  </w:r>
                </w:p>
              </w:tc>
              <w:tc>
                <w:tcPr>
                  <w:tcW w:w="4357" w:type="dxa"/>
                </w:tcPr>
                <w:p w14:paraId="6C07F638">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XMZG300/1500，快速</w:t>
                  </w:r>
                </w:p>
              </w:tc>
              <w:tc>
                <w:tcPr>
                  <w:tcW w:w="2395" w:type="dxa"/>
                </w:tcPr>
                <w:p w14:paraId="15466166">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r>
            <w:tr w14:paraId="70CD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2D16C487">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w:t>
                  </w:r>
                </w:p>
              </w:tc>
              <w:tc>
                <w:tcPr>
                  <w:tcW w:w="1995" w:type="dxa"/>
                </w:tcPr>
                <w:p w14:paraId="33D22301">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冲洗滤布水泵</w:t>
                  </w:r>
                </w:p>
              </w:tc>
              <w:tc>
                <w:tcPr>
                  <w:tcW w:w="4357" w:type="dxa"/>
                </w:tcPr>
                <w:p w14:paraId="686868C8">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IS80-50-200</w:t>
                  </w:r>
                </w:p>
              </w:tc>
              <w:tc>
                <w:tcPr>
                  <w:tcW w:w="2395" w:type="dxa"/>
                </w:tcPr>
                <w:p w14:paraId="46DEDBDE">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r>
            <w:tr w14:paraId="548D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3348BBBA">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三</w:t>
                  </w:r>
                </w:p>
              </w:tc>
              <w:tc>
                <w:tcPr>
                  <w:tcW w:w="1995" w:type="dxa"/>
                </w:tcPr>
                <w:p w14:paraId="3A5AF25C">
                  <w:pPr>
                    <w:adjustRightInd w:val="0"/>
                    <w:snapToGri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浓缩系统</w:t>
                  </w:r>
                </w:p>
              </w:tc>
              <w:tc>
                <w:tcPr>
                  <w:tcW w:w="4357" w:type="dxa"/>
                </w:tcPr>
                <w:p w14:paraId="204F9EA0">
                  <w:pPr>
                    <w:adjustRightInd w:val="0"/>
                    <w:snapToGrid w:val="0"/>
                    <w:jc w:val="center"/>
                    <w:rPr>
                      <w:rFonts w:hint="default" w:ascii="Times New Roman" w:hAnsi="Times New Roman" w:eastAsia="宋体" w:cs="Times New Roman"/>
                      <w:color w:val="auto"/>
                      <w:sz w:val="21"/>
                      <w:szCs w:val="21"/>
                    </w:rPr>
                  </w:pPr>
                </w:p>
              </w:tc>
              <w:tc>
                <w:tcPr>
                  <w:tcW w:w="2395" w:type="dxa"/>
                </w:tcPr>
                <w:p w14:paraId="66FE9405">
                  <w:pPr>
                    <w:adjustRightInd w:val="0"/>
                    <w:snapToGrid w:val="0"/>
                    <w:jc w:val="center"/>
                    <w:rPr>
                      <w:rFonts w:hint="default" w:ascii="Times New Roman" w:hAnsi="Times New Roman" w:eastAsia="宋体" w:cs="Times New Roman"/>
                      <w:color w:val="auto"/>
                      <w:sz w:val="21"/>
                      <w:szCs w:val="21"/>
                      <w:lang w:val="en-US" w:eastAsia="zh-CN"/>
                    </w:rPr>
                  </w:pPr>
                </w:p>
              </w:tc>
            </w:tr>
            <w:tr w14:paraId="648B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61A4DC5B">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1995" w:type="dxa"/>
                </w:tcPr>
                <w:p w14:paraId="52EEE09F">
                  <w:pPr>
                    <w:adjustRightInd w:val="0"/>
                    <w:snapToGrid w:val="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浓缩机</w:t>
                  </w:r>
                </w:p>
              </w:tc>
              <w:tc>
                <w:tcPr>
                  <w:tcW w:w="4357" w:type="dxa"/>
                </w:tcPr>
                <w:p w14:paraId="44F3E450">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 24m</w:t>
                  </w:r>
                </w:p>
              </w:tc>
              <w:tc>
                <w:tcPr>
                  <w:tcW w:w="2395" w:type="dxa"/>
                </w:tcPr>
                <w:p w14:paraId="7655D061">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w:t>
                  </w:r>
                </w:p>
              </w:tc>
            </w:tr>
            <w:tr w14:paraId="2B9D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0D0A2AEC">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1995" w:type="dxa"/>
                </w:tcPr>
                <w:p w14:paraId="47F3775E">
                  <w:pPr>
                    <w:adjustRightInd w:val="0"/>
                    <w:snapToGrid w:val="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底流渣浆泵</w:t>
                  </w:r>
                </w:p>
              </w:tc>
              <w:tc>
                <w:tcPr>
                  <w:tcW w:w="4357" w:type="dxa"/>
                </w:tcPr>
                <w:p w14:paraId="0FDB4B48">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100LZ</w:t>
                  </w:r>
                  <w:r>
                    <w:rPr>
                      <w:rFonts w:hint="default" w:ascii="Times New Roman" w:hAnsi="Times New Roman" w:eastAsia="宋体" w:cs="Times New Roman"/>
                      <w:color w:val="auto"/>
                      <w:sz w:val="21"/>
                      <w:szCs w:val="21"/>
                      <w:lang w:val="en-US" w:eastAsia="zh-CN"/>
                    </w:rPr>
                    <w:t>B</w:t>
                  </w:r>
                  <w:r>
                    <w:rPr>
                      <w:rFonts w:hint="default" w:ascii="Times New Roman" w:hAnsi="Times New Roman" w:eastAsia="宋体" w:cs="Times New Roman"/>
                      <w:color w:val="auto"/>
                      <w:sz w:val="21"/>
                      <w:szCs w:val="21"/>
                    </w:rPr>
                    <w:t>-360</w:t>
                  </w:r>
                </w:p>
              </w:tc>
              <w:tc>
                <w:tcPr>
                  <w:tcW w:w="2395" w:type="dxa"/>
                </w:tcPr>
                <w:p w14:paraId="3724D7AC">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w:t>
                  </w:r>
                </w:p>
              </w:tc>
            </w:tr>
            <w:tr w14:paraId="6105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77D9BF8A">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1995" w:type="dxa"/>
                </w:tcPr>
                <w:p w14:paraId="4ADE4CBE">
                  <w:pPr>
                    <w:adjustRightInd w:val="0"/>
                    <w:snapToGrid w:val="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循环水泵</w:t>
                  </w:r>
                </w:p>
              </w:tc>
              <w:tc>
                <w:tcPr>
                  <w:tcW w:w="4357" w:type="dxa"/>
                </w:tcPr>
                <w:p w14:paraId="1B726AFC">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250LZ-630</w:t>
                  </w:r>
                </w:p>
              </w:tc>
              <w:tc>
                <w:tcPr>
                  <w:tcW w:w="2395" w:type="dxa"/>
                </w:tcPr>
                <w:p w14:paraId="6FA03B32">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w:t>
                  </w:r>
                </w:p>
              </w:tc>
            </w:tr>
            <w:tr w14:paraId="3CBC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2847F2E1">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1995" w:type="dxa"/>
                </w:tcPr>
                <w:p w14:paraId="594951ED">
                  <w:pPr>
                    <w:adjustRightInd w:val="0"/>
                    <w:snapToGrid w:val="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排污液下泵</w:t>
                  </w:r>
                </w:p>
              </w:tc>
              <w:tc>
                <w:tcPr>
                  <w:tcW w:w="4357" w:type="dxa"/>
                </w:tcPr>
                <w:p w14:paraId="2075FE1F">
                  <w:pPr>
                    <w:adjustRightInd w:val="0"/>
                    <w:snapToGrid w:val="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40LYZ-190</w:t>
                  </w:r>
                </w:p>
              </w:tc>
              <w:tc>
                <w:tcPr>
                  <w:tcW w:w="2395" w:type="dxa"/>
                </w:tcPr>
                <w:p w14:paraId="4989AF12">
                  <w:pPr>
                    <w:adjustRightInd w:val="0"/>
                    <w:snapToGrid w:val="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w:t>
                  </w:r>
                </w:p>
              </w:tc>
            </w:tr>
          </w:tbl>
          <w:p w14:paraId="4C74C10D">
            <w:pPr>
              <w:numPr>
                <w:ilvl w:val="0"/>
                <w:numId w:val="0"/>
              </w:numPr>
              <w:spacing w:before="240" w:line="360" w:lineRule="auto"/>
              <w:ind w:firstLine="482" w:firstLineChars="200"/>
              <w:rPr>
                <w:rFonts w:ascii="Times New Roman" w:hAnsi="Times New Roman" w:cs="Times New Roman"/>
                <w:b/>
                <w:color w:val="auto"/>
                <w:sz w:val="24"/>
                <w:szCs w:val="21"/>
              </w:rPr>
            </w:pPr>
            <w:r>
              <w:rPr>
                <w:rFonts w:hint="eastAsia" w:ascii="Times New Roman" w:hAnsi="Times New Roman" w:cs="Times New Roman"/>
                <w:b/>
                <w:color w:val="auto"/>
                <w:sz w:val="24"/>
                <w:szCs w:val="21"/>
                <w:lang w:val="en-US" w:eastAsia="zh-CN"/>
              </w:rPr>
              <w:t>3、原煤来源及产品方案</w:t>
            </w:r>
          </w:p>
          <w:p w14:paraId="4E80A8B9">
            <w:pPr>
              <w:pStyle w:val="43"/>
              <w:rPr>
                <w:rFonts w:ascii="Times New Roman" w:hAnsi="Times New Roman" w:cs="Times New Roman"/>
                <w:color w:val="auto"/>
                <w:lang w:val="en-US"/>
              </w:rPr>
            </w:pPr>
            <w:r>
              <w:rPr>
                <w:rFonts w:hint="eastAsia" w:ascii="Times New Roman" w:hAnsi="Times New Roman" w:cs="Times New Roman"/>
                <w:color w:val="auto"/>
                <w:lang w:val="en-US"/>
              </w:rPr>
              <w:t>项目</w:t>
            </w:r>
            <w:r>
              <w:rPr>
                <w:rFonts w:hint="eastAsia" w:ascii="Times New Roman" w:hAnsi="Times New Roman" w:cs="Times New Roman"/>
                <w:color w:val="auto"/>
                <w:lang w:val="en-US" w:eastAsia="zh-CN"/>
              </w:rPr>
              <w:t>的煤源由内蒙古鄂尔多斯永煤矿业投资有限公司马泰壕煤矿（以下简称马泰壕煤矿）提供，马泰壕煤矿设计生产能力800万吨/年，配套洗煤厂生产能力为120万吨/年，剩余需要洗选煤炭量680万吨，本项目生产能力为120万吨/年，煤源有保证。供煤煤矿情况见表</w:t>
            </w:r>
            <w:r>
              <w:rPr>
                <w:rFonts w:hint="eastAsia" w:ascii="Times New Roman" w:hAnsi="Times New Roman" w:cs="Times New Roman"/>
                <w:color w:val="auto"/>
                <w:lang w:val="en-US"/>
              </w:rPr>
              <w:t>2</w:t>
            </w:r>
            <w:r>
              <w:rPr>
                <w:rFonts w:ascii="Times New Roman" w:hAnsi="Times New Roman" w:cs="Times New Roman"/>
                <w:color w:val="auto"/>
              </w:rPr>
              <w:t>-</w:t>
            </w:r>
            <w:r>
              <w:rPr>
                <w:rFonts w:hint="eastAsia" w:ascii="Times New Roman" w:hAnsi="Times New Roman" w:cs="Times New Roman"/>
                <w:color w:val="auto"/>
                <w:lang w:val="en-US"/>
              </w:rPr>
              <w:t>3</w:t>
            </w:r>
            <w:r>
              <w:rPr>
                <w:rFonts w:ascii="Times New Roman" w:hAnsi="Times New Roman" w:cs="Times New Roman"/>
                <w:color w:val="auto"/>
              </w:rPr>
              <w:t>。</w:t>
            </w:r>
          </w:p>
          <w:p w14:paraId="29DAEC0B">
            <w:pPr>
              <w:pStyle w:val="6"/>
              <w:spacing w:line="360" w:lineRule="auto"/>
              <w:ind w:left="440" w:leftChars="200" w:firstLine="0" w:firstLineChars="0"/>
              <w:jc w:val="center"/>
              <w:rPr>
                <w:rFonts w:ascii="Times New Roman" w:hAnsi="Times New Roman" w:cs="Times New Roman"/>
                <w:b/>
                <w:color w:val="auto"/>
                <w:sz w:val="24"/>
              </w:rPr>
            </w:pPr>
          </w:p>
          <w:p w14:paraId="2CC13C6C">
            <w:pPr>
              <w:pStyle w:val="6"/>
              <w:spacing w:line="360" w:lineRule="auto"/>
              <w:ind w:left="440" w:leftChars="200" w:firstLine="0" w:firstLineChars="0"/>
              <w:jc w:val="center"/>
              <w:rPr>
                <w:rFonts w:ascii="Times New Roman" w:hAnsi="Times New Roman" w:cs="Times New Roman"/>
                <w:b/>
                <w:color w:val="auto"/>
                <w:sz w:val="24"/>
              </w:rPr>
            </w:pPr>
          </w:p>
          <w:p w14:paraId="08920A0B">
            <w:pPr>
              <w:pStyle w:val="6"/>
              <w:spacing w:line="360" w:lineRule="auto"/>
              <w:ind w:left="440" w:leftChars="200" w:firstLine="0" w:firstLineChars="0"/>
              <w:jc w:val="center"/>
              <w:rPr>
                <w:rFonts w:hint="default" w:ascii="Times New Roman" w:hAnsi="Times New Roman" w:eastAsia="宋体" w:cs="Times New Roman"/>
                <w:b/>
                <w:color w:val="auto"/>
                <w:sz w:val="24"/>
                <w:lang w:val="en-US" w:eastAsia="zh-CN"/>
              </w:rPr>
            </w:pPr>
            <w:r>
              <w:rPr>
                <w:rFonts w:ascii="Times New Roman" w:hAnsi="Times New Roman" w:cs="Times New Roman"/>
                <w:b/>
                <w:color w:val="auto"/>
                <w:sz w:val="24"/>
              </w:rPr>
              <w:t>表2</w:t>
            </w:r>
            <w:r>
              <w:rPr>
                <w:rFonts w:hint="eastAsia" w:ascii="Times New Roman" w:hAnsi="Times New Roman" w:cs="Times New Roman"/>
                <w:b/>
                <w:color w:val="auto"/>
                <w:sz w:val="24"/>
              </w:rPr>
              <w:t>-</w:t>
            </w:r>
            <w:r>
              <w:rPr>
                <w:rFonts w:hint="eastAsia" w:ascii="Times New Roman" w:hAnsi="Times New Roman" w:cs="Times New Roman"/>
                <w:b/>
                <w:color w:val="auto"/>
                <w:sz w:val="24"/>
                <w:lang w:val="en-US"/>
              </w:rPr>
              <w:t>3</w:t>
            </w:r>
            <w:r>
              <w:rPr>
                <w:rFonts w:ascii="Times New Roman" w:hAnsi="Times New Roman" w:cs="Times New Roman"/>
                <w:b/>
                <w:color w:val="auto"/>
                <w:sz w:val="24"/>
              </w:rPr>
              <w:t xml:space="preserve">  </w:t>
            </w:r>
            <w:r>
              <w:rPr>
                <w:rFonts w:hint="eastAsia" w:ascii="Times New Roman" w:hAnsi="Times New Roman" w:cs="Times New Roman"/>
                <w:b/>
                <w:color w:val="auto"/>
                <w:sz w:val="24"/>
                <w:lang w:val="en-US" w:eastAsia="zh-CN"/>
              </w:rPr>
              <w:t>供煤煤矿情况</w:t>
            </w:r>
          </w:p>
          <w:tbl>
            <w:tblPr>
              <w:tblStyle w:val="28"/>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186"/>
              <w:gridCol w:w="4353"/>
              <w:gridCol w:w="3012"/>
            </w:tblGrid>
            <w:tr w14:paraId="57C017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7" w:hRule="atLeast"/>
                <w:tblHeader/>
                <w:jc w:val="center"/>
              </w:trPr>
              <w:tc>
                <w:tcPr>
                  <w:tcW w:w="1144" w:type="pct"/>
                  <w:tcBorders>
                    <w:tl2br w:val="nil"/>
                    <w:tr2bl w:val="nil"/>
                  </w:tcBorders>
                  <w:shd w:val="clear" w:color="auto" w:fill="auto"/>
                  <w:vAlign w:val="center"/>
                </w:tcPr>
                <w:p w14:paraId="2F138930">
                  <w:pPr>
                    <w:jc w:val="center"/>
                    <w:rPr>
                      <w:rFonts w:ascii="Times New Roman" w:hAnsi="Times New Roman" w:cs="Times New Roman"/>
                      <w:color w:val="auto"/>
                      <w:sz w:val="21"/>
                      <w:szCs w:val="21"/>
                    </w:rPr>
                  </w:pPr>
                  <w:r>
                    <w:rPr>
                      <w:rFonts w:hint="eastAsia" w:ascii="Times New Roman" w:hAnsi="Times New Roman" w:cs="Times New Roman"/>
                      <w:color w:val="auto"/>
                      <w:sz w:val="21"/>
                      <w:szCs w:val="21"/>
                    </w:rPr>
                    <w:t>序号</w:t>
                  </w:r>
                </w:p>
              </w:tc>
              <w:tc>
                <w:tcPr>
                  <w:tcW w:w="2278" w:type="pct"/>
                  <w:tcBorders>
                    <w:tl2br w:val="nil"/>
                    <w:tr2bl w:val="nil"/>
                  </w:tcBorders>
                  <w:shd w:val="clear" w:color="auto" w:fill="auto"/>
                  <w:vAlign w:val="center"/>
                </w:tcPr>
                <w:p w14:paraId="37E60795">
                  <w:pPr>
                    <w:jc w:val="center"/>
                    <w:rPr>
                      <w:rFonts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煤矿</w:t>
                  </w:r>
                  <w:r>
                    <w:rPr>
                      <w:rFonts w:hint="eastAsia" w:ascii="Times New Roman" w:hAnsi="Times New Roman" w:cs="Times New Roman"/>
                      <w:color w:val="auto"/>
                      <w:sz w:val="21"/>
                      <w:szCs w:val="21"/>
                    </w:rPr>
                    <w:t>名称</w:t>
                  </w:r>
                </w:p>
              </w:tc>
              <w:tc>
                <w:tcPr>
                  <w:tcW w:w="1576" w:type="pct"/>
                  <w:tcBorders>
                    <w:tl2br w:val="nil"/>
                    <w:tr2bl w:val="nil"/>
                  </w:tcBorders>
                  <w:shd w:val="clear" w:color="auto" w:fill="auto"/>
                  <w:vAlign w:val="center"/>
                </w:tcPr>
                <w:p w14:paraId="200E831D">
                  <w:pPr>
                    <w:jc w:val="center"/>
                    <w:rPr>
                      <w:rFonts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供应</w:t>
                  </w:r>
                  <w:r>
                    <w:rPr>
                      <w:rFonts w:hint="eastAsia" w:ascii="Times New Roman" w:hAnsi="Times New Roman" w:cs="Times New Roman"/>
                      <w:color w:val="auto"/>
                      <w:sz w:val="21"/>
                      <w:szCs w:val="21"/>
                    </w:rPr>
                    <w:t>量</w:t>
                  </w:r>
                </w:p>
              </w:tc>
            </w:tr>
            <w:tr w14:paraId="5870DC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2" w:hRule="atLeast"/>
                <w:tblHeader/>
                <w:jc w:val="center"/>
              </w:trPr>
              <w:tc>
                <w:tcPr>
                  <w:tcW w:w="1144" w:type="pct"/>
                  <w:tcBorders>
                    <w:tl2br w:val="nil"/>
                    <w:tr2bl w:val="nil"/>
                  </w:tcBorders>
                  <w:shd w:val="clear" w:color="auto" w:fill="auto"/>
                  <w:vAlign w:val="center"/>
                </w:tcPr>
                <w:p w14:paraId="71F0C360">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w:t>
                  </w:r>
                </w:p>
              </w:tc>
              <w:tc>
                <w:tcPr>
                  <w:tcW w:w="2278" w:type="pct"/>
                  <w:tcBorders>
                    <w:tl2br w:val="nil"/>
                    <w:tr2bl w:val="nil"/>
                  </w:tcBorders>
                  <w:shd w:val="clear" w:color="auto" w:fill="auto"/>
                  <w:vAlign w:val="center"/>
                </w:tcPr>
                <w:p w14:paraId="0D984E10">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马泰壕煤矿</w:t>
                  </w:r>
                </w:p>
              </w:tc>
              <w:tc>
                <w:tcPr>
                  <w:tcW w:w="1576" w:type="pct"/>
                  <w:tcBorders>
                    <w:tl2br w:val="nil"/>
                    <w:tr2bl w:val="nil"/>
                  </w:tcBorders>
                  <w:shd w:val="clear" w:color="auto" w:fill="auto"/>
                  <w:vAlign w:val="center"/>
                </w:tcPr>
                <w:p w14:paraId="3DF3AD7C">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1.2Mt/a</w:t>
                  </w:r>
                </w:p>
              </w:tc>
            </w:tr>
          </w:tbl>
          <w:p w14:paraId="7C50C056">
            <w:pPr>
              <w:topLinePunct/>
              <w:autoSpaceDE/>
              <w:autoSpaceDN/>
              <w:spacing w:line="520" w:lineRule="exact"/>
              <w:jc w:val="left"/>
              <w:rPr>
                <w:rFonts w:hint="eastAsia" w:ascii="Times New Roman" w:hAnsi="Times New Roman" w:cs="Times New Roman"/>
                <w:b w:val="0"/>
                <w:bCs/>
                <w:color w:val="auto"/>
                <w:sz w:val="24"/>
                <w:lang w:val="en-US" w:eastAsia="zh-CN"/>
              </w:rPr>
            </w:pPr>
            <w:r>
              <w:rPr>
                <w:rFonts w:hint="eastAsia" w:ascii="Times New Roman" w:hAnsi="Times New Roman" w:cs="Times New Roman"/>
                <w:b/>
                <w:color w:val="auto"/>
                <w:sz w:val="24"/>
                <w:lang w:val="en-US" w:eastAsia="zh-CN"/>
              </w:rPr>
              <w:t xml:space="preserve">    </w:t>
            </w:r>
            <w:r>
              <w:rPr>
                <w:rFonts w:hint="eastAsia" w:ascii="Times New Roman" w:hAnsi="Times New Roman" w:cs="Times New Roman"/>
                <w:b w:val="0"/>
                <w:bCs/>
                <w:color w:val="auto"/>
                <w:sz w:val="24"/>
                <w:lang w:val="en-US" w:eastAsia="zh-CN"/>
              </w:rPr>
              <w:t>洗选产品：根据实际生产情况，精煤产量40万t，中煤产量66万t，矸石产量10万t，煤泥产量4万t。</w:t>
            </w:r>
          </w:p>
          <w:p w14:paraId="1D260BDD">
            <w:pPr>
              <w:numPr>
                <w:ilvl w:val="0"/>
                <w:numId w:val="0"/>
              </w:numPr>
              <w:spacing w:line="360" w:lineRule="auto"/>
              <w:ind w:leftChars="200"/>
              <w:rPr>
                <w:rFonts w:hint="eastAsia" w:ascii="Times New Roman" w:hAnsi="Times New Roman" w:cs="Times New Roman"/>
                <w:b/>
                <w:color w:val="auto"/>
                <w:sz w:val="24"/>
                <w:lang w:val="en-US" w:eastAsia="zh-CN"/>
              </w:rPr>
            </w:pPr>
            <w:r>
              <w:rPr>
                <w:rFonts w:hint="eastAsia" w:ascii="Times New Roman" w:hAnsi="Times New Roman" w:cs="Times New Roman"/>
                <w:b/>
                <w:color w:val="auto"/>
                <w:sz w:val="24"/>
                <w:lang w:val="en-US" w:eastAsia="zh-CN"/>
              </w:rPr>
              <w:t>4、主要原辅材料及用量</w:t>
            </w:r>
          </w:p>
          <w:p w14:paraId="2C3E36EC">
            <w:pPr>
              <w:pStyle w:val="26"/>
              <w:spacing w:line="240" w:lineRule="auto"/>
              <w:ind w:left="0" w:leftChars="0" w:firstLine="0" w:firstLineChars="0"/>
              <w:rPr>
                <w:rFonts w:hint="eastAsia" w:ascii="Times New Roman" w:hAnsi="Times New Roman" w:cs="Times New Roman"/>
                <w:b/>
                <w:color w:val="auto"/>
                <w:sz w:val="24"/>
                <w:lang w:val="en-US"/>
              </w:rPr>
            </w:pPr>
            <w:r>
              <w:rPr>
                <w:rFonts w:hint="default" w:ascii="Times New Roman" w:hAnsi="Times New Roman" w:cs="Times New Roman"/>
                <w:color w:val="auto"/>
                <w:lang w:val="en-US" w:eastAsia="zh-CN"/>
              </w:rPr>
              <w:t>（1）原辅材料及原煤煤质，原辅材料消耗情况见表2-4；原煤煤质成分见表2-5。</w:t>
            </w:r>
          </w:p>
          <w:p w14:paraId="082C884D">
            <w:pPr>
              <w:widowControl/>
              <w:spacing w:before="240" w:line="240" w:lineRule="auto"/>
              <w:jc w:val="center"/>
              <w:rPr>
                <w:rFonts w:hint="eastAsia" w:ascii="Times New Roman" w:hAnsi="Times New Roman" w:cs="Times New Roman"/>
                <w:b/>
                <w:color w:val="auto"/>
                <w:sz w:val="24"/>
                <w:lang w:val="en-US"/>
              </w:rPr>
            </w:pPr>
            <w:r>
              <w:rPr>
                <w:rFonts w:hint="eastAsia" w:ascii="Times New Roman" w:hAnsi="Times New Roman" w:cs="Times New Roman"/>
                <w:b/>
                <w:color w:val="auto"/>
                <w:sz w:val="24"/>
                <w:lang w:val="en-US"/>
              </w:rPr>
              <w:t>表2-</w:t>
            </w:r>
            <w:r>
              <w:rPr>
                <w:rFonts w:hint="eastAsia" w:ascii="Times New Roman" w:hAnsi="Times New Roman" w:cs="Times New Roman"/>
                <w:b/>
                <w:color w:val="auto"/>
                <w:sz w:val="24"/>
                <w:lang w:val="en-US" w:eastAsia="zh-CN"/>
              </w:rPr>
              <w:t>4</w:t>
            </w:r>
            <w:r>
              <w:rPr>
                <w:rFonts w:hint="eastAsia" w:ascii="Times New Roman" w:hAnsi="Times New Roman" w:cs="Times New Roman"/>
                <w:b/>
                <w:color w:val="auto"/>
                <w:sz w:val="24"/>
                <w:lang w:val="en-US"/>
              </w:rPr>
              <w:t xml:space="preserve"> </w:t>
            </w:r>
            <w:r>
              <w:rPr>
                <w:rFonts w:hint="eastAsia" w:ascii="Times New Roman" w:hAnsi="Times New Roman" w:cs="Times New Roman"/>
                <w:b/>
                <w:color w:val="auto"/>
                <w:sz w:val="24"/>
                <w:lang w:val="en-US" w:eastAsia="zh-CN"/>
              </w:rPr>
              <w:t>原辅材料消耗一览</w:t>
            </w:r>
            <w:r>
              <w:rPr>
                <w:rFonts w:hint="eastAsia" w:ascii="Times New Roman" w:hAnsi="Times New Roman" w:cs="Times New Roman"/>
                <w:b/>
                <w:color w:val="auto"/>
                <w:sz w:val="24"/>
                <w:lang w:val="en-US"/>
              </w:rPr>
              <w:t>表</w:t>
            </w:r>
          </w:p>
          <w:tbl>
            <w:tblPr>
              <w:tblStyle w:val="29"/>
              <w:tblW w:w="9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5"/>
              <w:gridCol w:w="1305"/>
              <w:gridCol w:w="1710"/>
              <w:gridCol w:w="2895"/>
              <w:gridCol w:w="2968"/>
            </w:tblGrid>
            <w:tr w14:paraId="5741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695" w:type="dxa"/>
                  <w:tcBorders>
                    <w:top w:val="single" w:color="000000" w:sz="12" w:space="0"/>
                    <w:left w:val="single" w:color="000000" w:sz="12" w:space="0"/>
                    <w:bottom w:val="single" w:color="000000" w:sz="4" w:space="0"/>
                    <w:right w:val="single" w:color="000000" w:sz="4" w:space="0"/>
                    <w:tl2br w:val="nil"/>
                  </w:tcBorders>
                  <w:shd w:val="clear" w:color="auto" w:fill="auto"/>
                  <w:vAlign w:val="center"/>
                </w:tcPr>
                <w:p w14:paraId="58B6ACE3">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序号</w:t>
                  </w:r>
                </w:p>
              </w:tc>
              <w:tc>
                <w:tcPr>
                  <w:tcW w:w="1305"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1CE28F25">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原料名称</w:t>
                  </w:r>
                </w:p>
              </w:tc>
              <w:tc>
                <w:tcPr>
                  <w:tcW w:w="1710"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2135907D">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吨产品消耗量</w:t>
                  </w:r>
                </w:p>
              </w:tc>
              <w:tc>
                <w:tcPr>
                  <w:tcW w:w="2895"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7FF91D1C">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年用量</w:t>
                  </w:r>
                </w:p>
              </w:tc>
              <w:tc>
                <w:tcPr>
                  <w:tcW w:w="2968" w:type="dxa"/>
                  <w:tcBorders>
                    <w:top w:val="single" w:color="000000" w:sz="12" w:space="0"/>
                    <w:left w:val="single" w:color="000000" w:sz="4" w:space="0"/>
                    <w:bottom w:val="single" w:color="000000" w:sz="4" w:space="0"/>
                    <w:right w:val="single" w:color="000000" w:sz="12" w:space="0"/>
                  </w:tcBorders>
                  <w:shd w:val="clear" w:color="auto" w:fill="auto"/>
                  <w:vAlign w:val="center"/>
                </w:tcPr>
                <w:p w14:paraId="0EC5A8EB">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来源</w:t>
                  </w:r>
                </w:p>
              </w:tc>
            </w:tr>
            <w:tr w14:paraId="1804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2D0AE091">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CD0C">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原煤</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1ECF">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F9F1">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120万t</w:t>
                  </w:r>
                </w:p>
              </w:tc>
              <w:tc>
                <w:tcPr>
                  <w:tcW w:w="2968"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5E294E79">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马泰壕煤矿</w:t>
                  </w:r>
                </w:p>
              </w:tc>
            </w:tr>
            <w:tr w14:paraId="7851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30263ECB">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63F9">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电</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0DC16">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4.8kW·h</w:t>
                  </w:r>
                </w:p>
              </w:tc>
              <w:tc>
                <w:tcPr>
                  <w:tcW w:w="28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519BB">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470.2万kW·h</w:t>
                  </w:r>
                </w:p>
              </w:tc>
              <w:tc>
                <w:tcPr>
                  <w:tcW w:w="2968"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311BE4CC">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札萨克镇供电系统</w:t>
                  </w:r>
                </w:p>
              </w:tc>
            </w:tr>
            <w:tr w14:paraId="5458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5" w:type="dxa"/>
                  <w:tcBorders>
                    <w:top w:val="single" w:color="000000" w:sz="4" w:space="0"/>
                    <w:left w:val="single" w:color="000000" w:sz="12" w:space="0"/>
                    <w:bottom w:val="single" w:color="000000" w:sz="12" w:space="0"/>
                    <w:right w:val="single" w:color="000000" w:sz="4" w:space="0"/>
                  </w:tcBorders>
                  <w:shd w:val="clear" w:color="auto" w:fill="auto"/>
                  <w:vAlign w:val="center"/>
                </w:tcPr>
                <w:p w14:paraId="2A6E3B5A">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w:t>
                  </w:r>
                </w:p>
              </w:tc>
              <w:tc>
                <w:tcPr>
                  <w:tcW w:w="1305"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7D8BAA77">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洗选补水</w:t>
                  </w:r>
                </w:p>
              </w:tc>
              <w:tc>
                <w:tcPr>
                  <w:tcW w:w="1710"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5644AEA0">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0.07m</w:t>
                  </w:r>
                  <w:r>
                    <w:rPr>
                      <w:rFonts w:hint="default" w:ascii="Times New Roman" w:hAnsi="Times New Roman" w:cs="Times New Roman"/>
                      <w:color w:val="auto"/>
                      <w:sz w:val="21"/>
                      <w:szCs w:val="21"/>
                      <w:lang w:val="en-US" w:eastAsia="zh-CN"/>
                    </w:rPr>
                    <w:t>³</w:t>
                  </w:r>
                </w:p>
              </w:tc>
              <w:tc>
                <w:tcPr>
                  <w:tcW w:w="2895"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53A87B9E">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8.4万m</w:t>
                  </w:r>
                  <w:r>
                    <w:rPr>
                      <w:rFonts w:hint="default" w:ascii="Times New Roman" w:hAnsi="Times New Roman" w:cs="Times New Roman"/>
                      <w:color w:val="auto"/>
                      <w:sz w:val="21"/>
                      <w:szCs w:val="21"/>
                      <w:lang w:val="en-US" w:eastAsia="zh-CN"/>
                    </w:rPr>
                    <w:t>³</w:t>
                  </w:r>
                </w:p>
              </w:tc>
              <w:tc>
                <w:tcPr>
                  <w:tcW w:w="2968" w:type="dxa"/>
                  <w:tcBorders>
                    <w:top w:val="single" w:color="000000" w:sz="4" w:space="0"/>
                    <w:left w:val="single" w:color="000000" w:sz="4" w:space="0"/>
                    <w:bottom w:val="single" w:color="000000" w:sz="12" w:space="0"/>
                    <w:right w:val="single" w:color="000000" w:sz="12" w:space="0"/>
                  </w:tcBorders>
                  <w:shd w:val="clear" w:color="auto" w:fill="auto"/>
                  <w:vAlign w:val="center"/>
                </w:tcPr>
                <w:p w14:paraId="13B193BE">
                  <w:pPr>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鄂尔多斯市圣圆水务集团有限责任公司提供的经处理达标后的矿井疏干水</w:t>
                  </w:r>
                </w:p>
              </w:tc>
            </w:tr>
          </w:tbl>
          <w:p w14:paraId="0877D924">
            <w:pPr>
              <w:widowControl/>
              <w:spacing w:before="240" w:line="360" w:lineRule="auto"/>
              <w:jc w:val="center"/>
              <w:rPr>
                <w:rFonts w:hint="eastAsia" w:ascii="Times New Roman" w:hAnsi="Times New Roman" w:cs="Times New Roman"/>
                <w:b/>
                <w:color w:val="auto"/>
                <w:sz w:val="24"/>
                <w:lang w:val="en-US"/>
              </w:rPr>
            </w:pPr>
            <w:r>
              <w:rPr>
                <w:rFonts w:hint="eastAsia" w:ascii="Times New Roman" w:hAnsi="Times New Roman" w:cs="Times New Roman"/>
                <w:b/>
                <w:color w:val="auto"/>
                <w:sz w:val="24"/>
                <w:lang w:val="en-US"/>
              </w:rPr>
              <w:t>表2-</w:t>
            </w:r>
            <w:r>
              <w:rPr>
                <w:rFonts w:hint="eastAsia" w:ascii="Times New Roman" w:hAnsi="Times New Roman" w:cs="Times New Roman"/>
                <w:b/>
                <w:color w:val="auto"/>
                <w:sz w:val="24"/>
                <w:lang w:val="en-US" w:eastAsia="zh-CN"/>
              </w:rPr>
              <w:t xml:space="preserve">5 </w:t>
            </w:r>
            <w:r>
              <w:rPr>
                <w:rFonts w:hint="eastAsia" w:ascii="Times New Roman" w:hAnsi="Times New Roman" w:cs="Times New Roman"/>
                <w:b/>
                <w:color w:val="auto"/>
                <w:sz w:val="24"/>
                <w:lang w:val="en-US"/>
              </w:rPr>
              <w:t xml:space="preserve"> </w:t>
            </w:r>
            <w:r>
              <w:rPr>
                <w:rFonts w:hint="eastAsia" w:ascii="Times New Roman" w:hAnsi="Times New Roman" w:cs="Times New Roman"/>
                <w:b/>
                <w:color w:val="auto"/>
                <w:sz w:val="24"/>
                <w:lang w:val="en-US" w:eastAsia="zh-CN"/>
              </w:rPr>
              <w:t>原煤煤质成分一览</w:t>
            </w:r>
            <w:r>
              <w:rPr>
                <w:rFonts w:hint="eastAsia" w:ascii="Times New Roman" w:hAnsi="Times New Roman" w:cs="Times New Roman"/>
                <w:b/>
                <w:color w:val="auto"/>
                <w:sz w:val="24"/>
                <w:lang w:val="en-US"/>
              </w:rPr>
              <w:t>表</w:t>
            </w:r>
          </w:p>
          <w:tbl>
            <w:tblPr>
              <w:tblStyle w:val="29"/>
              <w:tblW w:w="9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60"/>
              <w:gridCol w:w="1500"/>
              <w:gridCol w:w="1350"/>
              <w:gridCol w:w="1845"/>
              <w:gridCol w:w="1545"/>
              <w:gridCol w:w="1973"/>
            </w:tblGrid>
            <w:tr w14:paraId="0D1C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360" w:type="dxa"/>
                  <w:tcBorders>
                    <w:top w:val="single" w:color="000000" w:sz="12" w:space="0"/>
                    <w:left w:val="single" w:color="000000" w:sz="12" w:space="0"/>
                    <w:bottom w:val="single" w:color="000000" w:sz="4" w:space="0"/>
                    <w:right w:val="single" w:color="000000" w:sz="4" w:space="0"/>
                    <w:tl2br w:val="nil"/>
                  </w:tcBorders>
                  <w:shd w:val="clear" w:color="auto" w:fill="auto"/>
                  <w:vAlign w:val="center"/>
                </w:tcPr>
                <w:p w14:paraId="230985C3">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项目</w:t>
                  </w:r>
                </w:p>
              </w:tc>
              <w:tc>
                <w:tcPr>
                  <w:tcW w:w="1500"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3A21C016">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全水分</w:t>
                  </w:r>
                </w:p>
                <w:p w14:paraId="4DE80BCA">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（Mt%）</w:t>
                  </w:r>
                </w:p>
              </w:tc>
              <w:tc>
                <w:tcPr>
                  <w:tcW w:w="1350"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0F463487">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灰分</w:t>
                  </w:r>
                </w:p>
                <w:p w14:paraId="5AFB7670">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（Ad%）</w:t>
                  </w:r>
                </w:p>
              </w:tc>
              <w:tc>
                <w:tcPr>
                  <w:tcW w:w="1845"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5130B8BA">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挥发份</w:t>
                  </w:r>
                </w:p>
                <w:p w14:paraId="6B7E7FE5">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（Vdaf%）</w:t>
                  </w:r>
                </w:p>
              </w:tc>
              <w:tc>
                <w:tcPr>
                  <w:tcW w:w="1545"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313279F2">
                  <w:pPr>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全硫</w:t>
                  </w:r>
                </w:p>
                <w:p w14:paraId="6C587DB6">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（Std%）</w:t>
                  </w:r>
                </w:p>
              </w:tc>
              <w:tc>
                <w:tcPr>
                  <w:tcW w:w="1973" w:type="dxa"/>
                  <w:tcBorders>
                    <w:top w:val="single" w:color="000000" w:sz="12" w:space="0"/>
                    <w:left w:val="single" w:color="000000" w:sz="4" w:space="0"/>
                    <w:bottom w:val="single" w:color="000000" w:sz="4" w:space="0"/>
                    <w:right w:val="single" w:color="000000" w:sz="12" w:space="0"/>
                  </w:tcBorders>
                  <w:shd w:val="clear" w:color="auto" w:fill="auto"/>
                  <w:vAlign w:val="center"/>
                </w:tcPr>
                <w:p w14:paraId="088844C0">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低位发热量Qgr，ad（cal/g）</w:t>
                  </w:r>
                </w:p>
              </w:tc>
            </w:tr>
            <w:tr w14:paraId="67D8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360" w:type="dxa"/>
                  <w:tcBorders>
                    <w:top w:val="single" w:color="000000" w:sz="4" w:space="0"/>
                    <w:left w:val="single" w:color="000000" w:sz="12" w:space="0"/>
                    <w:bottom w:val="single" w:color="000000" w:sz="12" w:space="0"/>
                    <w:right w:val="single" w:color="000000" w:sz="4" w:space="0"/>
                  </w:tcBorders>
                  <w:shd w:val="clear" w:color="auto" w:fill="auto"/>
                  <w:vAlign w:val="center"/>
                </w:tcPr>
                <w:p w14:paraId="25E7C660">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马泰壕煤矿</w:t>
                  </w:r>
                </w:p>
              </w:tc>
              <w:tc>
                <w:tcPr>
                  <w:tcW w:w="1500"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4704266F">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4.48</w:t>
                  </w:r>
                </w:p>
              </w:tc>
              <w:tc>
                <w:tcPr>
                  <w:tcW w:w="1350"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76292DD6">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8.79</w:t>
                  </w:r>
                </w:p>
              </w:tc>
              <w:tc>
                <w:tcPr>
                  <w:tcW w:w="1845"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309F4815">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33.78</w:t>
                  </w:r>
                </w:p>
              </w:tc>
              <w:tc>
                <w:tcPr>
                  <w:tcW w:w="1545"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61E30DF8">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0.46</w:t>
                  </w:r>
                </w:p>
              </w:tc>
              <w:tc>
                <w:tcPr>
                  <w:tcW w:w="1973" w:type="dxa"/>
                  <w:tcBorders>
                    <w:top w:val="single" w:color="000000" w:sz="4" w:space="0"/>
                    <w:left w:val="single" w:color="000000" w:sz="4" w:space="0"/>
                    <w:bottom w:val="single" w:color="000000" w:sz="12" w:space="0"/>
                    <w:right w:val="single" w:color="000000" w:sz="12" w:space="0"/>
                  </w:tcBorders>
                  <w:shd w:val="clear" w:color="auto" w:fill="auto"/>
                  <w:vAlign w:val="center"/>
                </w:tcPr>
                <w:p w14:paraId="28077F11">
                  <w:pPr>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5829</w:t>
                  </w:r>
                </w:p>
              </w:tc>
            </w:tr>
          </w:tbl>
          <w:p w14:paraId="160B2976">
            <w:pPr>
              <w:numPr>
                <w:ilvl w:val="0"/>
                <w:numId w:val="5"/>
              </w:numPr>
              <w:spacing w:line="360" w:lineRule="auto"/>
              <w:ind w:left="480" w:leftChars="0" w:firstLine="0" w:firstLineChars="0"/>
              <w:rPr>
                <w:rFonts w:hint="eastAsia" w:ascii="Times New Roman" w:hAnsi="Times New Roman" w:cs="Times New Roman"/>
                <w:b/>
                <w:color w:val="auto"/>
                <w:sz w:val="24"/>
                <w:lang w:val="en-US" w:eastAsia="zh-CN"/>
              </w:rPr>
            </w:pPr>
            <w:r>
              <w:rPr>
                <w:rFonts w:hint="eastAsia" w:ascii="Times New Roman" w:hAnsi="Times New Roman" w:cs="Times New Roman"/>
                <w:b/>
                <w:color w:val="auto"/>
                <w:sz w:val="24"/>
                <w:lang w:val="en-US" w:eastAsia="zh-CN"/>
              </w:rPr>
              <w:t>生产工艺简介</w:t>
            </w:r>
          </w:p>
          <w:p w14:paraId="7D6F786D">
            <w:pPr>
              <w:numPr>
                <w:ilvl w:val="0"/>
                <w:numId w:val="0"/>
              </w:numPr>
              <w:spacing w:line="360" w:lineRule="auto"/>
              <w:ind w:firstLine="480" w:firstLineChars="200"/>
              <w:rPr>
                <w:rFonts w:hint="default" w:ascii="Times New Roman" w:hAnsi="Times New Roman" w:eastAsia="宋体" w:cs="Times New Roman"/>
                <w:color w:val="auto"/>
                <w:sz w:val="24"/>
                <w:szCs w:val="24"/>
                <w:lang w:val="en-US" w:eastAsia="zh-CN" w:bidi="zh-CN"/>
              </w:rPr>
            </w:pPr>
            <w:r>
              <w:rPr>
                <w:rFonts w:hint="default" w:ascii="Times New Roman" w:hAnsi="Times New Roman" w:eastAsia="宋体" w:cs="Times New Roman"/>
                <w:color w:val="auto"/>
                <w:sz w:val="24"/>
                <w:szCs w:val="24"/>
                <w:lang w:val="en-US" w:eastAsia="zh-CN" w:bidi="zh-CN"/>
              </w:rPr>
              <w:t>原煤经过破碎筛分后产生粉煤，粉煤采用跳汰选煤工艺进行洗选。整个工艺流程分为原煤系统、主洗系统、煤泥水处理系统及产品系统等四部分。</w:t>
            </w:r>
          </w:p>
          <w:p w14:paraId="6AE65BC0">
            <w:pPr>
              <w:numPr>
                <w:ilvl w:val="0"/>
                <w:numId w:val="0"/>
              </w:numPr>
              <w:spacing w:line="360" w:lineRule="auto"/>
              <w:ind w:left="480" w:leftChars="0"/>
              <w:rPr>
                <w:rFonts w:hint="default" w:ascii="Times New Roman" w:hAnsi="Times New Roman" w:eastAsia="宋体" w:cs="Times New Roman"/>
                <w:color w:val="auto"/>
                <w:sz w:val="24"/>
                <w:szCs w:val="24"/>
                <w:lang w:val="en-US" w:eastAsia="zh-CN" w:bidi="zh-CN"/>
              </w:rPr>
            </w:pPr>
            <w:r>
              <w:rPr>
                <w:rFonts w:hint="default" w:ascii="Times New Roman" w:hAnsi="Times New Roman" w:eastAsia="宋体" w:cs="Times New Roman"/>
                <w:color w:val="auto"/>
                <w:sz w:val="24"/>
                <w:szCs w:val="24"/>
                <w:lang w:val="en-US" w:eastAsia="zh-CN" w:bidi="zh-CN"/>
              </w:rPr>
              <w:t>(1)原煤系统</w:t>
            </w:r>
          </w:p>
          <w:p w14:paraId="20CEC2F8">
            <w:pPr>
              <w:numPr>
                <w:ilvl w:val="0"/>
                <w:numId w:val="0"/>
              </w:numPr>
              <w:spacing w:line="360" w:lineRule="auto"/>
              <w:ind w:firstLine="480" w:firstLineChars="200"/>
              <w:rPr>
                <w:rFonts w:hint="default" w:ascii="Times New Roman" w:hAnsi="Times New Roman" w:eastAsia="宋体" w:cs="Times New Roman"/>
                <w:color w:val="auto"/>
                <w:sz w:val="24"/>
                <w:szCs w:val="24"/>
                <w:lang w:val="en-US" w:eastAsia="zh-CN" w:bidi="zh-CN"/>
              </w:rPr>
            </w:pPr>
            <w:r>
              <w:rPr>
                <w:rFonts w:hint="default" w:ascii="Times New Roman" w:hAnsi="Times New Roman" w:eastAsia="宋体" w:cs="Times New Roman"/>
                <w:color w:val="auto"/>
                <w:sz w:val="24"/>
                <w:szCs w:val="24"/>
                <w:lang w:val="en-US" w:eastAsia="zh-CN" w:bidi="zh-CN"/>
              </w:rPr>
              <w:t>外购原煤由社会车辆运入原煤堆棚内,经受煤坑下给料机给入胶带输送机至筛分破碎系统，筛分破碎后 2cm 以下与分级筛筛下物落入原煤入选胶带输送机运至主厂房进行分选。</w:t>
            </w:r>
          </w:p>
          <w:p w14:paraId="01A239E0">
            <w:pPr>
              <w:numPr>
                <w:ilvl w:val="0"/>
                <w:numId w:val="0"/>
              </w:numPr>
              <w:spacing w:line="360" w:lineRule="auto"/>
              <w:ind w:left="480" w:leftChars="0"/>
              <w:rPr>
                <w:rFonts w:hint="default" w:ascii="Times New Roman" w:hAnsi="Times New Roman" w:eastAsia="宋体" w:cs="Times New Roman"/>
                <w:color w:val="auto"/>
                <w:sz w:val="24"/>
                <w:szCs w:val="24"/>
                <w:lang w:val="en-US" w:eastAsia="zh-CN" w:bidi="zh-CN"/>
              </w:rPr>
            </w:pPr>
            <w:r>
              <w:rPr>
                <w:rFonts w:hint="default" w:ascii="Times New Roman" w:hAnsi="Times New Roman" w:eastAsia="宋体" w:cs="Times New Roman"/>
                <w:color w:val="auto"/>
                <w:sz w:val="24"/>
                <w:szCs w:val="24"/>
                <w:lang w:val="en-US" w:eastAsia="zh-CN" w:bidi="zh-CN"/>
              </w:rPr>
              <w:t>(2)主洗系统</w:t>
            </w:r>
          </w:p>
          <w:p w14:paraId="5DFB0785">
            <w:pPr>
              <w:numPr>
                <w:ilvl w:val="0"/>
                <w:numId w:val="0"/>
              </w:numPr>
              <w:spacing w:line="360" w:lineRule="auto"/>
              <w:ind w:firstLine="480" w:firstLineChars="200"/>
              <w:rPr>
                <w:rFonts w:hint="default" w:ascii="Times New Roman" w:hAnsi="Times New Roman" w:eastAsia="宋体" w:cs="Times New Roman"/>
                <w:color w:val="auto"/>
                <w:sz w:val="24"/>
                <w:szCs w:val="24"/>
                <w:lang w:val="en-US" w:eastAsia="zh-CN" w:bidi="zh-CN"/>
              </w:rPr>
            </w:pPr>
            <w:r>
              <w:rPr>
                <w:rFonts w:hint="default" w:ascii="Times New Roman" w:hAnsi="Times New Roman" w:eastAsia="宋体" w:cs="Times New Roman"/>
                <w:color w:val="auto"/>
                <w:sz w:val="24"/>
                <w:szCs w:val="24"/>
                <w:lang w:val="en-US" w:eastAsia="zh-CN" w:bidi="zh-CN"/>
              </w:rPr>
              <w:t>粉煤由带式输送机运至主厂房数控跳汰机进行洗选，振动向粉煤喷水，以脱除粉煤中的煤泥，跳汰机根据比重，首先分选出矸石，精煤继续进入脱水筛上</w:t>
            </w:r>
            <w:r>
              <w:rPr>
                <w:rFonts w:hint="eastAsia" w:ascii="Times New Roman" w:hAnsi="Times New Roman" w:cs="Times New Roman"/>
                <w:color w:val="auto"/>
                <w:sz w:val="24"/>
                <w:szCs w:val="24"/>
                <w:lang w:val="en-US" w:eastAsia="zh-CN" w:bidi="zh-CN"/>
              </w:rPr>
              <w:t>后</w:t>
            </w:r>
            <w:r>
              <w:rPr>
                <w:rFonts w:hint="default" w:ascii="Times New Roman" w:hAnsi="Times New Roman" w:eastAsia="宋体" w:cs="Times New Roman"/>
                <w:color w:val="auto"/>
                <w:sz w:val="24"/>
                <w:szCs w:val="24"/>
                <w:lang w:val="en-US" w:eastAsia="zh-CN" w:bidi="zh-CN"/>
              </w:rPr>
              <w:t>进入分级筛，分选出块精煤和含水的末精煤，脱水筛的筛下物(含煤泥)再进入高频筛，继续将煤泥水与末精煤分开，高频出的末精煤与分级筛筛出的含水末精煤一起进入离心机，最终产出含水率较低的末精煤，高频筛筛下的煤泥水汇集后，用泵打入浓缩机，精煤外售。</w:t>
            </w:r>
          </w:p>
          <w:p w14:paraId="543F1EED">
            <w:pPr>
              <w:numPr>
                <w:ilvl w:val="0"/>
                <w:numId w:val="0"/>
              </w:numPr>
              <w:spacing w:line="360" w:lineRule="auto"/>
              <w:ind w:firstLine="480" w:firstLineChars="200"/>
              <w:rPr>
                <w:rFonts w:hint="default" w:ascii="Times New Roman" w:hAnsi="Times New Roman" w:eastAsia="宋体" w:cs="Times New Roman"/>
                <w:color w:val="auto"/>
                <w:sz w:val="24"/>
                <w:szCs w:val="24"/>
                <w:lang w:val="en-US" w:eastAsia="zh-CN" w:bidi="zh-CN"/>
              </w:rPr>
            </w:pPr>
            <w:r>
              <w:rPr>
                <w:rFonts w:hint="default" w:ascii="Times New Roman" w:hAnsi="Times New Roman" w:eastAsia="宋体" w:cs="Times New Roman"/>
                <w:color w:val="auto"/>
                <w:sz w:val="24"/>
                <w:szCs w:val="24"/>
                <w:lang w:val="en-US" w:eastAsia="zh-CN" w:bidi="zh-CN"/>
              </w:rPr>
              <w:t>(3)煤泥水系统</w:t>
            </w:r>
          </w:p>
          <w:p w14:paraId="6AB309E7">
            <w:pPr>
              <w:numPr>
                <w:ilvl w:val="0"/>
                <w:numId w:val="0"/>
              </w:numPr>
              <w:spacing w:line="360" w:lineRule="auto"/>
              <w:ind w:firstLine="480" w:firstLineChars="200"/>
              <w:rPr>
                <w:rFonts w:hint="default" w:ascii="Times New Roman" w:hAnsi="Times New Roman" w:eastAsia="宋体" w:cs="Times New Roman"/>
                <w:color w:val="auto"/>
                <w:sz w:val="24"/>
                <w:szCs w:val="24"/>
                <w:lang w:val="en-US" w:eastAsia="zh-CN" w:bidi="zh-CN"/>
              </w:rPr>
            </w:pPr>
            <w:r>
              <w:rPr>
                <w:rFonts w:hint="default" w:ascii="Times New Roman" w:hAnsi="Times New Roman" w:eastAsia="宋体" w:cs="Times New Roman"/>
                <w:color w:val="auto"/>
                <w:sz w:val="24"/>
                <w:szCs w:val="24"/>
                <w:lang w:val="en-US" w:eastAsia="zh-CN" w:bidi="zh-CN"/>
              </w:rPr>
              <w:t>高频筛下的煤泥水与离心废液(煤泥水)一起排入浓缩机进行浓缩，浓缩煤泥由压滤机压滤后，由皮带输送机送至煤泥储棚，待售:浓缩机上清液和煤泥压滤液流至循环水池，作为洗煤补水循环使用。为保证煤泥水一级闭路循环，本项目设2台浓缩机，1座循环水池，备用浓缩机可</w:t>
            </w:r>
            <w:r>
              <w:rPr>
                <w:rFonts w:hint="eastAsia" w:ascii="Times New Roman" w:hAnsi="Times New Roman" w:cs="Times New Roman"/>
                <w:color w:val="auto"/>
                <w:sz w:val="24"/>
                <w:szCs w:val="24"/>
                <w:lang w:val="en-US" w:eastAsia="zh-CN" w:bidi="zh-CN"/>
              </w:rPr>
              <w:t>作为</w:t>
            </w:r>
            <w:r>
              <w:rPr>
                <w:rFonts w:hint="default" w:ascii="Times New Roman" w:hAnsi="Times New Roman" w:eastAsia="宋体" w:cs="Times New Roman"/>
                <w:color w:val="auto"/>
                <w:sz w:val="24"/>
                <w:szCs w:val="24"/>
                <w:lang w:val="en-US" w:eastAsia="zh-CN" w:bidi="zh-CN"/>
              </w:rPr>
              <w:t>应急事故水池使用。</w:t>
            </w:r>
          </w:p>
          <w:p w14:paraId="261BDD57">
            <w:pPr>
              <w:numPr>
                <w:ilvl w:val="0"/>
                <w:numId w:val="0"/>
              </w:numPr>
              <w:spacing w:line="360" w:lineRule="auto"/>
              <w:ind w:firstLine="480" w:firstLineChars="200"/>
              <w:rPr>
                <w:rFonts w:hint="default" w:ascii="Times New Roman" w:hAnsi="Times New Roman" w:eastAsia="宋体" w:cs="Times New Roman"/>
                <w:color w:val="auto"/>
                <w:sz w:val="24"/>
                <w:szCs w:val="24"/>
                <w:lang w:val="en-US" w:eastAsia="zh-CN" w:bidi="zh-CN"/>
              </w:rPr>
            </w:pPr>
            <w:r>
              <w:rPr>
                <w:rFonts w:hint="default" w:ascii="Times New Roman" w:hAnsi="Times New Roman" w:eastAsia="宋体" w:cs="Times New Roman"/>
                <w:color w:val="auto"/>
                <w:sz w:val="24"/>
                <w:szCs w:val="24"/>
                <w:lang w:val="en-US" w:eastAsia="zh-CN" w:bidi="zh-CN"/>
              </w:rPr>
              <w:t>(4)产品系统</w:t>
            </w:r>
          </w:p>
          <w:p w14:paraId="48ABBF65">
            <w:pPr>
              <w:numPr>
                <w:ilvl w:val="0"/>
                <w:numId w:val="0"/>
              </w:numPr>
              <w:spacing w:line="360" w:lineRule="auto"/>
              <w:ind w:firstLine="480" w:firstLineChars="200"/>
              <w:rPr>
                <w:rFonts w:hint="default" w:ascii="Times New Roman" w:hAnsi="Times New Roman" w:eastAsia="宋体" w:cs="Times New Roman"/>
                <w:color w:val="auto"/>
                <w:sz w:val="24"/>
                <w:szCs w:val="24"/>
                <w:lang w:val="en-US" w:eastAsia="zh-CN" w:bidi="zh-CN"/>
              </w:rPr>
            </w:pPr>
            <w:r>
              <w:rPr>
                <w:rFonts w:hint="default" w:ascii="Times New Roman" w:hAnsi="Times New Roman" w:eastAsia="宋体" w:cs="Times New Roman"/>
                <w:color w:val="auto"/>
                <w:sz w:val="24"/>
                <w:szCs w:val="24"/>
                <w:lang w:val="en-US" w:eastAsia="zh-CN" w:bidi="zh-CN"/>
              </w:rPr>
              <w:t>精煤在场内封闭堆放，矸石、煤泥洗选后在场内暂存，矸石</w:t>
            </w:r>
            <w:r>
              <w:rPr>
                <w:rFonts w:hint="eastAsia" w:ascii="Times New Roman" w:hAnsi="Times New Roman" w:cs="Times New Roman"/>
                <w:color w:val="auto"/>
                <w:sz w:val="24"/>
                <w:szCs w:val="24"/>
                <w:lang w:val="en-US" w:eastAsia="zh-CN" w:bidi="zh-CN"/>
              </w:rPr>
              <w:t>运至马泰壕煤矿临时排矸场</w:t>
            </w:r>
            <w:r>
              <w:rPr>
                <w:rFonts w:hint="default" w:ascii="Times New Roman" w:hAnsi="Times New Roman" w:eastAsia="宋体" w:cs="Times New Roman"/>
                <w:color w:val="auto"/>
                <w:sz w:val="24"/>
                <w:szCs w:val="24"/>
                <w:lang w:val="en-US" w:eastAsia="zh-CN" w:bidi="zh-CN"/>
              </w:rPr>
              <w:t>。</w:t>
            </w:r>
          </w:p>
          <w:p w14:paraId="07DD8D06">
            <w:pPr>
              <w:numPr>
                <w:ilvl w:val="0"/>
                <w:numId w:val="0"/>
              </w:numPr>
              <w:spacing w:line="360" w:lineRule="auto"/>
              <w:ind w:left="480" w:leftChars="0"/>
              <w:rPr>
                <w:rFonts w:hint="eastAsia" w:ascii="Times New Roman" w:hAnsi="Times New Roman" w:cs="Times New Roman"/>
                <w:b/>
                <w:color w:val="auto"/>
                <w:sz w:val="24"/>
                <w:lang w:val="en-US" w:eastAsia="zh-CN"/>
              </w:rPr>
            </w:pPr>
            <w:r>
              <w:rPr>
                <w:rFonts w:hint="eastAsia" w:ascii="Times New Roman" w:hAnsi="Times New Roman" w:cs="Times New Roman"/>
                <w:b/>
                <w:color w:val="auto"/>
                <w:sz w:val="24"/>
                <w:lang w:val="en-US" w:eastAsia="zh-CN"/>
              </w:rPr>
              <w:t>6、平面布置</w:t>
            </w:r>
          </w:p>
          <w:p w14:paraId="055DB95A">
            <w:pPr>
              <w:numPr>
                <w:ilvl w:val="0"/>
                <w:numId w:val="0"/>
              </w:numPr>
              <w:spacing w:line="360" w:lineRule="auto"/>
              <w:ind w:firstLine="480" w:firstLineChars="200"/>
              <w:rPr>
                <w:rFonts w:hint="eastAsia" w:ascii="Times New Roman" w:hAnsi="Times New Roman" w:cs="Times New Roman"/>
                <w:color w:val="auto"/>
                <w:sz w:val="24"/>
                <w:szCs w:val="24"/>
                <w:lang w:val="en-US" w:eastAsia="zh-CN" w:bidi="zh-CN"/>
              </w:rPr>
            </w:pPr>
            <w:r>
              <w:rPr>
                <w:rFonts w:hint="eastAsia" w:ascii="Times New Roman" w:hAnsi="Times New Roman" w:cs="Times New Roman"/>
                <w:color w:val="auto"/>
                <w:sz w:val="24"/>
                <w:szCs w:val="24"/>
                <w:lang w:val="en-US" w:eastAsia="zh-CN" w:bidi="zh-CN"/>
              </w:rPr>
              <w:t>现有项目大门位于厂区东侧，与场外乡村道路相接，方便运输；原煤棚位于厂区北侧；紧邻原煤棚东侧布置原煤准备车间，设置破碎机和筛分机；原煤准备车间东侧布置洗选车间，设置跳汰机、浮选机等洗煤设备，洗选主车间东侧布设煤泥棚，煤泥棚东侧为浓缩车间，设置两台浓缩机和两座循环水池；洗选车间南侧布置矸石棚，北侧布置精煤棚；办公区位于厂区东北侧。</w:t>
            </w:r>
          </w:p>
          <w:p w14:paraId="6F111FBB">
            <w:pPr>
              <w:numPr>
                <w:ilvl w:val="0"/>
                <w:numId w:val="0"/>
              </w:numPr>
              <w:spacing w:line="360" w:lineRule="auto"/>
              <w:ind w:left="480" w:leftChars="0"/>
              <w:rPr>
                <w:rFonts w:hint="eastAsia" w:ascii="Times New Roman" w:hAnsi="Times New Roman" w:cs="Times New Roman"/>
                <w:b/>
                <w:color w:val="auto"/>
                <w:sz w:val="24"/>
                <w:lang w:val="en-US" w:eastAsia="zh-CN"/>
              </w:rPr>
            </w:pPr>
            <w:r>
              <w:rPr>
                <w:rFonts w:hint="eastAsia" w:ascii="Times New Roman" w:hAnsi="Times New Roman" w:cs="Times New Roman"/>
                <w:b/>
                <w:color w:val="auto"/>
                <w:sz w:val="24"/>
                <w:lang w:val="en-US" w:eastAsia="zh-CN"/>
              </w:rPr>
              <w:t>7、劳动定员及工作制度</w:t>
            </w:r>
          </w:p>
          <w:p w14:paraId="707BFFE2">
            <w:pPr>
              <w:numPr>
                <w:ilvl w:val="0"/>
                <w:numId w:val="0"/>
              </w:numPr>
              <w:spacing w:line="360" w:lineRule="auto"/>
              <w:ind w:firstLine="480" w:firstLineChars="200"/>
              <w:rPr>
                <w:rFonts w:hint="eastAsia" w:ascii="Times New Roman" w:hAnsi="Times New Roman" w:cs="Times New Roman"/>
                <w:color w:val="auto"/>
                <w:sz w:val="24"/>
                <w:szCs w:val="24"/>
                <w:lang w:val="en-US" w:eastAsia="zh-CN" w:bidi="zh-CN"/>
              </w:rPr>
            </w:pPr>
            <w:r>
              <w:rPr>
                <w:rFonts w:hint="eastAsia" w:ascii="Times New Roman" w:hAnsi="Times New Roman" w:cs="Times New Roman"/>
                <w:color w:val="auto"/>
                <w:sz w:val="24"/>
                <w:szCs w:val="24"/>
                <w:lang w:val="en-US" w:eastAsia="zh-CN" w:bidi="zh-CN"/>
              </w:rPr>
              <w:t>项目劳动定员20人，年工作330天，实行三班制，每班8小时。</w:t>
            </w:r>
          </w:p>
          <w:p w14:paraId="13CFF042">
            <w:pPr>
              <w:numPr>
                <w:ilvl w:val="0"/>
                <w:numId w:val="0"/>
              </w:numPr>
              <w:spacing w:line="360" w:lineRule="auto"/>
              <w:ind w:left="480" w:leftChars="0"/>
              <w:rPr>
                <w:rFonts w:hint="eastAsia" w:ascii="Times New Roman" w:hAnsi="Times New Roman" w:cs="Times New Roman"/>
                <w:b/>
                <w:color w:val="auto"/>
                <w:sz w:val="24"/>
                <w:lang w:val="en-US" w:eastAsia="zh-CN"/>
              </w:rPr>
            </w:pPr>
            <w:r>
              <w:rPr>
                <w:rFonts w:hint="eastAsia" w:ascii="Times New Roman" w:hAnsi="Times New Roman" w:cs="Times New Roman"/>
                <w:b/>
                <w:color w:val="auto"/>
                <w:sz w:val="24"/>
                <w:lang w:val="en-US" w:eastAsia="zh-CN"/>
              </w:rPr>
              <w:t>8、公用工程</w:t>
            </w:r>
          </w:p>
          <w:p w14:paraId="03571350">
            <w:pPr>
              <w:numPr>
                <w:ilvl w:val="0"/>
                <w:numId w:val="0"/>
              </w:numPr>
              <w:spacing w:line="360" w:lineRule="auto"/>
              <w:ind w:firstLine="480" w:firstLineChars="200"/>
              <w:rPr>
                <w:rFonts w:hint="eastAsia" w:ascii="Times New Roman" w:hAnsi="Times New Roman" w:cs="Times New Roman"/>
                <w:color w:val="auto"/>
                <w:sz w:val="24"/>
                <w:szCs w:val="24"/>
                <w:lang w:val="en-US" w:eastAsia="zh-CN" w:bidi="zh-CN"/>
              </w:rPr>
            </w:pPr>
            <w:r>
              <w:rPr>
                <w:rFonts w:hint="eastAsia" w:ascii="Times New Roman" w:hAnsi="Times New Roman" w:cs="Times New Roman"/>
                <w:color w:val="auto"/>
                <w:sz w:val="24"/>
                <w:szCs w:val="24"/>
                <w:lang w:val="en-US" w:eastAsia="zh-CN" w:bidi="zh-CN"/>
              </w:rPr>
              <w:t>(1)给排水</w:t>
            </w:r>
          </w:p>
          <w:p w14:paraId="3B9B2329">
            <w:pPr>
              <w:numPr>
                <w:ilvl w:val="0"/>
                <w:numId w:val="0"/>
              </w:numPr>
              <w:spacing w:line="360" w:lineRule="auto"/>
              <w:ind w:firstLine="480" w:firstLineChars="200"/>
              <w:rPr>
                <w:rFonts w:hint="eastAsia" w:ascii="Times New Roman" w:hAnsi="Times New Roman" w:cs="Times New Roman"/>
                <w:color w:val="auto"/>
                <w:sz w:val="24"/>
                <w:szCs w:val="24"/>
                <w:lang w:val="en-US" w:eastAsia="zh-CN" w:bidi="zh-CN"/>
              </w:rPr>
            </w:pPr>
            <w:r>
              <w:rPr>
                <w:rFonts w:hint="eastAsia" w:ascii="Times New Roman" w:hAnsi="Times New Roman" w:cs="Times New Roman"/>
                <w:color w:val="auto"/>
                <w:sz w:val="24"/>
                <w:szCs w:val="24"/>
                <w:lang w:val="en-US" w:eastAsia="zh-CN" w:bidi="zh-CN"/>
              </w:rPr>
              <w:t>项目生产用水由鄂尔多斯市圣圆水务集团有限责任公司提供的经处理达标后的矿井疏干水提供、生活用水由鄂尔多斯市圣圆水务集团有限责任公司提供自来水，项目总用水量311.7m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/d。孙家岔镇崔家沟煤矿疏干水产生量为70m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vertAlign w:val="baseline"/>
                <w:lang w:val="en-US" w:eastAsia="zh-CN" w:bidi="zh-CN"/>
              </w:rPr>
              <w:t>/</w:t>
            </w:r>
            <w:r>
              <w:rPr>
                <w:rFonts w:hint="eastAsia" w:ascii="Times New Roman" w:hAnsi="Times New Roman" w:cs="Times New Roman"/>
                <w:color w:val="auto"/>
                <w:sz w:val="24"/>
                <w:szCs w:val="24"/>
                <w:lang w:val="en-US" w:eastAsia="zh-CN" w:bidi="zh-CN"/>
              </w:rPr>
              <w:t>h(1680m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/d)经沉淀+絮凝+过滤处理后，980m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 的水量回用于采矿生产用水，388m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/d用于地面绿化、煤场洒水，剩余312m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 水量供给本项目洗煤厂，采用水罐车将煤矿疏干水运至厂区采用水泥硬化防渗处理容积为350m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的蓄水池，定期补充项目生产用水，能够满足项目用水需求。</w:t>
            </w:r>
          </w:p>
          <w:p w14:paraId="5B050A93">
            <w:pPr>
              <w:numPr>
                <w:ilvl w:val="0"/>
                <w:numId w:val="0"/>
              </w:numPr>
              <w:spacing w:line="360" w:lineRule="auto"/>
              <w:ind w:firstLine="482" w:firstLineChars="200"/>
              <w:rPr>
                <w:rFonts w:hint="eastAsia" w:ascii="Times New Roman" w:hAnsi="Times New Roman" w:cs="Times New Roman"/>
                <w:b/>
                <w:bCs/>
                <w:color w:val="auto"/>
                <w:sz w:val="24"/>
                <w:szCs w:val="24"/>
                <w:lang w:val="en-US" w:eastAsia="zh-CN" w:bidi="zh-CN"/>
              </w:rPr>
            </w:pPr>
            <w:r>
              <w:rPr>
                <w:rFonts w:hint="eastAsia" w:ascii="Times New Roman" w:hAnsi="Times New Roman" w:cs="Times New Roman"/>
                <w:b/>
                <w:bCs/>
                <w:color w:val="auto"/>
                <w:sz w:val="24"/>
                <w:szCs w:val="24"/>
                <w:lang w:val="en-US" w:eastAsia="zh-CN" w:bidi="zh-CN"/>
              </w:rPr>
              <w:t>给水</w:t>
            </w:r>
          </w:p>
          <w:p w14:paraId="2A45FCA8">
            <w:pPr>
              <w:numPr>
                <w:ilvl w:val="0"/>
                <w:numId w:val="0"/>
              </w:numPr>
              <w:spacing w:line="360" w:lineRule="auto"/>
              <w:ind w:firstLine="480" w:firstLineChars="200"/>
              <w:rPr>
                <w:rFonts w:hint="eastAsia" w:ascii="Times New Roman" w:hAnsi="Times New Roman" w:cs="Times New Roman"/>
                <w:color w:val="auto"/>
                <w:sz w:val="24"/>
                <w:szCs w:val="24"/>
                <w:lang w:val="en-US" w:eastAsia="zh-CN" w:bidi="zh-CN"/>
              </w:rPr>
            </w:pPr>
            <w:r>
              <w:rPr>
                <w:rFonts w:hint="eastAsia" w:ascii="Times New Roman" w:hAnsi="Times New Roman" w:cs="Times New Roman"/>
                <w:color w:val="auto"/>
                <w:sz w:val="24"/>
                <w:szCs w:val="24"/>
                <w:lang w:val="en-US" w:eastAsia="zh-CN" w:bidi="zh-CN"/>
              </w:rPr>
              <w:t>①生产用水</w:t>
            </w:r>
          </w:p>
          <w:p w14:paraId="7A8E5CA5">
            <w:pPr>
              <w:numPr>
                <w:ilvl w:val="0"/>
                <w:numId w:val="0"/>
              </w:numPr>
              <w:spacing w:line="360" w:lineRule="auto"/>
              <w:ind w:firstLine="480" w:firstLineChars="200"/>
              <w:rPr>
                <w:rFonts w:hint="eastAsia" w:ascii="Times New Roman" w:hAnsi="Times New Roman" w:cs="Times New Roman"/>
                <w:color w:val="auto"/>
                <w:sz w:val="24"/>
                <w:szCs w:val="24"/>
                <w:lang w:val="en-US" w:eastAsia="zh-CN" w:bidi="zh-CN"/>
              </w:rPr>
            </w:pPr>
            <w:r>
              <w:rPr>
                <w:rFonts w:hint="eastAsia" w:ascii="Times New Roman" w:hAnsi="Times New Roman" w:cs="Times New Roman"/>
                <w:color w:val="auto"/>
                <w:sz w:val="24"/>
                <w:szCs w:val="24"/>
                <w:lang w:val="en-US" w:eastAsia="zh-CN" w:bidi="zh-CN"/>
              </w:rPr>
              <w:t>项目生产总用水量为311.7m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/d，其中洗煤工艺补水量为254.5m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/d，地面冲洗用水20m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/d，喷洒抑尘用水为34m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/d，绿化用水量为3.2m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/d(项目绿化面积为2100m</w:t>
            </w:r>
            <w:r>
              <w:rPr>
                <w:rFonts w:hint="eastAsia" w:ascii="Times New Roman" w:hAnsi="Times New Roman" w:cs="Times New Roman"/>
                <w:color w:val="auto"/>
                <w:sz w:val="24"/>
                <w:szCs w:val="24"/>
                <w:vertAlign w:val="superscript"/>
                <w:lang w:val="en-US" w:eastAsia="zh-CN" w:bidi="zh-CN"/>
              </w:rPr>
              <w:t>2</w:t>
            </w:r>
            <w:r>
              <w:rPr>
                <w:rFonts w:hint="eastAsia" w:ascii="Times New Roman" w:hAnsi="Times New Roman" w:cs="Times New Roman"/>
                <w:color w:val="auto"/>
                <w:sz w:val="24"/>
                <w:szCs w:val="24"/>
                <w:lang w:val="en-US" w:eastAsia="zh-CN" w:bidi="zh-CN"/>
              </w:rPr>
              <w:t>，单位绿化面积用水量按1.5Lm</w:t>
            </w:r>
            <w:r>
              <w:rPr>
                <w:rFonts w:hint="eastAsia" w:ascii="Times New Roman" w:hAnsi="Times New Roman" w:cs="Times New Roman"/>
                <w:color w:val="auto"/>
                <w:sz w:val="24"/>
                <w:szCs w:val="24"/>
                <w:vertAlign w:val="superscript"/>
                <w:lang w:val="en-US" w:eastAsia="zh-CN" w:bidi="zh-CN"/>
              </w:rPr>
              <w:t>2</w:t>
            </w:r>
            <w:r>
              <w:rPr>
                <w:rFonts w:hint="eastAsia" w:ascii="Times New Roman" w:hAnsi="Times New Roman" w:cs="Times New Roman"/>
                <w:color w:val="auto"/>
                <w:sz w:val="24"/>
                <w:szCs w:val="24"/>
                <w:lang w:val="en-US" w:eastAsia="zh-CN" w:bidi="zh-CN"/>
              </w:rPr>
              <w:t>/d计)。</w:t>
            </w:r>
          </w:p>
          <w:p w14:paraId="6854DEBF">
            <w:pPr>
              <w:numPr>
                <w:ilvl w:val="0"/>
                <w:numId w:val="0"/>
              </w:numPr>
              <w:spacing w:line="360" w:lineRule="auto"/>
              <w:ind w:firstLine="480" w:firstLineChars="200"/>
              <w:rPr>
                <w:rFonts w:hint="eastAsia" w:ascii="Times New Roman" w:hAnsi="Times New Roman" w:cs="Times New Roman"/>
                <w:color w:val="auto"/>
                <w:sz w:val="24"/>
                <w:szCs w:val="24"/>
                <w:lang w:val="en-US" w:eastAsia="zh-CN" w:bidi="zh-CN"/>
              </w:rPr>
            </w:pPr>
            <w:r>
              <w:rPr>
                <w:rFonts w:hint="eastAsia" w:ascii="Times New Roman" w:hAnsi="Times New Roman" w:cs="Times New Roman"/>
                <w:color w:val="auto"/>
                <w:sz w:val="24"/>
                <w:szCs w:val="24"/>
                <w:lang w:val="en-US" w:eastAsia="zh-CN" w:bidi="zh-CN"/>
              </w:rPr>
              <w:t>项目洗煤工艺循环水量为14311.4m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/d，水重复利用率为96.02%。</w:t>
            </w:r>
          </w:p>
          <w:p w14:paraId="23A0A60C">
            <w:pPr>
              <w:numPr>
                <w:ilvl w:val="0"/>
                <w:numId w:val="0"/>
              </w:numPr>
              <w:spacing w:line="360" w:lineRule="auto"/>
              <w:ind w:firstLine="480" w:firstLineChars="200"/>
              <w:rPr>
                <w:rFonts w:hint="eastAsia" w:ascii="Times New Roman" w:hAnsi="Times New Roman" w:cs="Times New Roman"/>
                <w:color w:val="auto"/>
                <w:sz w:val="24"/>
                <w:szCs w:val="24"/>
                <w:lang w:val="en-US" w:eastAsia="zh-CN" w:bidi="zh-CN"/>
              </w:rPr>
            </w:pPr>
            <w:r>
              <w:rPr>
                <w:rFonts w:hint="eastAsia" w:ascii="Times New Roman" w:hAnsi="Times New Roman" w:cs="Times New Roman"/>
                <w:color w:val="auto"/>
                <w:sz w:val="24"/>
                <w:szCs w:val="24"/>
                <w:lang w:val="en-US" w:eastAsia="zh-CN" w:bidi="zh-CN"/>
              </w:rPr>
              <w:t>②生活用水</w:t>
            </w:r>
          </w:p>
          <w:p w14:paraId="360DEA08">
            <w:pPr>
              <w:numPr>
                <w:ilvl w:val="0"/>
                <w:numId w:val="0"/>
              </w:numPr>
              <w:spacing w:line="360" w:lineRule="auto"/>
              <w:ind w:firstLine="480" w:firstLineChars="200"/>
              <w:rPr>
                <w:rFonts w:hint="default" w:ascii="Times New Roman" w:hAnsi="Times New Roman" w:cs="Times New Roman"/>
                <w:color w:val="auto"/>
                <w:sz w:val="24"/>
                <w:szCs w:val="24"/>
                <w:vertAlign w:val="baseline"/>
                <w:lang w:val="en-US" w:eastAsia="zh-CN" w:bidi="zh-CN"/>
              </w:rPr>
            </w:pPr>
            <w:r>
              <w:rPr>
                <w:rFonts w:hint="eastAsia" w:ascii="Times New Roman" w:hAnsi="Times New Roman" w:cs="Times New Roman"/>
                <w:color w:val="auto"/>
                <w:sz w:val="24"/>
                <w:szCs w:val="24"/>
                <w:lang w:val="en-US" w:eastAsia="zh-CN" w:bidi="zh-CN"/>
              </w:rPr>
              <w:t>厂区职工20人，生活用水按每人每天100L计，则生活用水量为2m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lang w:val="en-US" w:eastAsia="zh-CN" w:bidi="zh-CN"/>
              </w:rPr>
              <w:t>/d。选煤厂生活污水按用水量的70%计算，产生量为1.4m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vertAlign w:val="baseline"/>
                <w:lang w:val="en-US" w:eastAsia="zh-CN" w:bidi="zh-CN"/>
              </w:rPr>
              <w:t>/d。</w:t>
            </w:r>
          </w:p>
          <w:p w14:paraId="6A602DC8">
            <w:pPr>
              <w:numPr>
                <w:ilvl w:val="0"/>
                <w:numId w:val="0"/>
              </w:numPr>
              <w:spacing w:line="360" w:lineRule="auto"/>
              <w:ind w:firstLine="482" w:firstLineChars="200"/>
              <w:rPr>
                <w:rFonts w:hint="default" w:ascii="Times New Roman" w:hAnsi="Times New Roman" w:cs="Times New Roman"/>
                <w:b/>
                <w:bCs/>
                <w:color w:val="auto"/>
                <w:sz w:val="24"/>
                <w:szCs w:val="24"/>
                <w:lang w:val="en-US" w:eastAsia="zh-CN" w:bidi="zh-CN"/>
              </w:rPr>
            </w:pPr>
            <w:r>
              <w:rPr>
                <w:rFonts w:hint="default" w:ascii="Times New Roman" w:hAnsi="Times New Roman" w:cs="Times New Roman"/>
                <w:b/>
                <w:bCs/>
                <w:color w:val="auto"/>
                <w:sz w:val="24"/>
                <w:szCs w:val="24"/>
                <w:lang w:val="en-US" w:eastAsia="zh-CN" w:bidi="zh-CN"/>
              </w:rPr>
              <w:t>排水</w:t>
            </w:r>
          </w:p>
          <w:p w14:paraId="6FE41314">
            <w:pPr>
              <w:numPr>
                <w:ilvl w:val="0"/>
                <w:numId w:val="0"/>
              </w:numPr>
              <w:spacing w:line="360" w:lineRule="auto"/>
              <w:ind w:firstLine="480" w:firstLineChars="200"/>
              <w:rPr>
                <w:rFonts w:hint="default" w:ascii="Times New Roman" w:hAnsi="Times New Roman" w:cs="Times New Roman"/>
                <w:color w:val="auto"/>
                <w:sz w:val="24"/>
                <w:szCs w:val="24"/>
                <w:lang w:val="en-US" w:eastAsia="zh-CN" w:bidi="zh-CN"/>
              </w:rPr>
            </w:pPr>
            <w:r>
              <w:rPr>
                <w:rFonts w:hint="default" w:ascii="Times New Roman" w:hAnsi="Times New Roman" w:cs="Times New Roman"/>
                <w:color w:val="auto"/>
                <w:sz w:val="24"/>
                <w:szCs w:val="24"/>
                <w:lang w:val="en-US" w:eastAsia="zh-CN" w:bidi="zh-CN"/>
              </w:rPr>
              <w:t>项目废水为跳汰机洗煤过程中产生的洗煤废水、地面冲洗废水和生活废水。</w:t>
            </w:r>
          </w:p>
          <w:p w14:paraId="4199DD45">
            <w:pPr>
              <w:numPr>
                <w:ilvl w:val="0"/>
                <w:numId w:val="0"/>
              </w:numPr>
              <w:spacing w:line="360" w:lineRule="auto"/>
              <w:ind w:firstLine="480" w:firstLineChars="200"/>
              <w:rPr>
                <w:rFonts w:hint="default" w:ascii="Times New Roman" w:hAnsi="Times New Roman" w:cs="Times New Roman"/>
                <w:color w:val="auto"/>
                <w:sz w:val="24"/>
                <w:szCs w:val="24"/>
                <w:lang w:val="en-US" w:eastAsia="zh-CN" w:bidi="zh-CN"/>
              </w:rPr>
            </w:pPr>
            <w:r>
              <w:rPr>
                <w:rFonts w:hint="default" w:ascii="Times New Roman" w:hAnsi="Times New Roman" w:cs="Times New Roman"/>
                <w:color w:val="auto"/>
                <w:sz w:val="24"/>
                <w:szCs w:val="24"/>
                <w:lang w:val="en-US" w:eastAsia="zh-CN" w:bidi="zh-CN"/>
              </w:rPr>
              <w:t>①生产废水</w:t>
            </w:r>
          </w:p>
          <w:p w14:paraId="2B93E806">
            <w:pPr>
              <w:numPr>
                <w:ilvl w:val="0"/>
                <w:numId w:val="0"/>
              </w:numPr>
              <w:spacing w:line="360" w:lineRule="auto"/>
              <w:ind w:firstLine="480" w:firstLineChars="200"/>
              <w:rPr>
                <w:rFonts w:hint="default" w:ascii="Times New Roman" w:hAnsi="Times New Roman" w:cs="Times New Roman"/>
                <w:color w:val="auto"/>
                <w:sz w:val="24"/>
                <w:szCs w:val="24"/>
                <w:lang w:val="en-US" w:eastAsia="zh-CN" w:bidi="zh-CN"/>
              </w:rPr>
            </w:pPr>
            <w:r>
              <w:rPr>
                <w:rFonts w:hint="default" w:ascii="Times New Roman" w:hAnsi="Times New Roman" w:cs="Times New Roman"/>
                <w:color w:val="auto"/>
                <w:sz w:val="24"/>
                <w:szCs w:val="24"/>
                <w:lang w:val="en-US" w:eastAsia="zh-CN" w:bidi="zh-CN"/>
              </w:rPr>
              <w:t>洗煤废水产生量为14479.9m</w:t>
            </w:r>
            <w:r>
              <w:rPr>
                <w:rFonts w:hint="eastAsia" w:ascii="Times New Roman" w:hAnsi="Times New Roman" w:cs="Times New Roman"/>
                <w:color w:val="auto"/>
                <w:sz w:val="24"/>
                <w:szCs w:val="24"/>
                <w:vertAlign w:val="superscript"/>
                <w:lang w:val="en-US" w:eastAsia="zh-CN" w:bidi="zh-CN"/>
              </w:rPr>
              <w:t>3</w:t>
            </w:r>
            <w:r>
              <w:rPr>
                <w:rFonts w:hint="default" w:ascii="Times New Roman" w:hAnsi="Times New Roman" w:cs="Times New Roman"/>
                <w:color w:val="auto"/>
                <w:sz w:val="24"/>
                <w:szCs w:val="24"/>
                <w:lang w:val="en-US" w:eastAsia="zh-CN" w:bidi="zh-CN"/>
              </w:rPr>
              <w:t>/d，除煤泥带出外经浓缩池浓缩后全部回用于洗煤工序</w:t>
            </w:r>
            <w:r>
              <w:rPr>
                <w:rFonts w:hint="eastAsia" w:ascii="Times New Roman" w:hAnsi="Times New Roman" w:cs="Times New Roman"/>
                <w:color w:val="auto"/>
                <w:sz w:val="24"/>
                <w:szCs w:val="24"/>
                <w:lang w:val="en-US" w:eastAsia="zh-CN" w:bidi="zh-CN"/>
              </w:rPr>
              <w:t>；</w:t>
            </w:r>
            <w:r>
              <w:rPr>
                <w:rFonts w:hint="default" w:ascii="Times New Roman" w:hAnsi="Times New Roman" w:cs="Times New Roman"/>
                <w:color w:val="auto"/>
                <w:sz w:val="24"/>
                <w:szCs w:val="24"/>
                <w:lang w:val="en-US" w:eastAsia="zh-CN" w:bidi="zh-CN"/>
              </w:rPr>
              <w:t>地面冲洗废水产生量为16m</w:t>
            </w:r>
            <w:r>
              <w:rPr>
                <w:rFonts w:hint="eastAsia" w:ascii="Times New Roman" w:hAnsi="Times New Roman" w:cs="Times New Roman"/>
                <w:color w:val="auto"/>
                <w:sz w:val="24"/>
                <w:szCs w:val="24"/>
                <w:vertAlign w:val="superscript"/>
                <w:lang w:val="en-US" w:eastAsia="zh-CN" w:bidi="zh-CN"/>
              </w:rPr>
              <w:t>3</w:t>
            </w:r>
            <w:r>
              <w:rPr>
                <w:rFonts w:hint="eastAsia" w:ascii="Times New Roman" w:hAnsi="Times New Roman" w:cs="Times New Roman"/>
                <w:color w:val="auto"/>
                <w:sz w:val="24"/>
                <w:szCs w:val="24"/>
                <w:vertAlign w:val="baseline"/>
                <w:lang w:val="en-US" w:eastAsia="zh-CN" w:bidi="zh-CN"/>
              </w:rPr>
              <w:t>/</w:t>
            </w:r>
            <w:r>
              <w:rPr>
                <w:rFonts w:hint="default" w:ascii="Times New Roman" w:hAnsi="Times New Roman" w:cs="Times New Roman"/>
                <w:color w:val="auto"/>
                <w:sz w:val="24"/>
                <w:szCs w:val="24"/>
                <w:lang w:val="en-US" w:eastAsia="zh-CN" w:bidi="zh-CN"/>
              </w:rPr>
              <w:t>d，经收集回用于洗煤工序，项目无工艺废水排放。</w:t>
            </w:r>
          </w:p>
          <w:p w14:paraId="2FDB2521">
            <w:pPr>
              <w:numPr>
                <w:ilvl w:val="0"/>
                <w:numId w:val="0"/>
              </w:numPr>
              <w:spacing w:line="360" w:lineRule="auto"/>
              <w:ind w:firstLine="480" w:firstLineChars="200"/>
              <w:rPr>
                <w:rFonts w:hint="default" w:ascii="Times New Roman" w:hAnsi="Times New Roman" w:cs="Times New Roman"/>
                <w:color w:val="auto"/>
                <w:sz w:val="24"/>
                <w:szCs w:val="24"/>
                <w:lang w:val="en-US" w:eastAsia="zh-CN" w:bidi="zh-CN"/>
              </w:rPr>
            </w:pPr>
            <w:r>
              <w:rPr>
                <w:rFonts w:hint="default" w:ascii="Times New Roman" w:hAnsi="Times New Roman" w:cs="Times New Roman"/>
                <w:color w:val="auto"/>
                <w:sz w:val="24"/>
                <w:szCs w:val="24"/>
                <w:lang w:val="en-US" w:eastAsia="zh-CN" w:bidi="zh-CN"/>
              </w:rPr>
              <w:t>②生活污水</w:t>
            </w:r>
          </w:p>
          <w:p w14:paraId="75FF1268">
            <w:pPr>
              <w:numPr>
                <w:ilvl w:val="0"/>
                <w:numId w:val="0"/>
              </w:numPr>
              <w:spacing w:line="360" w:lineRule="auto"/>
              <w:ind w:firstLine="480" w:firstLineChars="200"/>
              <w:rPr>
                <w:rFonts w:hint="default" w:ascii="Times New Roman" w:hAnsi="Times New Roman" w:cs="Times New Roman"/>
                <w:color w:val="auto"/>
                <w:sz w:val="24"/>
                <w:szCs w:val="24"/>
                <w:lang w:val="en-US" w:eastAsia="zh-CN" w:bidi="zh-CN"/>
              </w:rPr>
            </w:pPr>
            <w:r>
              <w:rPr>
                <w:rFonts w:hint="default" w:ascii="Times New Roman" w:hAnsi="Times New Roman" w:cs="Times New Roman"/>
                <w:color w:val="auto"/>
                <w:sz w:val="24"/>
                <w:szCs w:val="24"/>
                <w:lang w:val="en-US" w:eastAsia="zh-CN" w:bidi="zh-CN"/>
              </w:rPr>
              <w:t>项目生活污水主要为职工生活盥洗废水，产生量为</w:t>
            </w:r>
            <w:r>
              <w:rPr>
                <w:rFonts w:hint="eastAsia" w:ascii="Times New Roman" w:hAnsi="Times New Roman" w:cs="Times New Roman"/>
                <w:color w:val="auto"/>
                <w:sz w:val="24"/>
                <w:szCs w:val="24"/>
                <w:lang w:val="en-US" w:eastAsia="zh-CN" w:bidi="zh-CN"/>
              </w:rPr>
              <w:t>1.4</w:t>
            </w:r>
            <w:r>
              <w:rPr>
                <w:rFonts w:hint="default" w:ascii="Times New Roman" w:hAnsi="Times New Roman" w:cs="Times New Roman"/>
                <w:color w:val="auto"/>
                <w:sz w:val="24"/>
                <w:szCs w:val="24"/>
                <w:lang w:val="en-US" w:eastAsia="zh-CN" w:bidi="zh-CN"/>
              </w:rPr>
              <w:t>m</w:t>
            </w:r>
            <w:r>
              <w:rPr>
                <w:rFonts w:hint="eastAsia" w:ascii="Times New Roman" w:hAnsi="Times New Roman" w:cs="Times New Roman"/>
                <w:color w:val="auto"/>
                <w:sz w:val="24"/>
                <w:szCs w:val="24"/>
                <w:vertAlign w:val="superscript"/>
                <w:lang w:val="en-US" w:eastAsia="zh-CN" w:bidi="zh-CN"/>
              </w:rPr>
              <w:t>3</w:t>
            </w:r>
            <w:r>
              <w:rPr>
                <w:rFonts w:hint="default" w:ascii="Times New Roman" w:hAnsi="Times New Roman" w:cs="Times New Roman"/>
                <w:color w:val="auto"/>
                <w:sz w:val="24"/>
                <w:szCs w:val="24"/>
                <w:lang w:val="en-US" w:eastAsia="zh-CN" w:bidi="zh-CN"/>
              </w:rPr>
              <w:t>/d，生活污水选用1套WSZ-1型一体化污水处理设施，处理后回用于洗煤工序。</w:t>
            </w:r>
          </w:p>
          <w:p w14:paraId="2A47E45A">
            <w:pPr>
              <w:numPr>
                <w:ilvl w:val="0"/>
                <w:numId w:val="3"/>
              </w:numPr>
              <w:spacing w:line="360" w:lineRule="auto"/>
              <w:ind w:firstLine="482" w:firstLineChars="200"/>
              <w:rPr>
                <w:rFonts w:ascii="Times New Roman" w:hAnsi="Times New Roman" w:cs="Times New Roman"/>
                <w:b/>
                <w:bCs/>
                <w:sz w:val="24"/>
              </w:rPr>
            </w:pPr>
            <w:r>
              <w:rPr>
                <w:rFonts w:hint="eastAsia" w:ascii="Times New Roman" w:hAnsi="Times New Roman" w:cs="Times New Roman"/>
                <w:b/>
                <w:bCs/>
                <w:sz w:val="24"/>
                <w:lang w:val="en-US" w:eastAsia="zh-CN"/>
              </w:rPr>
              <w:t>扩建工程概况</w:t>
            </w:r>
          </w:p>
          <w:p w14:paraId="44C7F518">
            <w:pPr>
              <w:numPr>
                <w:ilvl w:val="0"/>
                <w:numId w:val="6"/>
              </w:numPr>
              <w:spacing w:line="360" w:lineRule="auto"/>
              <w:ind w:firstLine="482" w:firstLineChars="200"/>
              <w:rPr>
                <w:rFonts w:hint="eastAsia" w:ascii="Times New Roman" w:hAnsi="Times New Roman" w:cs="Times New Roman"/>
                <w:b/>
                <w:sz w:val="24"/>
                <w:lang w:val="en-US" w:eastAsia="zh-CN"/>
              </w:rPr>
            </w:pPr>
            <w:r>
              <w:rPr>
                <w:rFonts w:hint="eastAsia" w:ascii="Times New Roman" w:hAnsi="Times New Roman" w:cs="Times New Roman"/>
                <w:b/>
                <w:sz w:val="24"/>
                <w:lang w:val="en-US" w:eastAsia="zh-CN"/>
              </w:rPr>
              <w:t>项目名称</w:t>
            </w:r>
          </w:p>
          <w:p w14:paraId="4966053B">
            <w:pPr>
              <w:pStyle w:val="26"/>
              <w:ind w:left="0" w:leftChars="0" w:firstLine="0" w:firstLineChars="0"/>
              <w:rPr>
                <w:rFonts w:hint="default" w:ascii="Times New Roman" w:hAnsi="Times New Roman" w:eastAsia="宋体" w:cs="Times New Roman"/>
                <w:sz w:val="24"/>
                <w:szCs w:val="24"/>
                <w:lang w:val="en-US" w:eastAsia="zh-CN" w:bidi="zh-CN"/>
              </w:rPr>
            </w:pPr>
            <w:r>
              <w:rPr>
                <w:rFonts w:hint="eastAsia" w:ascii="Times New Roman" w:hAnsi="Times New Roman" w:cs="Times New Roman"/>
                <w:b/>
                <w:sz w:val="24"/>
                <w:lang w:val="en-US" w:eastAsia="zh-CN"/>
              </w:rPr>
              <w:t xml:space="preserve">    </w:t>
            </w:r>
            <w:r>
              <w:rPr>
                <w:rFonts w:hint="eastAsia" w:ascii="Times New Roman" w:hAnsi="Times New Roman" w:eastAsia="宋体" w:cs="Times New Roman"/>
                <w:sz w:val="24"/>
                <w:szCs w:val="24"/>
                <w:lang w:val="en-US" w:eastAsia="zh-CN" w:bidi="zh-CN"/>
              </w:rPr>
              <w:t>内蒙古鄂尔多斯市伊金霍洛旗札萨克镇鑫海洗煤厂配套储煤棚扩建项目</w:t>
            </w:r>
          </w:p>
          <w:p w14:paraId="5EEED631">
            <w:pPr>
              <w:numPr>
                <w:ilvl w:val="0"/>
                <w:numId w:val="6"/>
              </w:numPr>
              <w:spacing w:line="360" w:lineRule="auto"/>
              <w:ind w:firstLine="482" w:firstLineChars="200"/>
              <w:rPr>
                <w:rFonts w:hint="eastAsia" w:ascii="Times New Roman" w:hAnsi="Times New Roman" w:cs="Times New Roman"/>
                <w:b/>
                <w:sz w:val="24"/>
                <w:lang w:val="en-US" w:eastAsia="zh-CN"/>
              </w:rPr>
            </w:pPr>
            <w:r>
              <w:rPr>
                <w:rFonts w:hint="eastAsia" w:ascii="Times New Roman" w:hAnsi="Times New Roman" w:cs="Times New Roman"/>
                <w:b/>
                <w:sz w:val="24"/>
                <w:lang w:val="en-US" w:eastAsia="zh-CN"/>
              </w:rPr>
              <w:t>建设性质</w:t>
            </w:r>
          </w:p>
          <w:p w14:paraId="7F9851B8">
            <w:pPr>
              <w:numPr>
                <w:ilvl w:val="0"/>
                <w:numId w:val="0"/>
              </w:numPr>
              <w:spacing w:line="360" w:lineRule="auto"/>
              <w:ind w:firstLine="480" w:firstLineChars="200"/>
              <w:rPr>
                <w:rFonts w:hint="default" w:ascii="Times New Roman" w:hAnsi="Times New Roman" w:eastAsia="宋体" w:cs="Times New Roman"/>
                <w:sz w:val="24"/>
                <w:szCs w:val="24"/>
                <w:lang w:val="en-US" w:eastAsia="zh-CN" w:bidi="zh-CN"/>
              </w:rPr>
            </w:pPr>
            <w:r>
              <w:rPr>
                <w:rFonts w:hint="eastAsia" w:ascii="Times New Roman" w:hAnsi="Times New Roman" w:eastAsia="宋体" w:cs="Times New Roman"/>
                <w:sz w:val="24"/>
                <w:szCs w:val="24"/>
                <w:lang w:val="en-US" w:eastAsia="zh-CN" w:bidi="zh-CN"/>
              </w:rPr>
              <w:t>改扩建</w:t>
            </w:r>
          </w:p>
          <w:p w14:paraId="02BA6D25">
            <w:pPr>
              <w:numPr>
                <w:ilvl w:val="0"/>
                <w:numId w:val="6"/>
              </w:numPr>
              <w:spacing w:line="360" w:lineRule="auto"/>
              <w:ind w:firstLine="482" w:firstLineChars="200"/>
              <w:rPr>
                <w:rFonts w:hint="eastAsia" w:ascii="Times New Roman" w:hAnsi="Times New Roman" w:cs="Times New Roman"/>
                <w:b/>
                <w:sz w:val="24"/>
                <w:lang w:val="en-US" w:eastAsia="zh-CN"/>
              </w:rPr>
            </w:pPr>
            <w:r>
              <w:rPr>
                <w:rFonts w:hint="eastAsia" w:ascii="Times New Roman" w:hAnsi="Times New Roman" w:cs="Times New Roman"/>
                <w:b/>
                <w:sz w:val="24"/>
                <w:lang w:val="en-US" w:eastAsia="zh-CN"/>
              </w:rPr>
              <w:t>建设单位</w:t>
            </w:r>
          </w:p>
          <w:p w14:paraId="5AE961ED">
            <w:pPr>
              <w:pStyle w:val="36"/>
              <w:spacing w:line="360" w:lineRule="auto"/>
              <w:ind w:firstLine="440"/>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伊金霍洛旗鑫海洗煤厂（普通合伙）</w:t>
            </w:r>
          </w:p>
          <w:p w14:paraId="5DEBC142">
            <w:pPr>
              <w:numPr>
                <w:ilvl w:val="0"/>
                <w:numId w:val="6"/>
              </w:numPr>
              <w:spacing w:line="360" w:lineRule="auto"/>
              <w:ind w:firstLine="482" w:firstLineChars="200"/>
              <w:rPr>
                <w:rFonts w:hint="eastAsia" w:ascii="Times New Roman" w:hAnsi="Times New Roman" w:cs="Times New Roman"/>
                <w:b/>
                <w:sz w:val="24"/>
                <w:lang w:val="en-US" w:eastAsia="zh-CN"/>
              </w:rPr>
            </w:pPr>
            <w:r>
              <w:rPr>
                <w:rFonts w:hint="eastAsia" w:ascii="Times New Roman" w:hAnsi="Times New Roman" w:cs="Times New Roman"/>
                <w:b/>
                <w:sz w:val="24"/>
                <w:lang w:val="en-US" w:eastAsia="zh-CN"/>
              </w:rPr>
              <w:t>建设地点</w:t>
            </w:r>
          </w:p>
          <w:p w14:paraId="740D9CA1">
            <w:pPr>
              <w:pStyle w:val="36"/>
              <w:spacing w:line="360" w:lineRule="auto"/>
              <w:ind w:firstLine="440"/>
              <w:rPr>
                <w:rFonts w:hint="default" w:ascii="Times New Roman" w:hAnsi="Times New Roman" w:eastAsia="宋体" w:cs="Times New Roman"/>
                <w:b w:val="0"/>
                <w:bCs/>
                <w:sz w:val="24"/>
                <w:szCs w:val="24"/>
                <w:lang w:val="en-US" w:eastAsia="zh-CN" w:bidi="zh-CN"/>
              </w:rPr>
            </w:pPr>
            <w:r>
              <w:rPr>
                <w:rFonts w:hint="eastAsia" w:ascii="Times New Roman" w:hAnsi="Times New Roman" w:eastAsia="宋体" w:cs="Times New Roman"/>
                <w:b w:val="0"/>
                <w:bCs/>
                <w:sz w:val="24"/>
                <w:szCs w:val="24"/>
                <w:lang w:val="en-US" w:eastAsia="zh-CN" w:bidi="zh-CN"/>
              </w:rPr>
              <w:t>项目位于伊金霍洛旗札萨克镇哈日木河村。项目中心地理坐标为</w:t>
            </w:r>
            <w:r>
              <w:rPr>
                <w:rFonts w:hint="default" w:ascii="Times New Roman" w:hAnsi="Times New Roman" w:eastAsia="宋体" w:cs="Times New Roman"/>
                <w:b w:val="0"/>
                <w:bCs/>
                <w:sz w:val="24"/>
                <w:szCs w:val="24"/>
                <w:lang w:val="en-US" w:eastAsia="zh-CN" w:bidi="zh-CN"/>
              </w:rPr>
              <w:t>N39°13′31.34″，E109°49′59.68″</w:t>
            </w:r>
            <w:r>
              <w:rPr>
                <w:rFonts w:hint="eastAsia" w:ascii="Times New Roman" w:hAnsi="Times New Roman" w:eastAsia="宋体" w:cs="Times New Roman"/>
                <w:b w:val="0"/>
                <w:bCs/>
                <w:sz w:val="24"/>
                <w:szCs w:val="24"/>
                <w:lang w:val="en-US" w:eastAsia="zh-CN" w:bidi="zh-CN"/>
              </w:rPr>
              <w:t>。项目</w:t>
            </w:r>
            <w:r>
              <w:rPr>
                <w:rFonts w:hint="eastAsia" w:ascii="Times New Roman" w:hAnsi="Times New Roman" w:cs="Times New Roman"/>
                <w:b w:val="0"/>
                <w:bCs/>
                <w:sz w:val="24"/>
                <w:szCs w:val="24"/>
                <w:lang w:val="en-US" w:eastAsia="zh-CN" w:bidi="zh-CN"/>
              </w:rPr>
              <w:t>四周均为其他洗煤厂。项目地理位置见附图一；项目周边关系见附图二。</w:t>
            </w:r>
          </w:p>
          <w:p w14:paraId="43B5D077">
            <w:pPr>
              <w:numPr>
                <w:ilvl w:val="0"/>
                <w:numId w:val="6"/>
              </w:numPr>
              <w:spacing w:line="360" w:lineRule="auto"/>
              <w:ind w:firstLine="482" w:firstLineChars="200"/>
              <w:rPr>
                <w:rFonts w:hint="eastAsia" w:ascii="Times New Roman" w:hAnsi="Times New Roman" w:cs="Times New Roman"/>
                <w:b/>
                <w:sz w:val="24"/>
                <w:lang w:val="en-US" w:eastAsia="zh-CN"/>
              </w:rPr>
            </w:pPr>
            <w:r>
              <w:rPr>
                <w:rFonts w:hint="eastAsia" w:ascii="Times New Roman" w:hAnsi="Times New Roman" w:cs="Times New Roman"/>
                <w:b/>
                <w:sz w:val="24"/>
                <w:lang w:val="en-US" w:eastAsia="zh-CN"/>
              </w:rPr>
              <w:t>建设内容及规模</w:t>
            </w:r>
          </w:p>
          <w:p w14:paraId="404F5346">
            <w:pPr>
              <w:pStyle w:val="36"/>
              <w:spacing w:line="360" w:lineRule="auto"/>
              <w:ind w:firstLine="440"/>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工程扩建完成后，建成1座全封闭储煤棚，建筑面积27069.80m</w:t>
            </w:r>
            <w:r>
              <w:rPr>
                <w:rFonts w:hint="eastAsia" w:ascii="Times New Roman" w:hAnsi="Times New Roman" w:cs="Times New Roman"/>
                <w:sz w:val="24"/>
                <w:szCs w:val="24"/>
                <w:vertAlign w:val="superscript"/>
                <w:lang w:val="en-US" w:eastAsia="zh-CN"/>
              </w:rPr>
              <w:t>2</w:t>
            </w:r>
            <w:r>
              <w:rPr>
                <w:rFonts w:hint="eastAsia" w:ascii="Times New Roman" w:hAnsi="Times New Roman" w:cs="Times New Roman"/>
                <w:sz w:val="24"/>
                <w:szCs w:val="24"/>
                <w:lang w:val="en-US" w:eastAsia="zh-CN"/>
              </w:rPr>
              <w:t>，</w:t>
            </w:r>
            <w:r>
              <w:rPr>
                <w:rFonts w:hint="eastAsia" w:ascii="Times New Roman" w:hAnsi="Times New Roman" w:cs="Times New Roman"/>
                <w:sz w:val="24"/>
                <w:szCs w:val="24"/>
                <w:vertAlign w:val="baseline"/>
                <w:lang w:val="en-US" w:eastAsia="zh-CN"/>
              </w:rPr>
              <w:t>其中1#储煤棚面积为16847.8m</w:t>
            </w:r>
            <w:r>
              <w:rPr>
                <w:rFonts w:hint="eastAsia" w:ascii="Times New Roman" w:hAnsi="Times New Roman" w:cs="Times New Roman"/>
                <w:sz w:val="24"/>
                <w:szCs w:val="24"/>
                <w:vertAlign w:val="superscript"/>
                <w:lang w:val="en-US" w:eastAsia="zh-CN"/>
              </w:rPr>
              <w:t>2</w:t>
            </w:r>
            <w:r>
              <w:rPr>
                <w:rFonts w:hint="eastAsia" w:ascii="Times New Roman" w:hAnsi="Times New Roman" w:cs="Times New Roman"/>
                <w:sz w:val="24"/>
                <w:szCs w:val="24"/>
                <w:vertAlign w:val="baseline"/>
                <w:lang w:val="en-US" w:eastAsia="zh-CN"/>
              </w:rPr>
              <w:t>（包括精煤区、洗煤区、中煤区、煤泥区，原环评批复面积共计5500m</w:t>
            </w:r>
            <w:r>
              <w:rPr>
                <w:rFonts w:hint="eastAsia" w:ascii="Times New Roman" w:hAnsi="Times New Roman" w:cs="Times New Roman"/>
                <w:sz w:val="24"/>
                <w:szCs w:val="24"/>
                <w:vertAlign w:val="superscript"/>
                <w:lang w:val="en-US" w:eastAsia="zh-CN"/>
              </w:rPr>
              <w:t>2</w:t>
            </w:r>
            <w:r>
              <w:rPr>
                <w:rFonts w:hint="eastAsia" w:ascii="Times New Roman" w:hAnsi="Times New Roman" w:cs="Times New Roman"/>
                <w:sz w:val="24"/>
                <w:szCs w:val="24"/>
                <w:vertAlign w:val="baseline"/>
                <w:lang w:val="en-US" w:eastAsia="zh-CN"/>
              </w:rPr>
              <w:t>，现超出原环评批复面积11347.8m</w:t>
            </w:r>
            <w:r>
              <w:rPr>
                <w:rFonts w:hint="eastAsia" w:ascii="Times New Roman" w:hAnsi="Times New Roman" w:cs="Times New Roman"/>
                <w:sz w:val="24"/>
                <w:szCs w:val="24"/>
                <w:vertAlign w:val="superscript"/>
                <w:lang w:val="en-US" w:eastAsia="zh-CN"/>
              </w:rPr>
              <w:t>2</w:t>
            </w:r>
            <w:r>
              <w:rPr>
                <w:rFonts w:hint="eastAsia" w:ascii="Times New Roman" w:hAnsi="Times New Roman" w:cs="Times New Roman"/>
                <w:sz w:val="24"/>
                <w:szCs w:val="24"/>
                <w:vertAlign w:val="baseline"/>
                <w:lang w:val="en-US" w:eastAsia="zh-CN"/>
              </w:rPr>
              <w:t>），2#储煤棚面积为10222m</w:t>
            </w:r>
            <w:r>
              <w:rPr>
                <w:rFonts w:hint="eastAsia" w:ascii="Times New Roman" w:hAnsi="Times New Roman" w:cs="Times New Roman"/>
                <w:sz w:val="24"/>
                <w:szCs w:val="24"/>
                <w:vertAlign w:val="superscript"/>
                <w:lang w:val="en-US" w:eastAsia="zh-CN"/>
              </w:rPr>
              <w:t>2</w:t>
            </w:r>
            <w:r>
              <w:rPr>
                <w:rFonts w:hint="eastAsia" w:ascii="Times New Roman" w:hAnsi="Times New Roman" w:cs="Times New Roman"/>
                <w:sz w:val="24"/>
                <w:szCs w:val="24"/>
                <w:vertAlign w:val="baseline"/>
                <w:lang w:val="en-US" w:eastAsia="zh-CN"/>
              </w:rPr>
              <w:t>（包括原煤区和矸石区，原环评批复面积共计5500m</w:t>
            </w:r>
            <w:r>
              <w:rPr>
                <w:rFonts w:hint="eastAsia" w:ascii="Times New Roman" w:hAnsi="Times New Roman" w:cs="Times New Roman"/>
                <w:sz w:val="24"/>
                <w:szCs w:val="24"/>
                <w:vertAlign w:val="superscript"/>
                <w:lang w:val="en-US" w:eastAsia="zh-CN"/>
              </w:rPr>
              <w:t>2</w:t>
            </w:r>
            <w:r>
              <w:rPr>
                <w:rFonts w:hint="eastAsia" w:ascii="Times New Roman" w:hAnsi="Times New Roman" w:cs="Times New Roman"/>
                <w:sz w:val="24"/>
                <w:szCs w:val="24"/>
                <w:vertAlign w:val="baseline"/>
                <w:lang w:val="en-US" w:eastAsia="zh-CN"/>
              </w:rPr>
              <w:t>，现超出原环评批复面积4722m</w:t>
            </w:r>
            <w:r>
              <w:rPr>
                <w:rFonts w:hint="eastAsia" w:ascii="Times New Roman" w:hAnsi="Times New Roman" w:cs="Times New Roman"/>
                <w:sz w:val="24"/>
                <w:szCs w:val="24"/>
                <w:vertAlign w:val="superscript"/>
                <w:lang w:val="en-US" w:eastAsia="zh-CN"/>
              </w:rPr>
              <w:t>2</w:t>
            </w:r>
            <w:r>
              <w:rPr>
                <w:rFonts w:hint="eastAsia" w:ascii="Times New Roman" w:hAnsi="Times New Roman" w:cs="Times New Roman"/>
                <w:sz w:val="24"/>
                <w:szCs w:val="24"/>
                <w:vertAlign w:val="baseline"/>
                <w:lang w:val="en-US" w:eastAsia="zh-CN"/>
              </w:rPr>
              <w:t>）。</w:t>
            </w:r>
            <w:r>
              <w:rPr>
                <w:rFonts w:hint="eastAsia" w:ascii="Times New Roman" w:hAnsi="Times New Roman" w:cs="Times New Roman"/>
                <w:sz w:val="24"/>
                <w:szCs w:val="24"/>
                <w:lang w:val="en-US" w:eastAsia="zh-CN"/>
              </w:rPr>
              <w:t>在全封闭储煤棚内设置洗选设备，分区域堆存原煤及产品，洗选设备及办公生活区不做调整，洗选原煤能力保持120万吨/年不变。</w:t>
            </w:r>
          </w:p>
          <w:p w14:paraId="23A2FE1C">
            <w:pPr>
              <w:pStyle w:val="36"/>
              <w:spacing w:line="360" w:lineRule="auto"/>
              <w:ind w:firstLine="440"/>
              <w:rPr>
                <w:rFonts w:ascii="Times New Roman" w:hAnsi="Times New Roman" w:cs="Times New Roman"/>
                <w:sz w:val="24"/>
                <w:szCs w:val="24"/>
                <w:lang w:val="en-US"/>
              </w:rPr>
            </w:pPr>
            <w:r>
              <w:rPr>
                <w:rFonts w:hint="eastAsia" w:ascii="Times New Roman" w:hAnsi="Times New Roman" w:cs="Times New Roman"/>
                <w:sz w:val="24"/>
                <w:szCs w:val="24"/>
                <w:lang w:val="en-US"/>
              </w:rPr>
              <w:t>项目</w:t>
            </w:r>
            <w:r>
              <w:rPr>
                <w:rFonts w:hint="eastAsia" w:ascii="Times New Roman" w:hAnsi="Times New Roman" w:cs="Times New Roman"/>
                <w:sz w:val="24"/>
                <w:szCs w:val="24"/>
                <w:lang w:val="en-US" w:eastAsia="zh-CN"/>
              </w:rPr>
              <w:t>建设内容组成</w:t>
            </w:r>
            <w:r>
              <w:rPr>
                <w:rFonts w:hint="eastAsia" w:ascii="Times New Roman" w:hAnsi="Times New Roman" w:cs="Times New Roman"/>
                <w:sz w:val="24"/>
                <w:szCs w:val="24"/>
                <w:lang w:val="en-US"/>
              </w:rPr>
              <w:t>见表2-</w:t>
            </w:r>
            <w:r>
              <w:rPr>
                <w:rFonts w:hint="eastAsia" w:ascii="Times New Roman" w:hAnsi="Times New Roman" w:cs="Times New Roman"/>
                <w:sz w:val="24"/>
                <w:szCs w:val="24"/>
                <w:lang w:val="en-US" w:eastAsia="zh-CN"/>
              </w:rPr>
              <w:t>6</w:t>
            </w:r>
            <w:r>
              <w:rPr>
                <w:rFonts w:hint="eastAsia" w:ascii="Times New Roman" w:hAnsi="Times New Roman" w:cs="Times New Roman"/>
                <w:sz w:val="24"/>
                <w:szCs w:val="24"/>
                <w:lang w:val="en-US"/>
              </w:rPr>
              <w:t>。</w:t>
            </w:r>
          </w:p>
          <w:p w14:paraId="7DD01B66">
            <w:pPr>
              <w:pStyle w:val="43"/>
              <w:ind w:firstLine="0"/>
              <w:jc w:val="center"/>
              <w:rPr>
                <w:rFonts w:ascii="Times New Roman" w:hAnsi="Times New Roman" w:cs="Times New Roman"/>
                <w:b/>
                <w:bCs/>
                <w:lang w:val="en-US"/>
              </w:rPr>
            </w:pPr>
            <w:r>
              <w:rPr>
                <w:rFonts w:ascii="Times New Roman" w:hAnsi="Times New Roman" w:cs="Times New Roman"/>
                <w:b/>
                <w:bCs/>
              </w:rPr>
              <w:t>表2-</w:t>
            </w:r>
            <w:r>
              <w:rPr>
                <w:rFonts w:hint="eastAsia" w:ascii="Times New Roman" w:hAnsi="Times New Roman" w:cs="Times New Roman"/>
                <w:b/>
                <w:bCs/>
                <w:lang w:val="en-US" w:eastAsia="zh-CN"/>
              </w:rPr>
              <w:t>6</w:t>
            </w:r>
            <w:r>
              <w:rPr>
                <w:rFonts w:ascii="Times New Roman" w:hAnsi="Times New Roman" w:cs="Times New Roman"/>
                <w:b/>
                <w:bCs/>
              </w:rPr>
              <w:tab/>
            </w:r>
            <w:r>
              <w:rPr>
                <w:rFonts w:ascii="Times New Roman" w:hAnsi="Times New Roman" w:cs="Times New Roman"/>
                <w:b/>
                <w:bCs/>
              </w:rPr>
              <w:t xml:space="preserve"> </w:t>
            </w:r>
            <w:r>
              <w:rPr>
                <w:rFonts w:ascii="Times New Roman" w:hAnsi="Times New Roman" w:cs="Times New Roman"/>
                <w:b/>
                <w:bCs/>
                <w:lang w:val="en-US"/>
              </w:rPr>
              <w:t xml:space="preserve"> </w:t>
            </w:r>
            <w:r>
              <w:rPr>
                <w:rFonts w:hint="eastAsia" w:ascii="Times New Roman" w:hAnsi="Times New Roman" w:cs="Times New Roman"/>
                <w:b/>
                <w:bCs/>
                <w:lang w:val="en-US" w:eastAsia="zh-CN"/>
              </w:rPr>
              <w:t>项目建设内容组成</w:t>
            </w:r>
            <w:r>
              <w:rPr>
                <w:rFonts w:ascii="Times New Roman" w:hAnsi="Times New Roman" w:cs="Times New Roman"/>
                <w:b/>
                <w:bCs/>
              </w:rPr>
              <w:t>一览表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430"/>
              <w:gridCol w:w="1175"/>
              <w:gridCol w:w="1665"/>
              <w:gridCol w:w="5640"/>
              <w:gridCol w:w="643"/>
            </w:tblGrid>
            <w:tr w14:paraId="20263C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430" w:type="dxa"/>
                  <w:vAlign w:val="center"/>
                </w:tcPr>
                <w:p w14:paraId="3D261218">
                  <w:pPr>
                    <w:adjustRightInd w:val="0"/>
                    <w:snapToGrid w:val="0"/>
                    <w:jc w:val="center"/>
                    <w:rPr>
                      <w:rFonts w:ascii="Times New Roman" w:hAnsi="Times New Roman" w:cs="Times New Roman"/>
                      <w:b/>
                      <w:sz w:val="21"/>
                      <w:szCs w:val="21"/>
                    </w:rPr>
                  </w:pPr>
                  <w:r>
                    <w:rPr>
                      <w:rFonts w:ascii="Times New Roman" w:hAnsi="Times New Roman" w:cs="Times New Roman"/>
                      <w:b/>
                      <w:sz w:val="21"/>
                      <w:szCs w:val="21"/>
                    </w:rPr>
                    <w:t>类别</w:t>
                  </w:r>
                </w:p>
              </w:tc>
              <w:tc>
                <w:tcPr>
                  <w:tcW w:w="1175" w:type="dxa"/>
                  <w:vAlign w:val="center"/>
                </w:tcPr>
                <w:p w14:paraId="512F4D90">
                  <w:pPr>
                    <w:adjustRightInd w:val="0"/>
                    <w:snapToGrid w:val="0"/>
                    <w:jc w:val="center"/>
                    <w:rPr>
                      <w:rFonts w:ascii="Times New Roman" w:hAnsi="Times New Roman" w:cs="Times New Roman"/>
                      <w:b/>
                      <w:sz w:val="21"/>
                      <w:szCs w:val="21"/>
                    </w:rPr>
                  </w:pPr>
                  <w:r>
                    <w:rPr>
                      <w:rFonts w:ascii="Times New Roman" w:hAnsi="Times New Roman" w:cs="Times New Roman"/>
                      <w:b/>
                      <w:sz w:val="21"/>
                      <w:szCs w:val="21"/>
                    </w:rPr>
                    <w:t>构筑物</w:t>
                  </w:r>
                </w:p>
              </w:tc>
              <w:tc>
                <w:tcPr>
                  <w:tcW w:w="7305" w:type="dxa"/>
                  <w:gridSpan w:val="2"/>
                  <w:vAlign w:val="center"/>
                </w:tcPr>
                <w:p w14:paraId="0923AB66">
                  <w:pPr>
                    <w:adjustRightInd w:val="0"/>
                    <w:snapToGrid w:val="0"/>
                    <w:jc w:val="center"/>
                    <w:rPr>
                      <w:rFonts w:ascii="Times New Roman" w:hAnsi="Times New Roman" w:cs="Times New Roman"/>
                      <w:b/>
                      <w:sz w:val="21"/>
                      <w:szCs w:val="21"/>
                    </w:rPr>
                  </w:pPr>
                  <w:r>
                    <w:rPr>
                      <w:rFonts w:ascii="Times New Roman" w:hAnsi="Times New Roman" w:cs="Times New Roman"/>
                      <w:b/>
                      <w:sz w:val="21"/>
                      <w:szCs w:val="21"/>
                    </w:rPr>
                    <w:t>主要建设内容</w:t>
                  </w:r>
                </w:p>
              </w:tc>
              <w:tc>
                <w:tcPr>
                  <w:tcW w:w="643" w:type="dxa"/>
                  <w:vAlign w:val="center"/>
                </w:tcPr>
                <w:p w14:paraId="560B1BC4">
                  <w:pPr>
                    <w:adjustRightInd w:val="0"/>
                    <w:snapToGrid w:val="0"/>
                    <w:jc w:val="center"/>
                    <w:rPr>
                      <w:rFonts w:ascii="Times New Roman" w:hAnsi="Times New Roman" w:cs="Times New Roman"/>
                      <w:b/>
                      <w:sz w:val="21"/>
                      <w:szCs w:val="21"/>
                    </w:rPr>
                  </w:pPr>
                  <w:r>
                    <w:rPr>
                      <w:rFonts w:ascii="Times New Roman" w:hAnsi="Times New Roman" w:cs="Times New Roman"/>
                      <w:b/>
                      <w:sz w:val="21"/>
                      <w:szCs w:val="21"/>
                    </w:rPr>
                    <w:t>备注</w:t>
                  </w:r>
                </w:p>
              </w:tc>
            </w:tr>
            <w:tr w14:paraId="1C9DF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929" w:hRule="atLeast"/>
                <w:jc w:val="center"/>
              </w:trPr>
              <w:tc>
                <w:tcPr>
                  <w:tcW w:w="430" w:type="dxa"/>
                  <w:vAlign w:val="center"/>
                </w:tcPr>
                <w:p w14:paraId="277080EB">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主体工程</w:t>
                  </w:r>
                </w:p>
              </w:tc>
              <w:tc>
                <w:tcPr>
                  <w:tcW w:w="1175" w:type="dxa"/>
                  <w:vAlign w:val="center"/>
                </w:tcPr>
                <w:p w14:paraId="1593CFDF">
                  <w:pPr>
                    <w:adjustRightInd w:val="0"/>
                    <w:snapToGrid w:val="0"/>
                    <w:jc w:val="center"/>
                    <w:rPr>
                      <w:rFonts w:ascii="Times New Roman" w:hAnsi="Times New Roman" w:cs="Times New Roman"/>
                      <w:sz w:val="21"/>
                      <w:szCs w:val="21"/>
                      <w:lang w:val="en-US"/>
                    </w:rPr>
                  </w:pPr>
                  <w:r>
                    <w:rPr>
                      <w:rFonts w:hint="eastAsia" w:ascii="Times New Roman" w:hAnsi="Times New Roman" w:cs="Times New Roman"/>
                      <w:sz w:val="21"/>
                      <w:szCs w:val="21"/>
                      <w:lang w:val="en-US" w:eastAsia="zh-CN"/>
                    </w:rPr>
                    <w:t>储煤棚</w:t>
                  </w:r>
                </w:p>
              </w:tc>
              <w:tc>
                <w:tcPr>
                  <w:tcW w:w="7305" w:type="dxa"/>
                  <w:gridSpan w:val="2"/>
                  <w:vAlign w:val="center"/>
                </w:tcPr>
                <w:p w14:paraId="528CF235">
                  <w:pPr>
                    <w:adjustRightInd w:val="0"/>
                    <w:snapToGrid w:val="0"/>
                    <w:jc w:val="center"/>
                    <w:rPr>
                      <w:rFonts w:hint="default" w:ascii="Times New Roman" w:hAnsi="Times New Roman" w:cs="Times New Roman"/>
                      <w:sz w:val="21"/>
                      <w:szCs w:val="21"/>
                      <w:lang w:val="en-US"/>
                    </w:rPr>
                  </w:pPr>
                  <w:r>
                    <w:rPr>
                      <w:rFonts w:hint="default" w:ascii="Times New Roman" w:hAnsi="Times New Roman" w:eastAsia="宋体" w:cs="Times New Roman"/>
                      <w:iCs/>
                      <w:color w:val="auto"/>
                      <w:sz w:val="21"/>
                      <w:szCs w:val="21"/>
                      <w:lang w:bidi="ar"/>
                    </w:rPr>
                    <w:t>全厂煤棚总建筑面积</w:t>
                  </w:r>
                  <w:r>
                    <w:rPr>
                      <w:rFonts w:hint="eastAsia" w:ascii="Times New Roman" w:hAnsi="Times New Roman" w:eastAsia="宋体" w:cs="Times New Roman"/>
                      <w:iCs/>
                      <w:color w:val="auto"/>
                      <w:sz w:val="21"/>
                      <w:szCs w:val="21"/>
                      <w:lang w:val="en-US" w:eastAsia="zh-CN" w:bidi="ar"/>
                    </w:rPr>
                    <w:t>27069.8</w:t>
                  </w:r>
                  <w:r>
                    <w:rPr>
                      <w:rFonts w:hint="default" w:ascii="Times New Roman" w:hAnsi="Times New Roman" w:eastAsia="宋体" w:cs="Times New Roman"/>
                      <w:color w:val="auto"/>
                      <w:sz w:val="21"/>
                      <w:szCs w:val="21"/>
                      <w:lang w:bidi="ar"/>
                    </w:rPr>
                    <w:t>m</w:t>
                  </w:r>
                  <w:r>
                    <w:rPr>
                      <w:rFonts w:hint="default" w:ascii="Times New Roman" w:hAnsi="Times New Roman" w:eastAsia="宋体" w:cs="Times New Roman"/>
                      <w:color w:val="auto"/>
                      <w:sz w:val="21"/>
                      <w:szCs w:val="21"/>
                      <w:vertAlign w:val="superscript"/>
                      <w:lang w:bidi="ar"/>
                    </w:rPr>
                    <w:t>2</w:t>
                  </w:r>
                  <w:r>
                    <w:rPr>
                      <w:rFonts w:hint="default" w:ascii="Times New Roman" w:hAnsi="Times New Roman" w:eastAsia="宋体" w:cs="Times New Roman"/>
                      <w:color w:val="auto"/>
                      <w:sz w:val="21"/>
                      <w:szCs w:val="21"/>
                      <w:lang w:bidi="ar"/>
                    </w:rPr>
                    <w:t>，</w:t>
                  </w:r>
                  <w:r>
                    <w:rPr>
                      <w:rFonts w:hint="eastAsia" w:ascii="Times New Roman" w:hAnsi="Times New Roman" w:cs="Times New Roman"/>
                      <w:color w:val="auto"/>
                      <w:sz w:val="21"/>
                      <w:szCs w:val="21"/>
                      <w:lang w:val="en-US" w:eastAsia="zh-CN" w:bidi="ar"/>
                    </w:rPr>
                    <w:t>煤棚高度18m，</w:t>
                  </w:r>
                  <w:r>
                    <w:rPr>
                      <w:rFonts w:hint="default" w:ascii="Times New Roman" w:hAnsi="Times New Roman" w:eastAsia="宋体" w:cs="Times New Roman"/>
                      <w:color w:val="auto"/>
                      <w:sz w:val="21"/>
                      <w:szCs w:val="21"/>
                      <w:lang w:bidi="ar"/>
                    </w:rPr>
                    <w:t>其中</w:t>
                  </w:r>
                  <w:r>
                    <w:rPr>
                      <w:rFonts w:hint="eastAsia" w:ascii="Times New Roman" w:hAnsi="Times New Roman" w:eastAsia="宋体" w:cs="Times New Roman"/>
                      <w:color w:val="auto"/>
                      <w:sz w:val="21"/>
                      <w:szCs w:val="21"/>
                      <w:lang w:val="en-US" w:eastAsia="zh-CN" w:bidi="ar"/>
                    </w:rPr>
                    <w:t>原环评</w:t>
                  </w:r>
                  <w:r>
                    <w:rPr>
                      <w:rFonts w:hint="default" w:ascii="Times New Roman" w:hAnsi="Times New Roman" w:eastAsia="宋体" w:cs="Times New Roman"/>
                      <w:color w:val="auto"/>
                      <w:sz w:val="21"/>
                      <w:szCs w:val="21"/>
                      <w:lang w:bidi="ar"/>
                    </w:rPr>
                    <w:t>中已批复的</w:t>
                  </w:r>
                  <w:r>
                    <w:rPr>
                      <w:rFonts w:hint="default" w:ascii="Times New Roman" w:hAnsi="Times New Roman" w:eastAsia="宋体" w:cs="Times New Roman"/>
                      <w:iCs/>
                      <w:color w:val="auto"/>
                      <w:sz w:val="21"/>
                      <w:szCs w:val="21"/>
                      <w:lang w:bidi="ar"/>
                    </w:rPr>
                    <w:t>煤棚总建筑面积为</w:t>
                  </w:r>
                  <w:r>
                    <w:rPr>
                      <w:rFonts w:hint="eastAsia" w:ascii="Times New Roman" w:hAnsi="Times New Roman" w:eastAsia="宋体" w:cs="Times New Roman"/>
                      <w:iCs/>
                      <w:color w:val="auto"/>
                      <w:sz w:val="21"/>
                      <w:szCs w:val="21"/>
                      <w:lang w:val="en-US" w:eastAsia="zh-CN" w:bidi="ar"/>
                    </w:rPr>
                    <w:t>11000</w:t>
                  </w:r>
                  <w:r>
                    <w:rPr>
                      <w:rFonts w:hint="default" w:ascii="Times New Roman" w:hAnsi="Times New Roman" w:eastAsia="宋体" w:cs="Times New Roman"/>
                      <w:color w:val="auto"/>
                      <w:sz w:val="21"/>
                      <w:szCs w:val="21"/>
                      <w:lang w:bidi="ar"/>
                    </w:rPr>
                    <w:t>m</w:t>
                  </w:r>
                  <w:r>
                    <w:rPr>
                      <w:rFonts w:hint="default" w:ascii="Times New Roman" w:hAnsi="Times New Roman" w:eastAsia="宋体" w:cs="Times New Roman"/>
                      <w:color w:val="auto"/>
                      <w:sz w:val="21"/>
                      <w:szCs w:val="21"/>
                      <w:vertAlign w:val="superscript"/>
                      <w:lang w:bidi="ar"/>
                    </w:rPr>
                    <w:t>2</w:t>
                  </w:r>
                  <w:r>
                    <w:rPr>
                      <w:rFonts w:hint="default" w:ascii="Times New Roman" w:hAnsi="Times New Roman" w:eastAsia="宋体" w:cs="Times New Roman"/>
                      <w:color w:val="auto"/>
                      <w:sz w:val="21"/>
                      <w:szCs w:val="21"/>
                      <w:lang w:bidi="ar"/>
                    </w:rPr>
                    <w:t>；剩余</w:t>
                  </w:r>
                  <w:r>
                    <w:rPr>
                      <w:rFonts w:hint="eastAsia" w:ascii="Times New Roman" w:hAnsi="Times New Roman" w:eastAsia="宋体" w:cs="Times New Roman"/>
                      <w:color w:val="auto"/>
                      <w:sz w:val="21"/>
                      <w:szCs w:val="21"/>
                      <w:lang w:val="en-US" w:eastAsia="zh-CN" w:bidi="ar"/>
                    </w:rPr>
                    <w:t>1</w:t>
                  </w:r>
                  <w:r>
                    <w:rPr>
                      <w:rFonts w:hint="eastAsia" w:ascii="Times New Roman" w:hAnsi="Times New Roman" w:cs="Times New Roman"/>
                      <w:color w:val="auto"/>
                      <w:sz w:val="21"/>
                      <w:szCs w:val="21"/>
                      <w:lang w:val="en-US" w:eastAsia="zh-CN" w:bidi="ar"/>
                    </w:rPr>
                    <w:t>6</w:t>
                  </w:r>
                  <w:r>
                    <w:rPr>
                      <w:rFonts w:hint="eastAsia" w:ascii="Times New Roman" w:hAnsi="Times New Roman" w:eastAsia="宋体" w:cs="Times New Roman"/>
                      <w:color w:val="auto"/>
                      <w:sz w:val="21"/>
                      <w:szCs w:val="21"/>
                      <w:lang w:val="en-US" w:eastAsia="zh-CN" w:bidi="ar"/>
                    </w:rPr>
                    <w:t>069.8</w:t>
                  </w:r>
                  <w:r>
                    <w:rPr>
                      <w:rFonts w:hint="default" w:ascii="Times New Roman" w:hAnsi="Times New Roman" w:eastAsia="宋体" w:cs="Times New Roman"/>
                      <w:color w:val="auto"/>
                      <w:sz w:val="21"/>
                      <w:szCs w:val="21"/>
                      <w:lang w:bidi="ar"/>
                    </w:rPr>
                    <w:t>m</w:t>
                  </w:r>
                  <w:r>
                    <w:rPr>
                      <w:rFonts w:hint="default" w:ascii="Times New Roman" w:hAnsi="Times New Roman" w:eastAsia="宋体" w:cs="Times New Roman"/>
                      <w:color w:val="auto"/>
                      <w:sz w:val="21"/>
                      <w:szCs w:val="21"/>
                      <w:vertAlign w:val="superscript"/>
                      <w:lang w:bidi="ar"/>
                    </w:rPr>
                    <w:t>2</w:t>
                  </w:r>
                  <w:r>
                    <w:rPr>
                      <w:rFonts w:hint="default" w:ascii="Times New Roman" w:hAnsi="Times New Roman" w:eastAsia="宋体" w:cs="Times New Roman"/>
                      <w:color w:val="auto"/>
                      <w:sz w:val="21"/>
                      <w:szCs w:val="21"/>
                      <w:lang w:bidi="ar"/>
                    </w:rPr>
                    <w:t>建筑面积的煤棚属于“</w:t>
                  </w:r>
                  <w:r>
                    <w:rPr>
                      <w:rFonts w:hint="eastAsia" w:ascii="Times New Roman" w:hAnsi="Times New Roman" w:cs="Times New Roman"/>
                      <w:color w:val="auto"/>
                      <w:sz w:val="21"/>
                      <w:szCs w:val="21"/>
                      <w:lang w:val="en-US" w:eastAsia="zh-CN" w:bidi="ar"/>
                    </w:rPr>
                    <w:t>未批先建</w:t>
                  </w:r>
                  <w:r>
                    <w:rPr>
                      <w:rFonts w:hint="default" w:ascii="Times New Roman" w:hAnsi="Times New Roman" w:eastAsia="宋体" w:cs="Times New Roman"/>
                      <w:color w:val="auto"/>
                      <w:sz w:val="21"/>
                      <w:szCs w:val="21"/>
                      <w:lang w:bidi="ar"/>
                    </w:rPr>
                    <w:t>”，本次</w:t>
                  </w:r>
                  <w:r>
                    <w:rPr>
                      <w:rFonts w:hint="eastAsia" w:ascii="Times New Roman" w:hAnsi="Times New Roman" w:cs="Times New Roman"/>
                      <w:color w:val="auto"/>
                      <w:sz w:val="21"/>
                      <w:szCs w:val="21"/>
                      <w:lang w:val="en-US" w:eastAsia="zh-CN" w:bidi="ar"/>
                    </w:rPr>
                    <w:t>对整体</w:t>
                  </w:r>
                  <w:r>
                    <w:rPr>
                      <w:rFonts w:hint="default" w:ascii="Times New Roman" w:hAnsi="Times New Roman" w:eastAsia="宋体" w:cs="Times New Roman"/>
                      <w:color w:val="auto"/>
                      <w:sz w:val="21"/>
                      <w:szCs w:val="21"/>
                      <w:lang w:bidi="ar"/>
                    </w:rPr>
                    <w:t>煤棚及棚内配套设施进行评价</w:t>
                  </w:r>
                  <w:r>
                    <w:rPr>
                      <w:rFonts w:hint="eastAsia" w:ascii="Times New Roman" w:hAnsi="Times New Roman" w:eastAsia="宋体" w:cs="Times New Roman"/>
                      <w:color w:val="auto"/>
                      <w:sz w:val="21"/>
                      <w:szCs w:val="21"/>
                      <w:lang w:eastAsia="zh-CN" w:bidi="ar"/>
                    </w:rPr>
                    <w:t>，</w:t>
                  </w:r>
                  <w:r>
                    <w:rPr>
                      <w:rFonts w:hint="eastAsia" w:ascii="Times New Roman" w:hAnsi="Times New Roman" w:cs="Times New Roman"/>
                      <w:color w:val="auto"/>
                      <w:sz w:val="21"/>
                      <w:szCs w:val="21"/>
                      <w:lang w:val="en-US" w:eastAsia="zh-CN" w:bidi="ar"/>
                    </w:rPr>
                    <w:t>整体煤棚分为两个区域，1#区域分为精煤区（6000m</w:t>
                  </w:r>
                  <w:r>
                    <w:rPr>
                      <w:rFonts w:hint="eastAsia" w:ascii="Times New Roman" w:hAnsi="Times New Roman" w:cs="Times New Roman"/>
                      <w:color w:val="auto"/>
                      <w:sz w:val="21"/>
                      <w:szCs w:val="21"/>
                      <w:vertAlign w:val="superscript"/>
                      <w:lang w:val="en-US" w:eastAsia="zh-CN" w:bidi="ar"/>
                    </w:rPr>
                    <w:t>2</w:t>
                  </w:r>
                  <w:r>
                    <w:rPr>
                      <w:rFonts w:hint="eastAsia" w:ascii="Times New Roman" w:hAnsi="Times New Roman" w:cs="Times New Roman"/>
                      <w:color w:val="auto"/>
                      <w:sz w:val="21"/>
                      <w:szCs w:val="21"/>
                      <w:lang w:val="en-US" w:eastAsia="zh-CN" w:bidi="ar"/>
                    </w:rPr>
                    <w:t>）、洗煤区（2200m</w:t>
                  </w:r>
                  <w:r>
                    <w:rPr>
                      <w:rFonts w:hint="eastAsia" w:ascii="Times New Roman" w:hAnsi="Times New Roman" w:cs="Times New Roman"/>
                      <w:color w:val="auto"/>
                      <w:sz w:val="21"/>
                      <w:szCs w:val="21"/>
                      <w:vertAlign w:val="superscript"/>
                      <w:lang w:val="en-US" w:eastAsia="zh-CN" w:bidi="ar"/>
                    </w:rPr>
                    <w:t>2</w:t>
                  </w:r>
                  <w:r>
                    <w:rPr>
                      <w:rFonts w:hint="eastAsia" w:ascii="Times New Roman" w:hAnsi="Times New Roman" w:cs="Times New Roman"/>
                      <w:color w:val="auto"/>
                      <w:sz w:val="21"/>
                      <w:szCs w:val="21"/>
                      <w:lang w:val="en-US" w:eastAsia="zh-CN" w:bidi="ar"/>
                    </w:rPr>
                    <w:t>）、中煤区（4500m</w:t>
                  </w:r>
                  <w:r>
                    <w:rPr>
                      <w:rFonts w:hint="eastAsia" w:ascii="Times New Roman" w:hAnsi="Times New Roman" w:cs="Times New Roman"/>
                      <w:color w:val="auto"/>
                      <w:sz w:val="21"/>
                      <w:szCs w:val="21"/>
                      <w:vertAlign w:val="superscript"/>
                      <w:lang w:val="en-US" w:eastAsia="zh-CN" w:bidi="ar"/>
                    </w:rPr>
                    <w:t>2</w:t>
                  </w:r>
                  <w:r>
                    <w:rPr>
                      <w:rFonts w:hint="eastAsia" w:ascii="Times New Roman" w:hAnsi="Times New Roman" w:cs="Times New Roman"/>
                      <w:color w:val="auto"/>
                      <w:sz w:val="21"/>
                      <w:szCs w:val="21"/>
                      <w:lang w:val="en-US" w:eastAsia="zh-CN" w:bidi="ar"/>
                    </w:rPr>
                    <w:t>）、煤泥区（4147.8m</w:t>
                  </w:r>
                  <w:r>
                    <w:rPr>
                      <w:rFonts w:hint="eastAsia" w:ascii="Times New Roman" w:hAnsi="Times New Roman" w:cs="Times New Roman"/>
                      <w:color w:val="auto"/>
                      <w:sz w:val="21"/>
                      <w:szCs w:val="21"/>
                      <w:vertAlign w:val="superscript"/>
                      <w:lang w:val="en-US" w:eastAsia="zh-CN" w:bidi="ar"/>
                    </w:rPr>
                    <w:t>2</w:t>
                  </w:r>
                  <w:r>
                    <w:rPr>
                      <w:rFonts w:hint="eastAsia" w:ascii="Times New Roman" w:hAnsi="Times New Roman" w:cs="Times New Roman"/>
                      <w:color w:val="auto"/>
                      <w:sz w:val="21"/>
                      <w:szCs w:val="21"/>
                      <w:lang w:val="en-US" w:eastAsia="zh-CN" w:bidi="ar"/>
                    </w:rPr>
                    <w:t>）；2#区域分为原煤区（6815m</w:t>
                  </w:r>
                  <w:r>
                    <w:rPr>
                      <w:rFonts w:hint="eastAsia" w:ascii="Times New Roman" w:hAnsi="Times New Roman" w:cs="Times New Roman"/>
                      <w:color w:val="auto"/>
                      <w:sz w:val="21"/>
                      <w:szCs w:val="21"/>
                      <w:vertAlign w:val="superscript"/>
                      <w:lang w:val="en-US" w:eastAsia="zh-CN" w:bidi="ar"/>
                    </w:rPr>
                    <w:t>2</w:t>
                  </w:r>
                  <w:r>
                    <w:rPr>
                      <w:rFonts w:hint="eastAsia" w:ascii="Times New Roman" w:hAnsi="Times New Roman" w:cs="Times New Roman"/>
                      <w:color w:val="auto"/>
                      <w:sz w:val="21"/>
                      <w:szCs w:val="21"/>
                      <w:lang w:val="en-US" w:eastAsia="zh-CN" w:bidi="ar"/>
                    </w:rPr>
                    <w:t>）、矸石区（3407m</w:t>
                  </w:r>
                  <w:r>
                    <w:rPr>
                      <w:rFonts w:hint="eastAsia" w:ascii="Times New Roman" w:hAnsi="Times New Roman" w:cs="Times New Roman"/>
                      <w:color w:val="auto"/>
                      <w:sz w:val="21"/>
                      <w:szCs w:val="21"/>
                      <w:vertAlign w:val="superscript"/>
                      <w:lang w:val="en-US" w:eastAsia="zh-CN" w:bidi="ar"/>
                    </w:rPr>
                    <w:t>2</w:t>
                  </w:r>
                  <w:r>
                    <w:rPr>
                      <w:rFonts w:hint="eastAsia" w:ascii="Times New Roman" w:hAnsi="Times New Roman" w:cs="Times New Roman"/>
                      <w:color w:val="auto"/>
                      <w:sz w:val="21"/>
                      <w:szCs w:val="21"/>
                      <w:lang w:val="en-US" w:eastAsia="zh-CN" w:bidi="ar"/>
                    </w:rPr>
                    <w:t>），</w:t>
                  </w:r>
                  <w:r>
                    <w:rPr>
                      <w:rFonts w:hint="eastAsia" w:ascii="Times New Roman" w:hAnsi="Times New Roman" w:eastAsia="宋体" w:cs="Times New Roman"/>
                      <w:color w:val="auto"/>
                      <w:sz w:val="21"/>
                      <w:szCs w:val="21"/>
                      <w:lang w:val="en-US" w:eastAsia="zh-CN" w:bidi="ar"/>
                    </w:rPr>
                    <w:t>详细平面布置见附图3</w:t>
                  </w:r>
                  <w:r>
                    <w:rPr>
                      <w:rFonts w:hint="default" w:ascii="Times New Roman" w:hAnsi="Times New Roman" w:eastAsia="宋体" w:cs="Times New Roman"/>
                      <w:color w:val="auto"/>
                      <w:sz w:val="21"/>
                      <w:szCs w:val="21"/>
                      <w:vertAlign w:val="baseline"/>
                      <w:lang w:val="en-US" w:eastAsia="zh-CN"/>
                    </w:rPr>
                    <w:t>。</w:t>
                  </w:r>
                </w:p>
              </w:tc>
              <w:tc>
                <w:tcPr>
                  <w:tcW w:w="643" w:type="dxa"/>
                  <w:vAlign w:val="center"/>
                </w:tcPr>
                <w:p w14:paraId="76C07C1F">
                  <w:pPr>
                    <w:jc w:val="center"/>
                    <w:rPr>
                      <w:rFonts w:hint="default" w:ascii="Times New Roman" w:hAnsi="Times New Roman" w:eastAsia="宋体" w:cs="Times New Roman"/>
                      <w:sz w:val="21"/>
                      <w:szCs w:val="21"/>
                      <w:lang w:val="en-US" w:eastAsia="zh-CN"/>
                    </w:rPr>
                  </w:pPr>
                  <w:r>
                    <w:rPr>
                      <w:rFonts w:hint="eastAsia"/>
                      <w:lang w:val="en-US" w:eastAsia="zh-CN"/>
                    </w:rPr>
                    <w:t>未批先建</w:t>
                  </w:r>
                </w:p>
              </w:tc>
            </w:tr>
            <w:tr w14:paraId="76628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430" w:type="dxa"/>
                  <w:vMerge w:val="restart"/>
                  <w:vAlign w:val="center"/>
                </w:tcPr>
                <w:p w14:paraId="4594D283">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辅助工程</w:t>
                  </w:r>
                </w:p>
              </w:tc>
              <w:tc>
                <w:tcPr>
                  <w:tcW w:w="1175" w:type="dxa"/>
                  <w:vAlign w:val="center"/>
                </w:tcPr>
                <w:p w14:paraId="56A7988A">
                  <w:pPr>
                    <w:adjustRightInd w:val="0"/>
                    <w:snapToGrid w:val="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办公区</w:t>
                  </w:r>
                </w:p>
              </w:tc>
              <w:tc>
                <w:tcPr>
                  <w:tcW w:w="7305" w:type="dxa"/>
                  <w:gridSpan w:val="2"/>
                  <w:vAlign w:val="center"/>
                </w:tcPr>
                <w:p w14:paraId="06EC0A66">
                  <w:pPr>
                    <w:adjustRightInd w:val="0"/>
                    <w:snapToGrid w:val="0"/>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lang w:val="en-US" w:eastAsia="zh-CN"/>
                    </w:rPr>
                    <w:t>办公区采用彩钢结构，建筑面积1240.13m</w:t>
                  </w:r>
                  <w:r>
                    <w:rPr>
                      <w:rFonts w:hint="eastAsia" w:ascii="Times New Roman" w:hAnsi="Times New Roman" w:cs="Times New Roman"/>
                      <w:color w:val="auto"/>
                      <w:sz w:val="21"/>
                      <w:szCs w:val="21"/>
                      <w:vertAlign w:val="superscript"/>
                      <w:lang w:val="en-US" w:eastAsia="zh-CN"/>
                    </w:rPr>
                    <w:t>2</w:t>
                  </w:r>
                </w:p>
              </w:tc>
              <w:tc>
                <w:tcPr>
                  <w:tcW w:w="643" w:type="dxa"/>
                  <w:vAlign w:val="center"/>
                </w:tcPr>
                <w:p w14:paraId="37A49698">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改扩建</w:t>
                  </w:r>
                </w:p>
              </w:tc>
            </w:tr>
            <w:tr w14:paraId="558C2B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430" w:type="dxa"/>
                  <w:vMerge w:val="continue"/>
                  <w:vAlign w:val="center"/>
                </w:tcPr>
                <w:p w14:paraId="1C05DF5D">
                  <w:pPr>
                    <w:adjustRightInd w:val="0"/>
                    <w:snapToGrid w:val="0"/>
                    <w:jc w:val="center"/>
                    <w:rPr>
                      <w:rFonts w:ascii="Times New Roman" w:hAnsi="Times New Roman" w:cs="Times New Roman"/>
                      <w:sz w:val="21"/>
                      <w:szCs w:val="21"/>
                    </w:rPr>
                  </w:pPr>
                </w:p>
              </w:tc>
              <w:tc>
                <w:tcPr>
                  <w:tcW w:w="1175" w:type="dxa"/>
                  <w:vAlign w:val="center"/>
                </w:tcPr>
                <w:p w14:paraId="45917A00">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地磅房</w:t>
                  </w:r>
                </w:p>
              </w:tc>
              <w:tc>
                <w:tcPr>
                  <w:tcW w:w="7305" w:type="dxa"/>
                  <w:gridSpan w:val="2"/>
                  <w:vAlign w:val="center"/>
                </w:tcPr>
                <w:p w14:paraId="71D6B23F">
                  <w:pPr>
                    <w:adjustRightInd w:val="0"/>
                    <w:snapToGrid w:val="0"/>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cs="Times New Roman"/>
                      <w:sz w:val="21"/>
                      <w:szCs w:val="21"/>
                      <w:lang w:val="en-US" w:eastAsia="zh-CN"/>
                    </w:rPr>
                    <w:t>砖混结构，建筑面积20m</w:t>
                  </w:r>
                  <w:r>
                    <w:rPr>
                      <w:rFonts w:hint="eastAsia" w:ascii="Times New Roman" w:hAnsi="Times New Roman" w:cs="Times New Roman"/>
                      <w:sz w:val="21"/>
                      <w:szCs w:val="21"/>
                      <w:vertAlign w:val="superscript"/>
                      <w:lang w:val="en-US" w:eastAsia="zh-CN"/>
                    </w:rPr>
                    <w:t>2</w:t>
                  </w:r>
                  <w:r>
                    <w:rPr>
                      <w:rFonts w:hint="eastAsia" w:ascii="Times New Roman" w:hAnsi="Times New Roman" w:cs="Times New Roman"/>
                      <w:sz w:val="21"/>
                      <w:szCs w:val="21"/>
                      <w:vertAlign w:val="baseline"/>
                      <w:lang w:val="en-US" w:eastAsia="zh-CN"/>
                    </w:rPr>
                    <w:t>，位于厂区门口位置（原有工程依托原有）</w:t>
                  </w:r>
                </w:p>
              </w:tc>
              <w:tc>
                <w:tcPr>
                  <w:tcW w:w="643" w:type="dxa"/>
                  <w:vAlign w:val="center"/>
                </w:tcPr>
                <w:p w14:paraId="16F22900">
                  <w:pPr>
                    <w:jc w:val="center"/>
                    <w:rPr>
                      <w:rFonts w:ascii="Times New Roman" w:hAnsi="Times New Roman" w:cs="Times New Roman"/>
                      <w:sz w:val="21"/>
                      <w:szCs w:val="21"/>
                      <w:lang w:val="en-US"/>
                    </w:rPr>
                  </w:pPr>
                  <w:r>
                    <w:rPr>
                      <w:rFonts w:hint="eastAsia" w:ascii="Times New Roman" w:hAnsi="Times New Roman" w:cs="Times New Roman"/>
                      <w:sz w:val="21"/>
                      <w:szCs w:val="21"/>
                      <w:lang w:val="en-US" w:eastAsia="zh-CN"/>
                    </w:rPr>
                    <w:t>依托原有</w:t>
                  </w:r>
                </w:p>
              </w:tc>
            </w:tr>
            <w:tr w14:paraId="0BA624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430" w:type="dxa"/>
                  <w:vMerge w:val="restart"/>
                  <w:vAlign w:val="center"/>
                </w:tcPr>
                <w:p w14:paraId="5FA347C1">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公用工程</w:t>
                  </w:r>
                </w:p>
              </w:tc>
              <w:tc>
                <w:tcPr>
                  <w:tcW w:w="1175" w:type="dxa"/>
                  <w:vAlign w:val="center"/>
                </w:tcPr>
                <w:p w14:paraId="0A9622BC">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供电</w:t>
                  </w:r>
                </w:p>
              </w:tc>
              <w:tc>
                <w:tcPr>
                  <w:tcW w:w="7305" w:type="dxa"/>
                  <w:gridSpan w:val="2"/>
                  <w:vAlign w:val="center"/>
                </w:tcPr>
                <w:p w14:paraId="7293FB79">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由</w:t>
                  </w:r>
                  <w:r>
                    <w:rPr>
                      <w:rFonts w:hint="eastAsia" w:ascii="Times New Roman" w:hAnsi="Times New Roman" w:cs="Times New Roman"/>
                      <w:sz w:val="21"/>
                      <w:szCs w:val="21"/>
                      <w:lang w:val="en-US" w:eastAsia="zh-CN"/>
                    </w:rPr>
                    <w:t>札萨克镇供电系统提供，年用电量460.84万kWh</w:t>
                  </w:r>
                  <w:r>
                    <w:rPr>
                      <w:rFonts w:ascii="Times New Roman" w:hAnsi="Times New Roman" w:cs="Times New Roman"/>
                      <w:sz w:val="21"/>
                      <w:szCs w:val="21"/>
                    </w:rPr>
                    <w:t>。</w:t>
                  </w:r>
                </w:p>
              </w:tc>
              <w:tc>
                <w:tcPr>
                  <w:tcW w:w="643" w:type="dxa"/>
                  <w:vAlign w:val="center"/>
                </w:tcPr>
                <w:p w14:paraId="752E6124">
                  <w:pPr>
                    <w:jc w:val="center"/>
                    <w:rPr>
                      <w:rFonts w:ascii="Times New Roman" w:hAnsi="Times New Roman" w:cs="Times New Roman"/>
                      <w:sz w:val="21"/>
                      <w:szCs w:val="21"/>
                      <w:lang w:val="en-US"/>
                    </w:rPr>
                  </w:pPr>
                  <w:r>
                    <w:rPr>
                      <w:rFonts w:hint="eastAsia" w:ascii="Times New Roman" w:hAnsi="Times New Roman" w:cs="Times New Roman"/>
                      <w:sz w:val="21"/>
                      <w:szCs w:val="21"/>
                      <w:lang w:val="en-US" w:eastAsia="zh-CN"/>
                    </w:rPr>
                    <w:t>依托原有</w:t>
                  </w:r>
                </w:p>
              </w:tc>
            </w:tr>
            <w:tr w14:paraId="01F84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430" w:type="dxa"/>
                  <w:vMerge w:val="continue"/>
                  <w:vAlign w:val="center"/>
                </w:tcPr>
                <w:p w14:paraId="3E22F83D">
                  <w:pPr>
                    <w:adjustRightInd w:val="0"/>
                    <w:snapToGrid w:val="0"/>
                    <w:jc w:val="center"/>
                    <w:rPr>
                      <w:rFonts w:ascii="Times New Roman" w:hAnsi="Times New Roman" w:cs="Times New Roman"/>
                      <w:sz w:val="21"/>
                      <w:szCs w:val="21"/>
                    </w:rPr>
                  </w:pPr>
                </w:p>
              </w:tc>
              <w:tc>
                <w:tcPr>
                  <w:tcW w:w="1175" w:type="dxa"/>
                  <w:vAlign w:val="center"/>
                </w:tcPr>
                <w:p w14:paraId="3395D355">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供水</w:t>
                  </w:r>
                </w:p>
              </w:tc>
              <w:tc>
                <w:tcPr>
                  <w:tcW w:w="7305" w:type="dxa"/>
                  <w:gridSpan w:val="2"/>
                  <w:vAlign w:val="center"/>
                </w:tcPr>
                <w:p w14:paraId="7486CD15">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color w:val="auto"/>
                      <w:sz w:val="21"/>
                      <w:szCs w:val="21"/>
                      <w:lang w:val="en-US" w:eastAsia="zh-CN"/>
                    </w:rPr>
                    <w:t>生产用水为鄂尔多斯市圣圆水务集团有限责任公司提供的经处理达标后的矿井疏干水提供，生活用水由伊金霍洛旗圣圆自来水有限公司提供。</w:t>
                  </w:r>
                </w:p>
              </w:tc>
              <w:tc>
                <w:tcPr>
                  <w:tcW w:w="643" w:type="dxa"/>
                  <w:vAlign w:val="center"/>
                </w:tcPr>
                <w:p w14:paraId="6D7F7C6B">
                  <w:pPr>
                    <w:jc w:val="center"/>
                    <w:rPr>
                      <w:rFonts w:ascii="Times New Roman" w:hAnsi="Times New Roman" w:cs="Times New Roman"/>
                      <w:sz w:val="21"/>
                      <w:szCs w:val="21"/>
                      <w:lang w:val="en-US"/>
                    </w:rPr>
                  </w:pPr>
                  <w:r>
                    <w:rPr>
                      <w:rFonts w:hint="eastAsia" w:ascii="Times New Roman" w:hAnsi="Times New Roman" w:cs="Times New Roman"/>
                      <w:sz w:val="21"/>
                      <w:szCs w:val="21"/>
                      <w:lang w:val="en-US" w:eastAsia="zh-CN"/>
                    </w:rPr>
                    <w:t>依托原有</w:t>
                  </w:r>
                </w:p>
              </w:tc>
            </w:tr>
            <w:tr w14:paraId="3705D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430" w:type="dxa"/>
                  <w:vMerge w:val="continue"/>
                  <w:vAlign w:val="center"/>
                </w:tcPr>
                <w:p w14:paraId="73FCE1C0">
                  <w:pPr>
                    <w:adjustRightInd w:val="0"/>
                    <w:snapToGrid w:val="0"/>
                    <w:jc w:val="center"/>
                    <w:rPr>
                      <w:rFonts w:ascii="Times New Roman" w:hAnsi="Times New Roman" w:cs="Times New Roman"/>
                      <w:sz w:val="21"/>
                      <w:szCs w:val="21"/>
                    </w:rPr>
                  </w:pPr>
                </w:p>
              </w:tc>
              <w:tc>
                <w:tcPr>
                  <w:tcW w:w="1175" w:type="dxa"/>
                  <w:vAlign w:val="center"/>
                </w:tcPr>
                <w:p w14:paraId="0E0D9756">
                  <w:pPr>
                    <w:jc w:val="center"/>
                    <w:rPr>
                      <w:rFonts w:ascii="Times New Roman" w:hAnsi="Times New Roman" w:cs="Times New Roman"/>
                      <w:sz w:val="21"/>
                      <w:szCs w:val="21"/>
                    </w:rPr>
                  </w:pPr>
                  <w:r>
                    <w:rPr>
                      <w:rFonts w:ascii="Times New Roman" w:hAnsi="Times New Roman" w:cs="Times New Roman"/>
                      <w:sz w:val="21"/>
                      <w:szCs w:val="21"/>
                    </w:rPr>
                    <w:t>排水</w:t>
                  </w:r>
                </w:p>
              </w:tc>
              <w:tc>
                <w:tcPr>
                  <w:tcW w:w="7305" w:type="dxa"/>
                  <w:gridSpan w:val="2"/>
                  <w:vAlign w:val="center"/>
                </w:tcPr>
                <w:p w14:paraId="5F4F21F2">
                  <w:pPr>
                    <w:keepNext/>
                    <w:keepLines/>
                    <w:jc w:val="center"/>
                    <w:outlineLvl w:val="1"/>
                    <w:rPr>
                      <w:rFonts w:ascii="Times New Roman" w:hAnsi="Times New Roman" w:cs="Times New Roman"/>
                      <w:bCs/>
                      <w:color w:val="auto"/>
                      <w:sz w:val="21"/>
                      <w:szCs w:val="21"/>
                    </w:rPr>
                  </w:pPr>
                  <w:r>
                    <w:rPr>
                      <w:rFonts w:hint="eastAsia" w:ascii="Times New Roman" w:hAnsi="Times New Roman" w:cs="Times New Roman"/>
                      <w:bCs/>
                      <w:color w:val="auto"/>
                      <w:sz w:val="21"/>
                      <w:szCs w:val="21"/>
                      <w:lang w:val="en-US" w:eastAsia="zh-CN"/>
                    </w:rPr>
                    <w:t>设置2台煤泥压滤机，2台一用一备浓缩机</w:t>
                  </w:r>
                  <w:r>
                    <w:rPr>
                      <w:rFonts w:ascii="Times New Roman" w:hAnsi="Times New Roman" w:cs="Times New Roman"/>
                      <w:bCs/>
                      <w:color w:val="auto"/>
                      <w:sz w:val="21"/>
                      <w:szCs w:val="21"/>
                    </w:rPr>
                    <w:t>。</w:t>
                  </w:r>
                </w:p>
              </w:tc>
              <w:tc>
                <w:tcPr>
                  <w:tcW w:w="643" w:type="dxa"/>
                  <w:vAlign w:val="center"/>
                </w:tcPr>
                <w:p w14:paraId="2B8A7CE3">
                  <w:pPr>
                    <w:jc w:val="center"/>
                    <w:rPr>
                      <w:rFonts w:ascii="Times New Roman" w:hAnsi="Times New Roman" w:cs="Times New Roman"/>
                      <w:sz w:val="21"/>
                      <w:szCs w:val="21"/>
                      <w:lang w:val="en-US"/>
                    </w:rPr>
                  </w:pPr>
                  <w:r>
                    <w:rPr>
                      <w:rFonts w:hint="eastAsia" w:ascii="Times New Roman" w:hAnsi="Times New Roman" w:cs="Times New Roman"/>
                      <w:sz w:val="21"/>
                      <w:szCs w:val="21"/>
                      <w:lang w:val="en-US" w:eastAsia="zh-CN"/>
                    </w:rPr>
                    <w:t>依托原有</w:t>
                  </w:r>
                </w:p>
              </w:tc>
            </w:tr>
            <w:tr w14:paraId="0BF8F9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430" w:type="dxa"/>
                  <w:vMerge w:val="continue"/>
                  <w:vAlign w:val="center"/>
                </w:tcPr>
                <w:p w14:paraId="36783A5F">
                  <w:pPr>
                    <w:adjustRightInd w:val="0"/>
                    <w:snapToGrid w:val="0"/>
                    <w:jc w:val="center"/>
                    <w:rPr>
                      <w:rFonts w:ascii="Times New Roman" w:hAnsi="Times New Roman" w:cs="Times New Roman"/>
                      <w:sz w:val="21"/>
                      <w:szCs w:val="21"/>
                    </w:rPr>
                  </w:pPr>
                </w:p>
              </w:tc>
              <w:tc>
                <w:tcPr>
                  <w:tcW w:w="1175" w:type="dxa"/>
                  <w:vAlign w:val="center"/>
                </w:tcPr>
                <w:p w14:paraId="391FADD0">
                  <w:pPr>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rPr>
                    <w:t>供</w:t>
                  </w:r>
                  <w:r>
                    <w:rPr>
                      <w:rFonts w:hint="eastAsia" w:ascii="Times New Roman" w:hAnsi="Times New Roman" w:cs="Times New Roman"/>
                      <w:sz w:val="21"/>
                      <w:szCs w:val="21"/>
                      <w:lang w:val="en-US" w:eastAsia="zh-CN"/>
                    </w:rPr>
                    <w:t>热</w:t>
                  </w:r>
                </w:p>
              </w:tc>
              <w:tc>
                <w:tcPr>
                  <w:tcW w:w="7305" w:type="dxa"/>
                  <w:gridSpan w:val="2"/>
                  <w:vAlign w:val="center"/>
                </w:tcPr>
                <w:p w14:paraId="45450029">
                  <w:pPr>
                    <w:widowControl/>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主厂房及办公区供暖各由一台0.2t/h电锅炉提供，锅炉满足本项目采暖需求。</w:t>
                  </w:r>
                </w:p>
              </w:tc>
              <w:tc>
                <w:tcPr>
                  <w:tcW w:w="643" w:type="dxa"/>
                  <w:vAlign w:val="center"/>
                </w:tcPr>
                <w:p w14:paraId="6AE3A473">
                  <w:pPr>
                    <w:jc w:val="center"/>
                    <w:rPr>
                      <w:rFonts w:ascii="Times New Roman" w:hAnsi="Times New Roman" w:cs="Times New Roman"/>
                      <w:sz w:val="21"/>
                      <w:szCs w:val="21"/>
                      <w:lang w:val="en-US"/>
                    </w:rPr>
                  </w:pPr>
                  <w:r>
                    <w:rPr>
                      <w:rFonts w:hint="eastAsia" w:ascii="Times New Roman" w:hAnsi="Times New Roman" w:cs="Times New Roman"/>
                      <w:sz w:val="21"/>
                      <w:szCs w:val="21"/>
                      <w:lang w:val="en-US" w:eastAsia="zh-CN"/>
                    </w:rPr>
                    <w:t>依托原有</w:t>
                  </w:r>
                </w:p>
              </w:tc>
            </w:tr>
            <w:tr w14:paraId="697560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71" w:hRule="atLeast"/>
                <w:jc w:val="center"/>
              </w:trPr>
              <w:tc>
                <w:tcPr>
                  <w:tcW w:w="430" w:type="dxa"/>
                  <w:vMerge w:val="restart"/>
                  <w:vAlign w:val="center"/>
                </w:tcPr>
                <w:p w14:paraId="44363111">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环保工程</w:t>
                  </w:r>
                </w:p>
              </w:tc>
              <w:tc>
                <w:tcPr>
                  <w:tcW w:w="1175" w:type="dxa"/>
                  <w:vMerge w:val="restart"/>
                  <w:vAlign w:val="center"/>
                </w:tcPr>
                <w:p w14:paraId="62EA0BF1">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废气治理</w:t>
                  </w:r>
                </w:p>
              </w:tc>
              <w:tc>
                <w:tcPr>
                  <w:tcW w:w="1665" w:type="dxa"/>
                  <w:vAlign w:val="center"/>
                </w:tcPr>
                <w:p w14:paraId="441507B0">
                  <w:pPr>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储煤棚无组织废气</w:t>
                  </w:r>
                </w:p>
              </w:tc>
              <w:tc>
                <w:tcPr>
                  <w:tcW w:w="5640" w:type="dxa"/>
                  <w:vAlign w:val="center"/>
                </w:tcPr>
                <w:p w14:paraId="6ADB8523">
                  <w:pPr>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全封闭+洒水抑尘</w:t>
                  </w:r>
                </w:p>
              </w:tc>
              <w:tc>
                <w:tcPr>
                  <w:tcW w:w="643" w:type="dxa"/>
                  <w:vAlign w:val="center"/>
                </w:tcPr>
                <w:p w14:paraId="3A90E749">
                  <w:pPr>
                    <w:adjustRightInd w:val="0"/>
                    <w:snapToGrid w:val="0"/>
                    <w:jc w:val="center"/>
                    <w:rPr>
                      <w:rFonts w:ascii="Times New Roman" w:hAnsi="Times New Roman" w:cs="Times New Roman"/>
                      <w:bCs/>
                      <w:sz w:val="21"/>
                      <w:szCs w:val="21"/>
                    </w:rPr>
                  </w:pPr>
                  <w:r>
                    <w:rPr>
                      <w:rFonts w:hint="eastAsia" w:ascii="Times New Roman" w:hAnsi="Times New Roman" w:cs="Times New Roman"/>
                      <w:bCs/>
                      <w:sz w:val="21"/>
                      <w:szCs w:val="21"/>
                      <w:lang w:val="en-US" w:eastAsia="zh-CN"/>
                    </w:rPr>
                    <w:t>依托原有</w:t>
                  </w:r>
                </w:p>
              </w:tc>
            </w:tr>
            <w:tr w14:paraId="1E611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71" w:hRule="atLeast"/>
                <w:jc w:val="center"/>
              </w:trPr>
              <w:tc>
                <w:tcPr>
                  <w:tcW w:w="430" w:type="dxa"/>
                  <w:vMerge w:val="continue"/>
                  <w:vAlign w:val="center"/>
                </w:tcPr>
                <w:p w14:paraId="51AE59F8">
                  <w:pPr>
                    <w:jc w:val="center"/>
                    <w:rPr>
                      <w:rFonts w:ascii="Times New Roman" w:hAnsi="Times New Roman" w:cs="Times New Roman"/>
                      <w:bCs/>
                      <w:sz w:val="21"/>
                      <w:szCs w:val="21"/>
                      <w:lang w:val="en-US"/>
                    </w:rPr>
                  </w:pPr>
                </w:p>
              </w:tc>
              <w:tc>
                <w:tcPr>
                  <w:tcW w:w="1175" w:type="dxa"/>
                  <w:vMerge w:val="continue"/>
                  <w:vAlign w:val="center"/>
                </w:tcPr>
                <w:p w14:paraId="79EDD4AA">
                  <w:pPr>
                    <w:jc w:val="center"/>
                    <w:rPr>
                      <w:rFonts w:ascii="Times New Roman" w:hAnsi="Times New Roman" w:cs="Times New Roman"/>
                      <w:bCs/>
                      <w:sz w:val="21"/>
                      <w:szCs w:val="21"/>
                      <w:lang w:val="en-US"/>
                    </w:rPr>
                  </w:pPr>
                </w:p>
              </w:tc>
              <w:tc>
                <w:tcPr>
                  <w:tcW w:w="1665" w:type="dxa"/>
                  <w:vAlign w:val="center"/>
                </w:tcPr>
                <w:p w14:paraId="510E828F">
                  <w:pPr>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汽车运输</w:t>
                  </w:r>
                </w:p>
              </w:tc>
              <w:tc>
                <w:tcPr>
                  <w:tcW w:w="5640" w:type="dxa"/>
                  <w:vAlign w:val="center"/>
                </w:tcPr>
                <w:p w14:paraId="30AB0E44">
                  <w:pPr>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cs="Times New Roman"/>
                      <w:bCs/>
                      <w:color w:val="auto"/>
                      <w:sz w:val="21"/>
                      <w:szCs w:val="21"/>
                      <w:lang w:val="en-US" w:eastAsia="zh-CN"/>
                    </w:rPr>
                    <w:t>洒水抑尘+运输车辆加盖篷布</w:t>
                  </w:r>
                </w:p>
              </w:tc>
              <w:tc>
                <w:tcPr>
                  <w:tcW w:w="643" w:type="dxa"/>
                  <w:vAlign w:val="center"/>
                </w:tcPr>
                <w:p w14:paraId="55B50851">
                  <w:pPr>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依托现有</w:t>
                  </w:r>
                </w:p>
              </w:tc>
            </w:tr>
            <w:tr w14:paraId="3E46E5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1" w:hRule="atLeast"/>
                <w:jc w:val="center"/>
              </w:trPr>
              <w:tc>
                <w:tcPr>
                  <w:tcW w:w="430" w:type="dxa"/>
                  <w:vMerge w:val="continue"/>
                  <w:vAlign w:val="center"/>
                </w:tcPr>
                <w:p w14:paraId="0A980596">
                  <w:pPr>
                    <w:adjustRightInd w:val="0"/>
                    <w:snapToGrid w:val="0"/>
                    <w:jc w:val="center"/>
                    <w:rPr>
                      <w:rFonts w:ascii="Times New Roman" w:hAnsi="Times New Roman" w:cs="Times New Roman"/>
                      <w:sz w:val="21"/>
                      <w:szCs w:val="21"/>
                    </w:rPr>
                  </w:pPr>
                </w:p>
              </w:tc>
              <w:tc>
                <w:tcPr>
                  <w:tcW w:w="1175" w:type="dxa"/>
                  <w:vMerge w:val="restart"/>
                  <w:vAlign w:val="center"/>
                </w:tcPr>
                <w:p w14:paraId="6D424A5A">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废水治理</w:t>
                  </w:r>
                </w:p>
              </w:tc>
              <w:tc>
                <w:tcPr>
                  <w:tcW w:w="1665" w:type="dxa"/>
                  <w:vAlign w:val="center"/>
                </w:tcPr>
                <w:p w14:paraId="3FC032CB">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生产废水</w:t>
                  </w:r>
                </w:p>
              </w:tc>
              <w:tc>
                <w:tcPr>
                  <w:tcW w:w="5640" w:type="dxa"/>
                  <w:vAlign w:val="center"/>
                </w:tcPr>
                <w:p w14:paraId="0624FBE4">
                  <w:pPr>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地面冲洗水经过地漏收集回用于洗煤工序；</w:t>
                  </w:r>
                </w:p>
                <w:p w14:paraId="109EBFDC">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煤泥水经浓缩后回用于洗煤工序。</w:t>
                  </w:r>
                </w:p>
              </w:tc>
              <w:tc>
                <w:tcPr>
                  <w:tcW w:w="643" w:type="dxa"/>
                  <w:vAlign w:val="center"/>
                </w:tcPr>
                <w:p w14:paraId="44D67030">
                  <w:pPr>
                    <w:adjustRightInd w:val="0"/>
                    <w:snapToGrid w:val="0"/>
                    <w:jc w:val="center"/>
                    <w:rPr>
                      <w:rFonts w:ascii="Times New Roman" w:hAnsi="Times New Roman" w:cs="Times New Roman"/>
                      <w:bCs/>
                      <w:sz w:val="21"/>
                      <w:szCs w:val="21"/>
                      <w:lang w:val="en-US"/>
                    </w:rPr>
                  </w:pPr>
                  <w:r>
                    <w:rPr>
                      <w:rFonts w:hint="eastAsia" w:ascii="Times New Roman" w:hAnsi="Times New Roman" w:cs="Times New Roman"/>
                      <w:sz w:val="21"/>
                      <w:szCs w:val="21"/>
                      <w:lang w:val="en-US" w:eastAsia="zh-CN"/>
                    </w:rPr>
                    <w:t>依托原有</w:t>
                  </w:r>
                </w:p>
              </w:tc>
            </w:tr>
            <w:tr w14:paraId="219AAC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1" w:hRule="atLeast"/>
                <w:jc w:val="center"/>
              </w:trPr>
              <w:tc>
                <w:tcPr>
                  <w:tcW w:w="430" w:type="dxa"/>
                  <w:vMerge w:val="continue"/>
                  <w:vAlign w:val="center"/>
                </w:tcPr>
                <w:p w14:paraId="7088BF12">
                  <w:pPr>
                    <w:adjustRightInd w:val="0"/>
                    <w:snapToGrid w:val="0"/>
                    <w:jc w:val="center"/>
                    <w:rPr>
                      <w:rFonts w:ascii="Times New Roman" w:hAnsi="Times New Roman" w:cs="Times New Roman"/>
                      <w:sz w:val="21"/>
                      <w:szCs w:val="21"/>
                    </w:rPr>
                  </w:pPr>
                </w:p>
              </w:tc>
              <w:tc>
                <w:tcPr>
                  <w:tcW w:w="1175" w:type="dxa"/>
                  <w:vMerge w:val="continue"/>
                  <w:vAlign w:val="center"/>
                </w:tcPr>
                <w:p w14:paraId="48197CCF">
                  <w:pPr>
                    <w:adjustRightInd w:val="0"/>
                    <w:snapToGrid w:val="0"/>
                    <w:jc w:val="center"/>
                    <w:rPr>
                      <w:rFonts w:ascii="Times New Roman" w:hAnsi="Times New Roman" w:cs="Times New Roman"/>
                      <w:sz w:val="21"/>
                      <w:szCs w:val="21"/>
                    </w:rPr>
                  </w:pPr>
                </w:p>
              </w:tc>
              <w:tc>
                <w:tcPr>
                  <w:tcW w:w="1665" w:type="dxa"/>
                  <w:vAlign w:val="center"/>
                </w:tcPr>
                <w:p w14:paraId="7D20AF43">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初期雨水</w:t>
                  </w:r>
                </w:p>
              </w:tc>
              <w:tc>
                <w:tcPr>
                  <w:tcW w:w="5640" w:type="dxa"/>
                  <w:vAlign w:val="center"/>
                </w:tcPr>
                <w:p w14:paraId="7D4ED11F">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厂区地势最低处设200m</w:t>
                  </w:r>
                  <w:r>
                    <w:rPr>
                      <w:rFonts w:hint="eastAsia" w:ascii="Times New Roman" w:hAnsi="Times New Roman" w:cs="Times New Roman"/>
                      <w:sz w:val="21"/>
                      <w:szCs w:val="21"/>
                      <w:vertAlign w:val="superscript"/>
                      <w:lang w:val="en-US" w:eastAsia="zh-CN"/>
                    </w:rPr>
                    <w:t>3</w:t>
                  </w:r>
                  <w:r>
                    <w:rPr>
                      <w:rFonts w:hint="eastAsia" w:ascii="Times New Roman" w:hAnsi="Times New Roman" w:cs="Times New Roman"/>
                      <w:sz w:val="21"/>
                      <w:szCs w:val="21"/>
                      <w:lang w:val="en-US" w:eastAsia="zh-CN"/>
                    </w:rPr>
                    <w:t>初期雨水收集池，对初期雨水进行收集，经沉淀后，用于煤场洒水抑尘。</w:t>
                  </w:r>
                </w:p>
              </w:tc>
              <w:tc>
                <w:tcPr>
                  <w:tcW w:w="643" w:type="dxa"/>
                  <w:vAlign w:val="center"/>
                </w:tcPr>
                <w:p w14:paraId="28615A89">
                  <w:pPr>
                    <w:adjustRightInd w:val="0"/>
                    <w:snapToGrid w:val="0"/>
                    <w:jc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sz w:val="21"/>
                      <w:szCs w:val="21"/>
                      <w:lang w:val="en-US" w:eastAsia="zh-CN"/>
                    </w:rPr>
                    <w:t>依托原有</w:t>
                  </w:r>
                </w:p>
              </w:tc>
            </w:tr>
            <w:tr w14:paraId="4867B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51" w:hRule="atLeast"/>
                <w:jc w:val="center"/>
              </w:trPr>
              <w:tc>
                <w:tcPr>
                  <w:tcW w:w="430" w:type="dxa"/>
                  <w:vMerge w:val="continue"/>
                  <w:vAlign w:val="center"/>
                </w:tcPr>
                <w:p w14:paraId="70A26B12">
                  <w:pPr>
                    <w:adjustRightInd w:val="0"/>
                    <w:snapToGrid w:val="0"/>
                    <w:jc w:val="center"/>
                    <w:rPr>
                      <w:rFonts w:ascii="Times New Roman" w:hAnsi="Times New Roman" w:cs="Times New Roman"/>
                      <w:sz w:val="21"/>
                      <w:szCs w:val="21"/>
                    </w:rPr>
                  </w:pPr>
                </w:p>
              </w:tc>
              <w:tc>
                <w:tcPr>
                  <w:tcW w:w="1175" w:type="dxa"/>
                  <w:vMerge w:val="continue"/>
                  <w:vAlign w:val="center"/>
                </w:tcPr>
                <w:p w14:paraId="468AD63C">
                  <w:pPr>
                    <w:adjustRightInd w:val="0"/>
                    <w:snapToGrid w:val="0"/>
                    <w:jc w:val="center"/>
                    <w:rPr>
                      <w:rFonts w:ascii="Times New Roman" w:hAnsi="Times New Roman" w:cs="Times New Roman"/>
                      <w:sz w:val="21"/>
                      <w:szCs w:val="21"/>
                    </w:rPr>
                  </w:pPr>
                </w:p>
              </w:tc>
              <w:tc>
                <w:tcPr>
                  <w:tcW w:w="1665" w:type="dxa"/>
                  <w:vAlign w:val="center"/>
                </w:tcPr>
                <w:p w14:paraId="5C603941">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生活污水</w:t>
                  </w:r>
                </w:p>
              </w:tc>
              <w:tc>
                <w:tcPr>
                  <w:tcW w:w="5640" w:type="dxa"/>
                  <w:vAlign w:val="center"/>
                </w:tcPr>
                <w:p w14:paraId="7D755BAC">
                  <w:pPr>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生活污水选用1套WSZ-1型一体化污水处理设施（最大处理能力为10m</w:t>
                  </w:r>
                  <w:r>
                    <w:rPr>
                      <w:rFonts w:hint="eastAsia" w:ascii="Times New Roman" w:hAnsi="Times New Roman" w:cs="Times New Roman"/>
                      <w:sz w:val="21"/>
                      <w:szCs w:val="21"/>
                      <w:vertAlign w:val="superscript"/>
                      <w:lang w:val="en-US" w:eastAsia="zh-CN"/>
                    </w:rPr>
                    <w:t>3</w:t>
                  </w:r>
                  <w:r>
                    <w:rPr>
                      <w:rFonts w:hint="eastAsia" w:ascii="Times New Roman" w:hAnsi="Times New Roman" w:cs="Times New Roman"/>
                      <w:sz w:val="21"/>
                      <w:szCs w:val="21"/>
                      <w:lang w:val="en-US" w:eastAsia="zh-CN"/>
                    </w:rPr>
                    <w:t>/d），处理后回用于洗煤工序。</w:t>
                  </w:r>
                </w:p>
              </w:tc>
              <w:tc>
                <w:tcPr>
                  <w:tcW w:w="643" w:type="dxa"/>
                  <w:vAlign w:val="center"/>
                </w:tcPr>
                <w:p w14:paraId="0BB2CBB2">
                  <w:pPr>
                    <w:adjustRightInd w:val="0"/>
                    <w:snapToGrid w:val="0"/>
                    <w:jc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sz w:val="21"/>
                      <w:szCs w:val="21"/>
                      <w:lang w:val="en-US" w:eastAsia="zh-CN"/>
                    </w:rPr>
                    <w:t>依托原有</w:t>
                  </w:r>
                </w:p>
              </w:tc>
            </w:tr>
            <w:tr w14:paraId="4E912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430" w:type="dxa"/>
                  <w:vMerge w:val="continue"/>
                  <w:vAlign w:val="center"/>
                </w:tcPr>
                <w:p w14:paraId="2134E88F">
                  <w:pPr>
                    <w:adjustRightInd w:val="0"/>
                    <w:snapToGrid w:val="0"/>
                    <w:jc w:val="center"/>
                    <w:rPr>
                      <w:rFonts w:ascii="Times New Roman" w:hAnsi="Times New Roman" w:cs="Times New Roman"/>
                      <w:sz w:val="21"/>
                      <w:szCs w:val="21"/>
                    </w:rPr>
                  </w:pPr>
                </w:p>
              </w:tc>
              <w:tc>
                <w:tcPr>
                  <w:tcW w:w="1175" w:type="dxa"/>
                  <w:vMerge w:val="restart"/>
                  <w:vAlign w:val="center"/>
                </w:tcPr>
                <w:p w14:paraId="54AA2260">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固废治理</w:t>
                  </w:r>
                </w:p>
              </w:tc>
              <w:tc>
                <w:tcPr>
                  <w:tcW w:w="1665" w:type="dxa"/>
                  <w:vAlign w:val="center"/>
                </w:tcPr>
                <w:p w14:paraId="7957F9FA">
                  <w:pPr>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矸石及煤泥</w:t>
                  </w:r>
                </w:p>
              </w:tc>
              <w:tc>
                <w:tcPr>
                  <w:tcW w:w="5640" w:type="dxa"/>
                  <w:vAlign w:val="center"/>
                </w:tcPr>
                <w:p w14:paraId="66819159">
                  <w:pPr>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矸石煤泥临时储存在矸石区和煤泥区，煤泥掺入中煤外售，矸石装车运输至马泰壕煤矿临时排矸场。</w:t>
                  </w:r>
                </w:p>
              </w:tc>
              <w:tc>
                <w:tcPr>
                  <w:tcW w:w="643" w:type="dxa"/>
                  <w:vAlign w:val="center"/>
                </w:tcPr>
                <w:p w14:paraId="18DD5591">
                  <w:pPr>
                    <w:adjustRightInd w:val="0"/>
                    <w:snapToGrid w:val="0"/>
                    <w:jc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w:t>
                  </w:r>
                </w:p>
              </w:tc>
            </w:tr>
            <w:tr w14:paraId="3203C9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430" w:type="dxa"/>
                  <w:vMerge w:val="continue"/>
                  <w:vAlign w:val="center"/>
                </w:tcPr>
                <w:p w14:paraId="50743697">
                  <w:pPr>
                    <w:adjustRightInd w:val="0"/>
                    <w:snapToGrid w:val="0"/>
                    <w:jc w:val="center"/>
                    <w:rPr>
                      <w:rFonts w:ascii="Times New Roman" w:hAnsi="Times New Roman" w:cs="Times New Roman"/>
                      <w:sz w:val="21"/>
                      <w:szCs w:val="21"/>
                    </w:rPr>
                  </w:pPr>
                </w:p>
              </w:tc>
              <w:tc>
                <w:tcPr>
                  <w:tcW w:w="1175" w:type="dxa"/>
                  <w:vMerge w:val="continue"/>
                  <w:vAlign w:val="center"/>
                </w:tcPr>
                <w:p w14:paraId="4863EF95">
                  <w:pPr>
                    <w:adjustRightInd w:val="0"/>
                    <w:snapToGrid w:val="0"/>
                    <w:jc w:val="center"/>
                    <w:rPr>
                      <w:rFonts w:ascii="Times New Roman" w:hAnsi="Times New Roman" w:cs="Times New Roman"/>
                      <w:sz w:val="21"/>
                      <w:szCs w:val="21"/>
                    </w:rPr>
                  </w:pPr>
                </w:p>
              </w:tc>
              <w:tc>
                <w:tcPr>
                  <w:tcW w:w="1665" w:type="dxa"/>
                  <w:vAlign w:val="center"/>
                </w:tcPr>
                <w:p w14:paraId="29AF05A9">
                  <w:pPr>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沉淀池底泥</w:t>
                  </w:r>
                </w:p>
              </w:tc>
              <w:tc>
                <w:tcPr>
                  <w:tcW w:w="5640" w:type="dxa"/>
                  <w:vAlign w:val="center"/>
                </w:tcPr>
                <w:p w14:paraId="10616805">
                  <w:pPr>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定期处理掺入煤泥外售</w:t>
                  </w:r>
                </w:p>
              </w:tc>
              <w:tc>
                <w:tcPr>
                  <w:tcW w:w="643" w:type="dxa"/>
                  <w:vAlign w:val="center"/>
                </w:tcPr>
                <w:p w14:paraId="013B6FEF">
                  <w:pPr>
                    <w:adjustRightInd w:val="0"/>
                    <w:snapToGrid w:val="0"/>
                    <w:jc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w:t>
                  </w:r>
                </w:p>
              </w:tc>
            </w:tr>
            <w:tr w14:paraId="179ACE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0" w:hRule="atLeast"/>
                <w:jc w:val="center"/>
              </w:trPr>
              <w:tc>
                <w:tcPr>
                  <w:tcW w:w="430" w:type="dxa"/>
                  <w:vMerge w:val="continue"/>
                  <w:vAlign w:val="center"/>
                </w:tcPr>
                <w:p w14:paraId="18172D94">
                  <w:pPr>
                    <w:adjustRightInd w:val="0"/>
                    <w:snapToGrid w:val="0"/>
                    <w:jc w:val="center"/>
                    <w:rPr>
                      <w:rFonts w:ascii="Times New Roman" w:hAnsi="Times New Roman" w:cs="Times New Roman"/>
                      <w:sz w:val="21"/>
                      <w:szCs w:val="21"/>
                    </w:rPr>
                  </w:pPr>
                </w:p>
              </w:tc>
              <w:tc>
                <w:tcPr>
                  <w:tcW w:w="1175" w:type="dxa"/>
                  <w:vMerge w:val="continue"/>
                  <w:vAlign w:val="center"/>
                </w:tcPr>
                <w:p w14:paraId="43433B5A">
                  <w:pPr>
                    <w:adjustRightInd w:val="0"/>
                    <w:snapToGrid w:val="0"/>
                    <w:jc w:val="center"/>
                    <w:rPr>
                      <w:rFonts w:ascii="Times New Roman" w:hAnsi="Times New Roman" w:cs="Times New Roman"/>
                      <w:sz w:val="21"/>
                      <w:szCs w:val="21"/>
                    </w:rPr>
                  </w:pPr>
                </w:p>
              </w:tc>
              <w:tc>
                <w:tcPr>
                  <w:tcW w:w="1665" w:type="dxa"/>
                  <w:vAlign w:val="center"/>
                </w:tcPr>
                <w:p w14:paraId="088466A7">
                  <w:pPr>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生活垃圾</w:t>
                  </w:r>
                </w:p>
              </w:tc>
              <w:tc>
                <w:tcPr>
                  <w:tcW w:w="5640" w:type="dxa"/>
                  <w:vAlign w:val="center"/>
                </w:tcPr>
                <w:p w14:paraId="67ED2117">
                  <w:pPr>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定期交由当地环卫部门统一处置。</w:t>
                  </w:r>
                </w:p>
              </w:tc>
              <w:tc>
                <w:tcPr>
                  <w:tcW w:w="643" w:type="dxa"/>
                  <w:vAlign w:val="center"/>
                </w:tcPr>
                <w:p w14:paraId="320F3903">
                  <w:pPr>
                    <w:adjustRightInd w:val="0"/>
                    <w:snapToGrid w:val="0"/>
                    <w:jc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w:t>
                  </w:r>
                </w:p>
              </w:tc>
            </w:tr>
            <w:tr w14:paraId="5EB03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430" w:type="dxa"/>
                  <w:vMerge w:val="continue"/>
                  <w:vAlign w:val="center"/>
                </w:tcPr>
                <w:p w14:paraId="4BE4277E">
                  <w:pPr>
                    <w:adjustRightInd w:val="0"/>
                    <w:snapToGrid w:val="0"/>
                    <w:jc w:val="center"/>
                    <w:rPr>
                      <w:rFonts w:ascii="Times New Roman" w:hAnsi="Times New Roman" w:cs="Times New Roman"/>
                      <w:sz w:val="21"/>
                      <w:szCs w:val="21"/>
                    </w:rPr>
                  </w:pPr>
                </w:p>
              </w:tc>
              <w:tc>
                <w:tcPr>
                  <w:tcW w:w="1175" w:type="dxa"/>
                  <w:vMerge w:val="continue"/>
                  <w:vAlign w:val="center"/>
                </w:tcPr>
                <w:p w14:paraId="62BF83C8">
                  <w:pPr>
                    <w:adjustRightInd w:val="0"/>
                    <w:snapToGrid w:val="0"/>
                    <w:jc w:val="center"/>
                    <w:rPr>
                      <w:rFonts w:ascii="Times New Roman" w:hAnsi="Times New Roman" w:cs="Times New Roman"/>
                      <w:sz w:val="21"/>
                      <w:szCs w:val="21"/>
                    </w:rPr>
                  </w:pPr>
                </w:p>
              </w:tc>
              <w:tc>
                <w:tcPr>
                  <w:tcW w:w="1665" w:type="dxa"/>
                  <w:vAlign w:val="center"/>
                </w:tcPr>
                <w:p w14:paraId="318F30AE">
                  <w:pPr>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废机油</w:t>
                  </w:r>
                </w:p>
              </w:tc>
              <w:tc>
                <w:tcPr>
                  <w:tcW w:w="5640" w:type="dxa"/>
                  <w:vAlign w:val="center"/>
                </w:tcPr>
                <w:p w14:paraId="74940725">
                  <w:pPr>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暂存于临时危废暂存库内（20m</w:t>
                  </w:r>
                  <w:r>
                    <w:rPr>
                      <w:rFonts w:hint="eastAsia" w:ascii="Times New Roman" w:hAnsi="Times New Roman" w:cs="Times New Roman"/>
                      <w:bCs/>
                      <w:sz w:val="21"/>
                      <w:szCs w:val="21"/>
                      <w:vertAlign w:val="superscript"/>
                      <w:lang w:val="en-US" w:eastAsia="zh-CN"/>
                    </w:rPr>
                    <w:t>2</w:t>
                  </w:r>
                  <w:r>
                    <w:rPr>
                      <w:rFonts w:hint="eastAsia" w:ascii="Times New Roman" w:hAnsi="Times New Roman" w:cs="Times New Roman"/>
                      <w:bCs/>
                      <w:sz w:val="21"/>
                      <w:szCs w:val="21"/>
                      <w:lang w:val="en-US" w:eastAsia="zh-CN"/>
                    </w:rPr>
                    <w:t>），产生量约为0.05t/a，交由有资质的单位进行处置。</w:t>
                  </w:r>
                </w:p>
              </w:tc>
              <w:tc>
                <w:tcPr>
                  <w:tcW w:w="643" w:type="dxa"/>
                  <w:vAlign w:val="center"/>
                </w:tcPr>
                <w:p w14:paraId="16EB6018">
                  <w:pPr>
                    <w:adjustRightInd w:val="0"/>
                    <w:snapToGrid w:val="0"/>
                    <w:jc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w:t>
                  </w:r>
                </w:p>
              </w:tc>
            </w:tr>
            <w:tr w14:paraId="0EDF91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430" w:type="dxa"/>
                  <w:vMerge w:val="continue"/>
                  <w:vAlign w:val="center"/>
                </w:tcPr>
                <w:p w14:paraId="09D05B99">
                  <w:pPr>
                    <w:adjustRightInd w:val="0"/>
                    <w:snapToGrid w:val="0"/>
                    <w:jc w:val="center"/>
                    <w:rPr>
                      <w:rFonts w:ascii="Times New Roman" w:hAnsi="Times New Roman" w:cs="Times New Roman"/>
                      <w:sz w:val="21"/>
                      <w:szCs w:val="21"/>
                    </w:rPr>
                  </w:pPr>
                </w:p>
              </w:tc>
              <w:tc>
                <w:tcPr>
                  <w:tcW w:w="1175" w:type="dxa"/>
                  <w:vAlign w:val="center"/>
                </w:tcPr>
                <w:p w14:paraId="6D4E4859">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噪声治理</w:t>
                  </w:r>
                </w:p>
              </w:tc>
              <w:tc>
                <w:tcPr>
                  <w:tcW w:w="1665" w:type="dxa"/>
                  <w:vAlign w:val="center"/>
                </w:tcPr>
                <w:p w14:paraId="480463F6">
                  <w:pPr>
                    <w:adjustRightInd w:val="0"/>
                    <w:snapToGrid w:val="0"/>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生产设备</w:t>
                  </w:r>
                </w:p>
              </w:tc>
              <w:tc>
                <w:tcPr>
                  <w:tcW w:w="5640" w:type="dxa"/>
                  <w:vAlign w:val="center"/>
                </w:tcPr>
                <w:p w14:paraId="06AE02E0">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基础减</w:t>
                  </w:r>
                  <w:r>
                    <w:rPr>
                      <w:rFonts w:hint="eastAsia" w:ascii="Times New Roman" w:hAnsi="Times New Roman" w:cs="Times New Roman"/>
                      <w:sz w:val="21"/>
                      <w:szCs w:val="21"/>
                    </w:rPr>
                    <w:t>振</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设备均在车间内布置</w:t>
                  </w:r>
                  <w:r>
                    <w:rPr>
                      <w:rFonts w:ascii="Times New Roman" w:hAnsi="Times New Roman" w:cs="Times New Roman"/>
                      <w:sz w:val="21"/>
                      <w:szCs w:val="21"/>
                    </w:rPr>
                    <w:t>。</w:t>
                  </w:r>
                </w:p>
              </w:tc>
              <w:tc>
                <w:tcPr>
                  <w:tcW w:w="643" w:type="dxa"/>
                  <w:vAlign w:val="center"/>
                </w:tcPr>
                <w:p w14:paraId="4F56462C">
                  <w:pPr>
                    <w:adjustRightInd w:val="0"/>
                    <w:snapToGrid w:val="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r>
            <w:tr w14:paraId="02647F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605" w:type="dxa"/>
                  <w:gridSpan w:val="2"/>
                  <w:vAlign w:val="center"/>
                </w:tcPr>
                <w:p w14:paraId="0BD89881">
                  <w:pPr>
                    <w:adjustRightInd w:val="0"/>
                    <w:snapToGrid w:val="0"/>
                    <w:jc w:val="center"/>
                    <w:rPr>
                      <w:rFonts w:ascii="Times New Roman" w:hAnsi="Times New Roman" w:cs="Times New Roman"/>
                      <w:sz w:val="21"/>
                      <w:szCs w:val="21"/>
                    </w:rPr>
                  </w:pPr>
                  <w:r>
                    <w:rPr>
                      <w:rFonts w:ascii="Times New Roman" w:hAnsi="Times New Roman" w:cs="Times New Roman"/>
                      <w:sz w:val="21"/>
                      <w:szCs w:val="21"/>
                    </w:rPr>
                    <w:t>防渗</w:t>
                  </w:r>
                </w:p>
              </w:tc>
              <w:tc>
                <w:tcPr>
                  <w:tcW w:w="7305" w:type="dxa"/>
                  <w:gridSpan w:val="2"/>
                  <w:vAlign w:val="center"/>
                </w:tcPr>
                <w:p w14:paraId="5512D7CE">
                  <w:pPr>
                    <w:adjustRightInd w:val="0"/>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项目循环水池、事故池、储煤棚等使用水泥硬化处理，地面先用三合土夯实后，再在上层铺10~15cm的水泥进行硬化，使防渗层渗透系数小于1×10</w:t>
                  </w:r>
                  <w:r>
                    <w:rPr>
                      <w:rFonts w:hint="eastAsia" w:ascii="Times New Roman" w:hAnsi="Times New Roman" w:cs="Times New Roman"/>
                      <w:sz w:val="21"/>
                      <w:szCs w:val="21"/>
                      <w:vertAlign w:val="superscript"/>
                      <w:lang w:val="en-US" w:eastAsia="zh-CN"/>
                    </w:rPr>
                    <w:t>-7</w:t>
                  </w:r>
                  <w:r>
                    <w:rPr>
                      <w:rFonts w:hint="eastAsia" w:ascii="Times New Roman" w:hAnsi="Times New Roman" w:cs="Times New Roman"/>
                      <w:sz w:val="21"/>
                      <w:szCs w:val="21"/>
                      <w:lang w:val="en-US" w:eastAsia="zh-CN"/>
                    </w:rPr>
                    <w:t>cm/s。危废暂存库地面进行基础防渗，防渗层为1.5mm厚的高密度聚乙烯，再在上层铺10~15cm的水泥进行硬化，其渗透系数小于1×10</w:t>
                  </w:r>
                  <w:r>
                    <w:rPr>
                      <w:rFonts w:hint="eastAsia" w:ascii="Times New Roman" w:hAnsi="Times New Roman" w:cs="Times New Roman"/>
                      <w:sz w:val="21"/>
                      <w:szCs w:val="21"/>
                      <w:vertAlign w:val="superscript"/>
                      <w:lang w:val="en-US" w:eastAsia="zh-CN"/>
                    </w:rPr>
                    <w:t>-10</w:t>
                  </w:r>
                  <w:r>
                    <w:rPr>
                      <w:rFonts w:hint="eastAsia" w:ascii="Times New Roman" w:hAnsi="Times New Roman" w:cs="Times New Roman"/>
                      <w:sz w:val="21"/>
                      <w:szCs w:val="21"/>
                      <w:lang w:val="en-US" w:eastAsia="zh-CN"/>
                    </w:rPr>
                    <w:t>cm/s</w:t>
                  </w:r>
                  <w:r>
                    <w:rPr>
                      <w:rFonts w:ascii="Times New Roman" w:hAnsi="Times New Roman" w:cs="Times New Roman"/>
                      <w:sz w:val="21"/>
                      <w:szCs w:val="21"/>
                    </w:rPr>
                    <w:t>。</w:t>
                  </w:r>
                </w:p>
              </w:tc>
              <w:tc>
                <w:tcPr>
                  <w:tcW w:w="643" w:type="dxa"/>
                  <w:vAlign w:val="center"/>
                </w:tcPr>
                <w:p w14:paraId="7592B80F">
                  <w:pPr>
                    <w:adjustRightInd w:val="0"/>
                    <w:snapToGrid w:val="0"/>
                    <w:jc w:val="center"/>
                    <w:rPr>
                      <w:rFonts w:ascii="Times New Roman" w:hAnsi="Times New Roman" w:cs="Times New Roman"/>
                      <w:sz w:val="21"/>
                      <w:szCs w:val="21"/>
                    </w:rPr>
                  </w:pPr>
                  <w:r>
                    <w:rPr>
                      <w:rFonts w:hint="eastAsia" w:ascii="Times New Roman" w:hAnsi="Times New Roman" w:cs="Times New Roman"/>
                      <w:sz w:val="21"/>
                      <w:szCs w:val="21"/>
                      <w:lang w:val="en-US" w:eastAsia="zh-CN"/>
                    </w:rPr>
                    <w:t>依托原有</w:t>
                  </w:r>
                </w:p>
              </w:tc>
            </w:tr>
          </w:tbl>
          <w:p w14:paraId="7C8B0864">
            <w:pPr>
              <w:numPr>
                <w:ilvl w:val="0"/>
                <w:numId w:val="7"/>
              </w:numPr>
              <w:spacing w:before="240" w:line="360" w:lineRule="auto"/>
              <w:ind w:firstLine="482" w:firstLineChars="200"/>
              <w:rPr>
                <w:rFonts w:ascii="Times New Roman" w:hAnsi="Times New Roman" w:cs="Times New Roman"/>
                <w:b/>
                <w:sz w:val="24"/>
                <w:szCs w:val="21"/>
              </w:rPr>
            </w:pPr>
            <w:r>
              <w:rPr>
                <w:rFonts w:hint="eastAsia" w:ascii="Times New Roman" w:hAnsi="Times New Roman" w:cs="Times New Roman"/>
                <w:b/>
                <w:sz w:val="24"/>
                <w:szCs w:val="21"/>
                <w:lang w:val="en-US" w:eastAsia="zh-CN"/>
              </w:rPr>
              <w:t>原煤来源及产品方案</w:t>
            </w:r>
          </w:p>
          <w:p w14:paraId="4B50EA1A">
            <w:pPr>
              <w:pStyle w:val="43"/>
              <w:spacing w:line="360" w:lineRule="auto"/>
              <w:rPr>
                <w:rFonts w:ascii="Times New Roman" w:hAnsi="Times New Roman" w:cs="Times New Roman"/>
                <w:color w:val="auto"/>
                <w:lang w:val="en-US"/>
              </w:rPr>
            </w:pPr>
            <w:r>
              <w:rPr>
                <w:rFonts w:hint="eastAsia" w:ascii="Times New Roman" w:hAnsi="Times New Roman" w:cs="Times New Roman"/>
                <w:color w:val="auto"/>
                <w:lang w:val="en-US" w:eastAsia="zh-CN"/>
              </w:rPr>
              <w:t>本</w:t>
            </w:r>
            <w:r>
              <w:rPr>
                <w:rFonts w:hint="eastAsia" w:ascii="Times New Roman" w:hAnsi="Times New Roman" w:cs="Times New Roman"/>
                <w:color w:val="auto"/>
                <w:lang w:val="en-US"/>
              </w:rPr>
              <w:t>项目</w:t>
            </w:r>
            <w:r>
              <w:rPr>
                <w:rFonts w:hint="eastAsia" w:ascii="Times New Roman" w:hAnsi="Times New Roman" w:cs="Times New Roman"/>
                <w:color w:val="auto"/>
                <w:lang w:val="en-US" w:eastAsia="zh-CN"/>
              </w:rPr>
              <w:t>的煤源与原项目一致。</w:t>
            </w:r>
          </w:p>
          <w:p w14:paraId="53AE9875">
            <w:pPr>
              <w:topLinePunct/>
              <w:autoSpaceDE/>
              <w:autoSpaceDN/>
              <w:spacing w:line="360" w:lineRule="auto"/>
              <w:jc w:val="left"/>
              <w:rPr>
                <w:rFonts w:hint="eastAsia" w:ascii="Times New Roman" w:hAnsi="Times New Roman" w:cs="Times New Roman"/>
                <w:b w:val="0"/>
                <w:bCs/>
                <w:color w:val="auto"/>
                <w:sz w:val="24"/>
                <w:lang w:val="en-US" w:eastAsia="zh-CN"/>
              </w:rPr>
            </w:pPr>
            <w:r>
              <w:rPr>
                <w:rFonts w:hint="eastAsia" w:ascii="Times New Roman" w:hAnsi="Times New Roman" w:cs="Times New Roman"/>
                <w:b/>
                <w:color w:val="auto"/>
                <w:sz w:val="24"/>
                <w:lang w:val="en-US" w:eastAsia="zh-CN"/>
              </w:rPr>
              <w:t xml:space="preserve">    </w:t>
            </w:r>
            <w:r>
              <w:rPr>
                <w:rFonts w:hint="eastAsia" w:ascii="Times New Roman" w:hAnsi="Times New Roman" w:cs="Times New Roman"/>
                <w:b w:val="0"/>
                <w:bCs/>
                <w:color w:val="auto"/>
                <w:sz w:val="24"/>
                <w:lang w:val="en-US" w:eastAsia="zh-CN"/>
              </w:rPr>
              <w:t>洗选产品：根据实际生产情况，精煤产量40万t，中煤产量66万t，矸石产量10万t，煤泥产量4万t。</w:t>
            </w:r>
          </w:p>
          <w:p w14:paraId="760AF989">
            <w:pPr>
              <w:numPr>
                <w:ilvl w:val="0"/>
                <w:numId w:val="7"/>
              </w:numPr>
              <w:spacing w:before="240" w:line="360" w:lineRule="auto"/>
              <w:ind w:firstLine="482" w:firstLineChars="200"/>
              <w:rPr>
                <w:rFonts w:ascii="Times New Roman" w:hAnsi="Times New Roman" w:cs="Times New Roman"/>
                <w:b/>
                <w:color w:val="auto"/>
                <w:sz w:val="24"/>
                <w:szCs w:val="21"/>
              </w:rPr>
            </w:pPr>
            <w:r>
              <w:rPr>
                <w:rFonts w:hint="eastAsia" w:ascii="Times New Roman" w:hAnsi="Times New Roman" w:cs="Times New Roman"/>
                <w:b/>
                <w:color w:val="auto"/>
                <w:sz w:val="24"/>
                <w:szCs w:val="21"/>
                <w:lang w:val="en-US" w:eastAsia="zh-CN"/>
              </w:rPr>
              <w:t>主要原辅材料及用量</w:t>
            </w:r>
          </w:p>
          <w:p w14:paraId="069EAC58">
            <w:pPr>
              <w:pStyle w:val="26"/>
              <w:spacing w:line="240" w:lineRule="auto"/>
              <w:ind w:left="0" w:leftChars="0" w:firstLine="0" w:firstLineChars="0"/>
              <w:rPr>
                <w:rFonts w:hint="eastAsia" w:ascii="Times New Roman" w:hAnsi="Times New Roman" w:cs="Times New Roman"/>
                <w:b/>
                <w:color w:val="auto"/>
                <w:sz w:val="24"/>
                <w:lang w:val="en-US"/>
              </w:rPr>
            </w:pPr>
            <w:r>
              <w:rPr>
                <w:rFonts w:hint="eastAsia"/>
                <w:color w:val="auto"/>
                <w:lang w:val="en-US" w:eastAsia="zh-CN"/>
              </w:rPr>
              <w:t xml:space="preserve">    本项目</w:t>
            </w:r>
            <w:r>
              <w:rPr>
                <w:rFonts w:hint="default" w:ascii="Times New Roman" w:hAnsi="Times New Roman" w:cs="Times New Roman"/>
                <w:color w:val="auto"/>
                <w:lang w:val="en-US" w:eastAsia="zh-CN"/>
              </w:rPr>
              <w:t>原辅材料及原煤煤质</w:t>
            </w:r>
            <w:r>
              <w:rPr>
                <w:rFonts w:hint="eastAsia" w:ascii="Times New Roman" w:hAnsi="Times New Roman" w:cs="Times New Roman"/>
                <w:color w:val="auto"/>
                <w:lang w:val="en-US" w:eastAsia="zh-CN"/>
              </w:rPr>
              <w:t>与原项目一致。</w:t>
            </w:r>
          </w:p>
          <w:p w14:paraId="635E0753">
            <w:pPr>
              <w:widowControl/>
              <w:spacing w:before="240" w:line="360" w:lineRule="auto"/>
              <w:ind w:firstLine="482" w:firstLineChars="200"/>
              <w:rPr>
                <w:rFonts w:ascii="Times New Roman" w:hAnsi="Times New Roman" w:cs="Times New Roman"/>
                <w:b/>
                <w:color w:val="auto"/>
                <w:sz w:val="24"/>
              </w:rPr>
            </w:pPr>
            <w:r>
              <w:rPr>
                <w:rFonts w:hint="eastAsia" w:ascii="Times New Roman" w:hAnsi="Times New Roman" w:cs="Times New Roman"/>
                <w:b/>
                <w:color w:val="auto"/>
                <w:sz w:val="24"/>
                <w:lang w:val="en-US"/>
              </w:rPr>
              <w:t>8</w:t>
            </w:r>
            <w:r>
              <w:rPr>
                <w:rFonts w:ascii="Times New Roman" w:hAnsi="Times New Roman" w:cs="Times New Roman"/>
                <w:b/>
                <w:color w:val="auto"/>
                <w:sz w:val="24"/>
                <w:lang w:val="en-US"/>
              </w:rPr>
              <w:t>、</w:t>
            </w:r>
            <w:r>
              <w:rPr>
                <w:rFonts w:ascii="Times New Roman" w:hAnsi="Times New Roman" w:cs="Times New Roman"/>
                <w:b/>
                <w:color w:val="auto"/>
                <w:sz w:val="24"/>
              </w:rPr>
              <w:t>产品方案</w:t>
            </w:r>
          </w:p>
          <w:p w14:paraId="6C0B653B">
            <w:pPr>
              <w:spacing w:line="360" w:lineRule="auto"/>
              <w:ind w:firstLine="480" w:firstLineChars="200"/>
              <w:rPr>
                <w:rFonts w:hint="eastAsia" w:ascii="Times New Roman" w:hAnsi="Times New Roman" w:cs="Times New Roman"/>
                <w:b w:val="0"/>
                <w:bCs/>
                <w:color w:val="auto"/>
                <w:sz w:val="24"/>
                <w:lang w:val="en-US" w:eastAsia="zh-CN"/>
              </w:rPr>
            </w:pPr>
            <w:r>
              <w:rPr>
                <w:rFonts w:hint="eastAsia" w:ascii="Times New Roman" w:hAnsi="Times New Roman" w:cs="Times New Roman"/>
                <w:b w:val="0"/>
                <w:bCs/>
                <w:color w:val="auto"/>
                <w:sz w:val="24"/>
                <w:lang w:val="en-US" w:eastAsia="zh-CN"/>
              </w:rPr>
              <w:t>本项目产品与原项目一致，精煤产量40万t，中煤产量66万t，矸石产量10万t，煤泥产量4万t。</w:t>
            </w:r>
          </w:p>
          <w:p w14:paraId="7EFD70F7">
            <w:pPr>
              <w:spacing w:line="360" w:lineRule="auto"/>
              <w:ind w:firstLine="482" w:firstLineChars="200"/>
              <w:rPr>
                <w:rFonts w:ascii="Times New Roman" w:hAnsi="Times New Roman" w:cs="Times New Roman"/>
                <w:b/>
                <w:color w:val="auto"/>
                <w:sz w:val="24"/>
                <w:szCs w:val="21"/>
              </w:rPr>
            </w:pPr>
            <w:r>
              <w:rPr>
                <w:rFonts w:hint="eastAsia" w:ascii="Times New Roman" w:hAnsi="Times New Roman" w:cs="Times New Roman"/>
                <w:b/>
                <w:color w:val="auto"/>
                <w:sz w:val="24"/>
                <w:szCs w:val="21"/>
                <w:lang w:val="en-US"/>
              </w:rPr>
              <w:t>9</w:t>
            </w:r>
            <w:r>
              <w:rPr>
                <w:rFonts w:ascii="Times New Roman" w:hAnsi="Times New Roman" w:cs="Times New Roman"/>
                <w:b/>
                <w:color w:val="auto"/>
                <w:sz w:val="24"/>
                <w:szCs w:val="21"/>
                <w:lang w:val="en-US"/>
              </w:rPr>
              <w:t>、</w:t>
            </w:r>
            <w:r>
              <w:rPr>
                <w:rFonts w:ascii="Times New Roman" w:hAnsi="Times New Roman" w:cs="Times New Roman"/>
                <w:b/>
                <w:color w:val="auto"/>
                <w:sz w:val="24"/>
                <w:szCs w:val="21"/>
              </w:rPr>
              <w:t>劳动定员及工作制度</w:t>
            </w:r>
          </w:p>
          <w:p w14:paraId="22A85D6E">
            <w:pPr>
              <w:spacing w:line="360" w:lineRule="auto"/>
              <w:ind w:firstLine="480" w:firstLineChars="200"/>
              <w:rPr>
                <w:rFonts w:ascii="Times New Roman" w:hAnsi="Times New Roman" w:cs="Times New Roman"/>
                <w:bCs/>
                <w:color w:val="auto"/>
                <w:sz w:val="24"/>
                <w:szCs w:val="21"/>
              </w:rPr>
            </w:pPr>
            <w:r>
              <w:rPr>
                <w:rFonts w:ascii="Times New Roman" w:hAnsi="Times New Roman" w:cs="Times New Roman"/>
                <w:bCs/>
                <w:color w:val="auto"/>
                <w:sz w:val="24"/>
                <w:szCs w:val="21"/>
              </w:rPr>
              <w:t>本项目</w:t>
            </w:r>
            <w:r>
              <w:rPr>
                <w:rFonts w:hint="eastAsia" w:ascii="Times New Roman" w:hAnsi="Times New Roman" w:cs="Times New Roman"/>
                <w:bCs/>
                <w:color w:val="auto"/>
                <w:sz w:val="24"/>
                <w:szCs w:val="21"/>
                <w:lang w:val="en-US" w:eastAsia="zh-CN"/>
              </w:rPr>
              <w:t>无劳动定员，依托洗煤厂</w:t>
            </w:r>
            <w:r>
              <w:rPr>
                <w:rFonts w:ascii="Times New Roman" w:hAnsi="Times New Roman" w:cs="Times New Roman"/>
                <w:bCs/>
                <w:color w:val="auto"/>
                <w:sz w:val="24"/>
                <w:szCs w:val="21"/>
              </w:rPr>
              <w:t>劳动定员</w:t>
            </w:r>
            <w:r>
              <w:rPr>
                <w:rFonts w:hint="eastAsia" w:ascii="Times New Roman" w:hAnsi="Times New Roman" w:cs="Times New Roman"/>
                <w:bCs/>
                <w:color w:val="auto"/>
                <w:sz w:val="24"/>
                <w:szCs w:val="21"/>
                <w:lang w:val="en-US" w:eastAsia="zh-CN"/>
              </w:rPr>
              <w:t>20</w:t>
            </w:r>
            <w:r>
              <w:rPr>
                <w:rFonts w:ascii="Times New Roman" w:hAnsi="Times New Roman" w:cs="Times New Roman"/>
                <w:bCs/>
                <w:color w:val="auto"/>
                <w:sz w:val="24"/>
                <w:szCs w:val="21"/>
              </w:rPr>
              <w:t>人，</w:t>
            </w:r>
            <w:r>
              <w:rPr>
                <w:rFonts w:hint="eastAsia" w:ascii="Times New Roman" w:hAnsi="Times New Roman" w:cs="Times New Roman"/>
                <w:bCs/>
                <w:color w:val="auto"/>
                <w:sz w:val="24"/>
                <w:szCs w:val="21"/>
                <w:lang w:val="en-US" w:eastAsia="zh-CN"/>
              </w:rPr>
              <w:t>实行三班制</w:t>
            </w:r>
            <w:r>
              <w:rPr>
                <w:rFonts w:ascii="Times New Roman" w:hAnsi="Times New Roman" w:cs="Times New Roman"/>
                <w:bCs/>
                <w:color w:val="auto"/>
                <w:sz w:val="24"/>
                <w:szCs w:val="21"/>
              </w:rPr>
              <w:t>，全年有效生产时间为3</w:t>
            </w:r>
            <w:r>
              <w:rPr>
                <w:rFonts w:hint="eastAsia" w:ascii="Times New Roman" w:hAnsi="Times New Roman" w:cs="Times New Roman"/>
                <w:bCs/>
                <w:color w:val="auto"/>
                <w:sz w:val="24"/>
                <w:szCs w:val="21"/>
                <w:lang w:val="en-US" w:eastAsia="zh-CN"/>
              </w:rPr>
              <w:t>30</w:t>
            </w:r>
            <w:r>
              <w:rPr>
                <w:rFonts w:ascii="Times New Roman" w:hAnsi="Times New Roman" w:cs="Times New Roman"/>
                <w:bCs/>
                <w:color w:val="auto"/>
                <w:sz w:val="24"/>
                <w:szCs w:val="21"/>
              </w:rPr>
              <w:t>天，</w:t>
            </w:r>
            <w:r>
              <w:rPr>
                <w:rFonts w:hint="eastAsia" w:ascii="Times New Roman" w:hAnsi="Times New Roman" w:cs="Times New Roman"/>
                <w:bCs/>
                <w:color w:val="auto"/>
                <w:sz w:val="24"/>
                <w:szCs w:val="21"/>
                <w:lang w:val="en-US" w:eastAsia="zh-CN"/>
              </w:rPr>
              <w:t>每班8小时</w:t>
            </w:r>
            <w:r>
              <w:rPr>
                <w:rFonts w:ascii="Times New Roman" w:hAnsi="Times New Roman" w:cs="Times New Roman"/>
                <w:bCs/>
                <w:color w:val="auto"/>
                <w:sz w:val="24"/>
                <w:szCs w:val="21"/>
              </w:rPr>
              <w:t>。</w:t>
            </w:r>
          </w:p>
          <w:p w14:paraId="4C6EA3B4">
            <w:pPr>
              <w:adjustRightInd w:val="0"/>
              <w:spacing w:line="360" w:lineRule="auto"/>
              <w:ind w:firstLine="482" w:firstLineChars="200"/>
              <w:rPr>
                <w:rFonts w:ascii="Times New Roman" w:hAnsi="Times New Roman" w:cs="Times New Roman"/>
                <w:b/>
                <w:bCs/>
                <w:sz w:val="24"/>
                <w:szCs w:val="21"/>
              </w:rPr>
            </w:pPr>
            <w:r>
              <w:rPr>
                <w:rFonts w:hint="eastAsia" w:ascii="Times New Roman" w:hAnsi="Times New Roman" w:cs="Times New Roman"/>
                <w:b/>
                <w:bCs/>
                <w:sz w:val="24"/>
                <w:szCs w:val="21"/>
                <w:lang w:val="en-US"/>
              </w:rPr>
              <w:t>10</w:t>
            </w:r>
            <w:r>
              <w:rPr>
                <w:rFonts w:ascii="Times New Roman" w:hAnsi="Times New Roman" w:cs="Times New Roman"/>
                <w:b/>
                <w:bCs/>
                <w:sz w:val="24"/>
                <w:szCs w:val="21"/>
                <w:lang w:val="en-US"/>
              </w:rPr>
              <w:t>、</w:t>
            </w:r>
            <w:r>
              <w:rPr>
                <w:rFonts w:ascii="Times New Roman" w:hAnsi="Times New Roman" w:cs="Times New Roman"/>
                <w:b/>
                <w:bCs/>
                <w:sz w:val="24"/>
                <w:szCs w:val="21"/>
              </w:rPr>
              <w:t>公用工程</w:t>
            </w:r>
          </w:p>
          <w:p w14:paraId="626470D6">
            <w:pPr>
              <w:widowControl/>
              <w:tabs>
                <w:tab w:val="left" w:pos="1260"/>
              </w:tabs>
              <w:adjustRightInd w:val="0"/>
              <w:snapToGrid w:val="0"/>
              <w:spacing w:line="360" w:lineRule="auto"/>
              <w:ind w:firstLine="480" w:firstLineChars="200"/>
              <w:rPr>
                <w:rFonts w:hint="eastAsia" w:ascii="Times New Roman" w:hAnsi="Times New Roman" w:eastAsia="宋体" w:cs="Times New Roman"/>
                <w:sz w:val="24"/>
                <w:szCs w:val="21"/>
                <w:lang w:eastAsia="zh-CN"/>
              </w:rPr>
            </w:pPr>
            <w:r>
              <w:rPr>
                <w:rFonts w:ascii="Times New Roman" w:hAnsi="Times New Roman" w:cs="Times New Roman"/>
                <w:bCs/>
                <w:sz w:val="24"/>
                <w:lang w:val="en-US"/>
              </w:rPr>
              <w:t>（</w:t>
            </w:r>
            <w:r>
              <w:rPr>
                <w:rFonts w:hint="eastAsia" w:ascii="Times New Roman" w:hAnsi="Times New Roman" w:cs="Times New Roman"/>
                <w:bCs/>
                <w:sz w:val="24"/>
                <w:lang w:val="en-US"/>
              </w:rPr>
              <w:t>1</w:t>
            </w:r>
            <w:r>
              <w:rPr>
                <w:rFonts w:ascii="Times New Roman" w:hAnsi="Times New Roman" w:cs="Times New Roman"/>
                <w:bCs/>
                <w:sz w:val="24"/>
                <w:lang w:val="en-US"/>
              </w:rPr>
              <w:t>）</w:t>
            </w:r>
            <w:r>
              <w:rPr>
                <w:rFonts w:ascii="Times New Roman" w:hAnsi="Times New Roman" w:cs="Times New Roman"/>
                <w:sz w:val="24"/>
                <w:szCs w:val="21"/>
              </w:rPr>
              <w:t>供电</w:t>
            </w:r>
            <w:r>
              <w:rPr>
                <w:rFonts w:hint="eastAsia" w:ascii="Times New Roman" w:hAnsi="Times New Roman" w:cs="Times New Roman"/>
                <w:sz w:val="24"/>
                <w:szCs w:val="21"/>
                <w:lang w:eastAsia="zh-CN"/>
              </w:rPr>
              <w:t>（</w:t>
            </w:r>
            <w:r>
              <w:rPr>
                <w:rFonts w:hint="eastAsia" w:ascii="Times New Roman" w:hAnsi="Times New Roman" w:cs="Times New Roman"/>
                <w:sz w:val="24"/>
                <w:szCs w:val="21"/>
                <w:lang w:val="en-US" w:eastAsia="zh-CN"/>
              </w:rPr>
              <w:t>无变化</w:t>
            </w:r>
            <w:r>
              <w:rPr>
                <w:rFonts w:hint="eastAsia" w:ascii="Times New Roman" w:hAnsi="Times New Roman" w:cs="Times New Roman"/>
                <w:sz w:val="24"/>
                <w:szCs w:val="21"/>
                <w:lang w:eastAsia="zh-CN"/>
              </w:rPr>
              <w:t>）</w:t>
            </w:r>
          </w:p>
          <w:p w14:paraId="36651EE3">
            <w:pPr>
              <w:widowControl/>
              <w:tabs>
                <w:tab w:val="left" w:pos="1260"/>
              </w:tabs>
              <w:adjustRightInd w:val="0"/>
              <w:snapToGrid w:val="0"/>
              <w:spacing w:line="360" w:lineRule="auto"/>
              <w:ind w:firstLine="480" w:firstLineChars="200"/>
              <w:rPr>
                <w:rFonts w:ascii="Times New Roman" w:hAnsi="Times New Roman" w:cs="Times New Roman"/>
                <w:sz w:val="24"/>
                <w:szCs w:val="21"/>
              </w:rPr>
            </w:pPr>
            <w:r>
              <w:rPr>
                <w:rFonts w:hint="eastAsia" w:ascii="Times New Roman" w:hAnsi="Times New Roman" w:cs="Times New Roman"/>
                <w:sz w:val="24"/>
                <w:szCs w:val="21"/>
                <w:lang w:val="en-US" w:eastAsia="zh-CN"/>
              </w:rPr>
              <w:t>洗煤厂</w:t>
            </w:r>
            <w:r>
              <w:rPr>
                <w:rFonts w:hint="eastAsia" w:ascii="Times New Roman" w:hAnsi="Times New Roman" w:cs="Times New Roman"/>
                <w:sz w:val="24"/>
                <w:szCs w:val="21"/>
                <w:lang w:val="en-US"/>
              </w:rPr>
              <w:t>供电</w:t>
            </w:r>
            <w:r>
              <w:rPr>
                <w:rFonts w:ascii="Times New Roman" w:hAnsi="Times New Roman" w:cs="Times New Roman"/>
                <w:sz w:val="24"/>
                <w:szCs w:val="21"/>
              </w:rPr>
              <w:t>由</w:t>
            </w:r>
            <w:r>
              <w:rPr>
                <w:rFonts w:hint="eastAsia" w:ascii="Times New Roman" w:hAnsi="Times New Roman" w:cs="Times New Roman"/>
                <w:sz w:val="24"/>
                <w:szCs w:val="21"/>
                <w:lang w:val="en-US" w:eastAsia="zh-CN"/>
              </w:rPr>
              <w:t>札萨克镇供电系统提供，年用电量470.2万kW·h，本项目用电依托洗煤厂供电，满足项目用电需求</w:t>
            </w:r>
            <w:r>
              <w:rPr>
                <w:rFonts w:ascii="Times New Roman" w:hAnsi="Times New Roman" w:cs="Times New Roman"/>
                <w:sz w:val="24"/>
                <w:szCs w:val="21"/>
              </w:rPr>
              <w:t>。</w:t>
            </w:r>
          </w:p>
          <w:p w14:paraId="44E263AD">
            <w:pPr>
              <w:spacing w:line="360" w:lineRule="auto"/>
              <w:ind w:firstLine="480" w:firstLineChars="200"/>
              <w:rPr>
                <w:rFonts w:hint="eastAsia" w:ascii="Times New Roman" w:hAnsi="Times New Roman" w:eastAsia="宋体" w:cs="Times New Roman"/>
                <w:sz w:val="24"/>
                <w:szCs w:val="21"/>
                <w:lang w:val="en-US" w:eastAsia="zh-CN"/>
              </w:rPr>
            </w:pPr>
            <w:r>
              <w:rPr>
                <w:rFonts w:ascii="Times New Roman" w:hAnsi="Times New Roman" w:cs="Times New Roman"/>
                <w:sz w:val="24"/>
                <w:szCs w:val="21"/>
              </w:rPr>
              <w:t>（</w:t>
            </w:r>
            <w:r>
              <w:rPr>
                <w:rFonts w:hint="eastAsia" w:ascii="Times New Roman" w:hAnsi="Times New Roman" w:cs="Times New Roman"/>
                <w:sz w:val="24"/>
                <w:szCs w:val="21"/>
                <w:lang w:val="en-US" w:eastAsia="zh-CN"/>
              </w:rPr>
              <w:t>2</w:t>
            </w:r>
            <w:r>
              <w:rPr>
                <w:rFonts w:ascii="Times New Roman" w:hAnsi="Times New Roman" w:cs="Times New Roman"/>
                <w:sz w:val="24"/>
                <w:szCs w:val="21"/>
              </w:rPr>
              <w:t>）供</w:t>
            </w:r>
            <w:r>
              <w:rPr>
                <w:rFonts w:hint="eastAsia" w:ascii="Times New Roman" w:hAnsi="Times New Roman" w:cs="Times New Roman"/>
                <w:sz w:val="24"/>
                <w:szCs w:val="21"/>
                <w:lang w:val="en-US" w:eastAsia="zh-CN"/>
              </w:rPr>
              <w:t>热（无变化）</w:t>
            </w:r>
          </w:p>
          <w:p w14:paraId="772AC02C">
            <w:pPr>
              <w:pStyle w:val="43"/>
              <w:spacing w:line="360" w:lineRule="auto"/>
              <w:rPr>
                <w:rFonts w:ascii="Times New Roman" w:hAnsi="Times New Roman" w:cs="Times New Roman"/>
              </w:rPr>
            </w:pPr>
            <w:r>
              <w:rPr>
                <w:rFonts w:hint="eastAsia" w:ascii="Times New Roman" w:hAnsi="Times New Roman" w:cs="Times New Roman"/>
                <w:lang w:val="en-US" w:eastAsia="zh-CN"/>
              </w:rPr>
              <w:t>办公区</w:t>
            </w:r>
            <w:r>
              <w:rPr>
                <w:rFonts w:hint="eastAsia" w:ascii="Times New Roman" w:hAnsi="Times New Roman" w:cs="Times New Roman"/>
                <w:lang w:val="en-US"/>
              </w:rPr>
              <w:t>供</w:t>
            </w:r>
            <w:r>
              <w:rPr>
                <w:rFonts w:hint="eastAsia" w:ascii="Times New Roman" w:hAnsi="Times New Roman" w:cs="Times New Roman"/>
                <w:lang w:val="en-US" w:eastAsia="zh-CN"/>
              </w:rPr>
              <w:t>热使用电暖器供暖，本项目储煤棚不需要供热</w:t>
            </w:r>
            <w:r>
              <w:rPr>
                <w:rFonts w:ascii="Times New Roman" w:hAnsi="Times New Roman" w:cs="Times New Roman"/>
              </w:rPr>
              <w:t>。</w:t>
            </w:r>
          </w:p>
          <w:p w14:paraId="5E45C2EC">
            <w:pPr>
              <w:spacing w:line="360" w:lineRule="auto"/>
              <w:ind w:firstLine="480" w:firstLineChars="200"/>
              <w:rPr>
                <w:rFonts w:hint="eastAsia" w:ascii="Times New Roman" w:hAnsi="Times New Roman" w:eastAsia="宋体" w:cs="Times New Roman"/>
                <w:bCs/>
                <w:color w:val="auto"/>
                <w:sz w:val="24"/>
                <w:szCs w:val="21"/>
                <w:lang w:val="en-US" w:eastAsia="zh-CN"/>
              </w:rPr>
            </w:pPr>
            <w:r>
              <w:rPr>
                <w:rFonts w:ascii="Times New Roman" w:hAnsi="Times New Roman" w:cs="Times New Roman"/>
                <w:bCs/>
                <w:sz w:val="24"/>
                <w:szCs w:val="21"/>
              </w:rPr>
              <w:t>（</w:t>
            </w:r>
            <w:r>
              <w:rPr>
                <w:rFonts w:hint="eastAsia" w:ascii="Times New Roman" w:hAnsi="Times New Roman" w:cs="Times New Roman"/>
                <w:bCs/>
                <w:sz w:val="24"/>
                <w:szCs w:val="21"/>
                <w:lang w:val="en-US" w:eastAsia="zh-CN"/>
              </w:rPr>
              <w:t>3</w:t>
            </w:r>
            <w:r>
              <w:rPr>
                <w:rFonts w:ascii="Times New Roman" w:hAnsi="Times New Roman" w:cs="Times New Roman"/>
                <w:bCs/>
                <w:sz w:val="24"/>
                <w:szCs w:val="21"/>
              </w:rPr>
              <w:t>）</w:t>
            </w:r>
            <w:r>
              <w:rPr>
                <w:rFonts w:hint="eastAsia" w:ascii="Times New Roman" w:hAnsi="Times New Roman" w:cs="Times New Roman"/>
                <w:bCs/>
                <w:sz w:val="24"/>
                <w:szCs w:val="21"/>
                <w:lang w:val="en-US"/>
              </w:rPr>
              <w:t>给排水</w:t>
            </w:r>
            <w:r>
              <w:rPr>
                <w:rFonts w:hint="eastAsia" w:ascii="Times New Roman" w:hAnsi="Times New Roman" w:eastAsia="宋体" w:cs="Times New Roman"/>
                <w:color w:val="auto"/>
                <w:sz w:val="24"/>
                <w:szCs w:val="21"/>
                <w:lang w:val="en-US" w:eastAsia="zh-CN"/>
              </w:rPr>
              <w:t>（</w:t>
            </w:r>
            <w:r>
              <w:rPr>
                <w:rFonts w:hint="eastAsia" w:ascii="Times New Roman" w:hAnsi="Times New Roman" w:cs="Times New Roman"/>
                <w:color w:val="auto"/>
                <w:sz w:val="24"/>
                <w:szCs w:val="21"/>
                <w:lang w:val="en-US" w:eastAsia="zh-CN"/>
              </w:rPr>
              <w:t>生产用水由崔家沟煤矿矿井水变为鄂尔多斯市圣圆水务集团有限责任公司提供的经处理达标后的矿井疏干水提供，生产用水量不变；生活用水由自备井提供变为鄂尔多斯市圣圆水务集团有限责任公司供给自来水，生活用水量不变。</w:t>
            </w:r>
            <w:r>
              <w:rPr>
                <w:rFonts w:hint="eastAsia" w:ascii="Times New Roman" w:hAnsi="Times New Roman" w:eastAsia="宋体" w:cs="Times New Roman"/>
                <w:color w:val="auto"/>
                <w:sz w:val="24"/>
                <w:szCs w:val="21"/>
                <w:lang w:val="en-US" w:eastAsia="zh-CN"/>
              </w:rPr>
              <w:t>）</w:t>
            </w:r>
          </w:p>
          <w:p w14:paraId="578AA61D">
            <w:pPr>
              <w:adjustRightInd w:val="0"/>
              <w:snapToGrid w:val="0"/>
              <w:spacing w:line="440" w:lineRule="exact"/>
              <w:ind w:firstLine="480" w:firstLineChars="200"/>
              <w:rPr>
                <w:color w:val="auto"/>
                <w:sz w:val="24"/>
                <w:szCs w:val="22"/>
              </w:rPr>
            </w:pPr>
            <w:r>
              <w:rPr>
                <w:rFonts w:hint="eastAsia" w:ascii="宋体" w:hAnsi="宋体"/>
                <w:color w:val="auto"/>
                <w:sz w:val="24"/>
                <w:szCs w:val="22"/>
              </w:rPr>
              <w:t>①</w:t>
            </w:r>
            <w:r>
              <w:rPr>
                <w:color w:val="auto"/>
                <w:sz w:val="24"/>
                <w:szCs w:val="22"/>
              </w:rPr>
              <w:t>给水</w:t>
            </w:r>
          </w:p>
          <w:p w14:paraId="7D137C53">
            <w:pPr>
              <w:adjustRightInd w:val="0"/>
              <w:snapToGrid w:val="0"/>
              <w:spacing w:line="440" w:lineRule="exact"/>
              <w:ind w:firstLine="480" w:firstLineChars="200"/>
              <w:rPr>
                <w:rFonts w:hint="default" w:ascii="Times New Roman" w:hAnsi="Times New Roman" w:cs="Times New Roman"/>
                <w:bCs/>
                <w:color w:val="auto"/>
                <w:sz w:val="24"/>
                <w:szCs w:val="22"/>
                <w:lang w:val="en-GB"/>
              </w:rPr>
            </w:pPr>
            <w:bookmarkStart w:id="10" w:name="_Hlk163495136"/>
            <w:r>
              <w:rPr>
                <w:rFonts w:hint="default" w:ascii="Times New Roman" w:hAnsi="Times New Roman" w:cs="Times New Roman"/>
                <w:bCs/>
                <w:color w:val="auto"/>
                <w:sz w:val="24"/>
                <w:szCs w:val="22"/>
                <w:lang w:val="en-GB"/>
              </w:rPr>
              <w:t>项目生产用水依托现有，为鄂尔多斯市圣圆水务集团有限责任公司提供的经处理达标后的矿井疏干水提供；生活用水依托现有，由鄂尔多斯市圣圆水务集团有限责任公司供给自来水。</w:t>
            </w:r>
          </w:p>
          <w:p w14:paraId="20E0D29A">
            <w:pPr>
              <w:adjustRightInd w:val="0"/>
              <w:snapToGrid w:val="0"/>
              <w:spacing w:line="440" w:lineRule="exact"/>
              <w:ind w:firstLine="480" w:firstLineChars="200"/>
              <w:rPr>
                <w:rFonts w:hint="default" w:ascii="Times New Roman" w:hAnsi="Times New Roman" w:cs="Times New Roman"/>
                <w:bCs/>
                <w:color w:val="auto"/>
                <w:sz w:val="24"/>
                <w:szCs w:val="22"/>
                <w:lang w:val="en-GB"/>
              </w:rPr>
            </w:pPr>
            <w:r>
              <w:rPr>
                <w:rFonts w:hint="default" w:ascii="Times New Roman" w:hAnsi="Times New Roman" w:cs="Times New Roman"/>
                <w:bCs/>
                <w:color w:val="auto"/>
                <w:sz w:val="24"/>
                <w:szCs w:val="22"/>
              </w:rPr>
              <w:t>本项目用水主要为本次未批先建煤棚内洒水抑尘用水，煤棚总面积为17</w:t>
            </w:r>
            <w:r>
              <w:rPr>
                <w:rFonts w:hint="eastAsia" w:ascii="Times New Roman" w:hAnsi="Times New Roman" w:cs="Times New Roman"/>
                <w:bCs/>
                <w:color w:val="auto"/>
                <w:sz w:val="24"/>
                <w:szCs w:val="22"/>
                <w:lang w:val="en-US" w:eastAsia="zh-CN"/>
              </w:rPr>
              <w:t>069</w:t>
            </w:r>
            <w:r>
              <w:rPr>
                <w:rFonts w:hint="default" w:ascii="Times New Roman" w:hAnsi="Times New Roman" w:cs="Times New Roman"/>
                <w:bCs/>
                <w:color w:val="auto"/>
                <w:sz w:val="24"/>
                <w:szCs w:val="22"/>
              </w:rPr>
              <w:t>.</w:t>
            </w:r>
            <w:r>
              <w:rPr>
                <w:rFonts w:hint="eastAsia" w:ascii="Times New Roman" w:hAnsi="Times New Roman" w:cs="Times New Roman"/>
                <w:bCs/>
                <w:color w:val="auto"/>
                <w:sz w:val="24"/>
                <w:szCs w:val="22"/>
                <w:lang w:val="en-US" w:eastAsia="zh-CN"/>
              </w:rPr>
              <w:t>8</w:t>
            </w:r>
            <w:r>
              <w:rPr>
                <w:rFonts w:hint="default" w:ascii="Times New Roman" w:hAnsi="Times New Roman" w:cs="Times New Roman"/>
                <w:bCs/>
                <w:color w:val="auto"/>
                <w:sz w:val="24"/>
                <w:szCs w:val="22"/>
              </w:rPr>
              <w:t>m</w:t>
            </w:r>
            <w:r>
              <w:rPr>
                <w:rFonts w:hint="default" w:ascii="Times New Roman" w:hAnsi="Times New Roman" w:cs="Times New Roman"/>
                <w:bCs/>
                <w:color w:val="auto"/>
                <w:sz w:val="24"/>
                <w:szCs w:val="22"/>
                <w:vertAlign w:val="superscript"/>
              </w:rPr>
              <w:t>2</w:t>
            </w:r>
            <w:r>
              <w:rPr>
                <w:rFonts w:hint="default" w:ascii="Times New Roman" w:hAnsi="Times New Roman" w:cs="Times New Roman"/>
                <w:bCs/>
                <w:color w:val="auto"/>
                <w:sz w:val="24"/>
                <w:szCs w:val="22"/>
              </w:rPr>
              <w:t>，用水量按1.0L/m</w:t>
            </w:r>
            <w:r>
              <w:rPr>
                <w:rFonts w:hint="default" w:ascii="Times New Roman" w:hAnsi="Times New Roman" w:cs="Times New Roman"/>
                <w:bCs/>
                <w:color w:val="auto"/>
                <w:sz w:val="24"/>
                <w:szCs w:val="22"/>
                <w:vertAlign w:val="superscript"/>
              </w:rPr>
              <w:t>2</w:t>
            </w:r>
            <w:r>
              <w:rPr>
                <w:rFonts w:hint="default" w:ascii="Times New Roman" w:hAnsi="Times New Roman" w:cs="Times New Roman"/>
                <w:bCs/>
                <w:color w:val="auto"/>
                <w:sz w:val="24"/>
                <w:szCs w:val="22"/>
              </w:rPr>
              <w:t>·次核算，每天2次，每年</w:t>
            </w:r>
            <w:r>
              <w:rPr>
                <w:rFonts w:hint="eastAsia" w:ascii="Times New Roman" w:hAnsi="Times New Roman" w:cs="Times New Roman"/>
                <w:bCs/>
                <w:color w:val="auto"/>
                <w:sz w:val="24"/>
                <w:szCs w:val="22"/>
                <w:lang w:val="en-US" w:eastAsia="zh-CN"/>
              </w:rPr>
              <w:t>330</w:t>
            </w:r>
            <w:r>
              <w:rPr>
                <w:rFonts w:hint="default" w:ascii="Times New Roman" w:hAnsi="Times New Roman" w:cs="Times New Roman"/>
                <w:bCs/>
                <w:color w:val="auto"/>
                <w:sz w:val="24"/>
                <w:szCs w:val="22"/>
              </w:rPr>
              <w:t>d，抑尘用水全部蒸发损耗，用水量为</w:t>
            </w:r>
            <w:r>
              <w:rPr>
                <w:rFonts w:hint="eastAsia" w:ascii="Times New Roman" w:hAnsi="Times New Roman" w:cs="Times New Roman"/>
                <w:bCs/>
                <w:color w:val="auto"/>
                <w:sz w:val="24"/>
                <w:szCs w:val="22"/>
                <w:lang w:val="en-US" w:eastAsia="zh-CN"/>
              </w:rPr>
              <w:t>34.1</w:t>
            </w:r>
            <w:r>
              <w:rPr>
                <w:rFonts w:hint="default" w:ascii="Times New Roman" w:hAnsi="Times New Roman" w:cs="Times New Roman"/>
                <w:bCs/>
                <w:color w:val="auto"/>
                <w:sz w:val="24"/>
                <w:szCs w:val="22"/>
              </w:rPr>
              <w:t>m</w:t>
            </w:r>
            <w:r>
              <w:rPr>
                <w:rFonts w:hint="default" w:ascii="Times New Roman" w:hAnsi="Times New Roman" w:cs="Times New Roman"/>
                <w:bCs/>
                <w:color w:val="auto"/>
                <w:sz w:val="24"/>
                <w:szCs w:val="22"/>
                <w:vertAlign w:val="superscript"/>
              </w:rPr>
              <w:t>3</w:t>
            </w:r>
            <w:r>
              <w:rPr>
                <w:rFonts w:hint="default" w:ascii="Times New Roman" w:hAnsi="Times New Roman" w:cs="Times New Roman"/>
                <w:bCs/>
                <w:color w:val="auto"/>
                <w:sz w:val="24"/>
                <w:szCs w:val="22"/>
              </w:rPr>
              <w:t>/d(</w:t>
            </w:r>
            <w:r>
              <w:rPr>
                <w:rFonts w:hint="eastAsia" w:ascii="Times New Roman" w:hAnsi="Times New Roman" w:cs="Times New Roman"/>
                <w:bCs/>
                <w:color w:val="auto"/>
                <w:sz w:val="24"/>
                <w:szCs w:val="22"/>
                <w:lang w:val="en-US" w:eastAsia="zh-CN"/>
              </w:rPr>
              <w:t>11253</w:t>
            </w:r>
            <w:r>
              <w:rPr>
                <w:rFonts w:hint="default" w:ascii="Times New Roman" w:hAnsi="Times New Roman" w:cs="Times New Roman"/>
                <w:bCs/>
                <w:color w:val="auto"/>
                <w:sz w:val="24"/>
                <w:szCs w:val="22"/>
              </w:rPr>
              <w:t>m</w:t>
            </w:r>
            <w:r>
              <w:rPr>
                <w:rFonts w:hint="default" w:ascii="Times New Roman" w:hAnsi="Times New Roman" w:cs="Times New Roman"/>
                <w:bCs/>
                <w:color w:val="auto"/>
                <w:sz w:val="24"/>
                <w:szCs w:val="22"/>
                <w:vertAlign w:val="superscript"/>
              </w:rPr>
              <w:t>3</w:t>
            </w:r>
            <w:r>
              <w:rPr>
                <w:rFonts w:hint="default" w:ascii="Times New Roman" w:hAnsi="Times New Roman" w:cs="Times New Roman"/>
                <w:bCs/>
                <w:color w:val="auto"/>
                <w:sz w:val="24"/>
                <w:szCs w:val="22"/>
              </w:rPr>
              <w:t>/a</w:t>
            </w:r>
            <w:r>
              <w:rPr>
                <w:rFonts w:hint="eastAsia" w:ascii="Times New Roman" w:hAnsi="Times New Roman" w:cs="Times New Roman"/>
                <w:bCs/>
                <w:color w:val="auto"/>
                <w:sz w:val="24"/>
                <w:szCs w:val="22"/>
                <w:lang w:eastAsia="zh-CN"/>
              </w:rPr>
              <w:t>）</w:t>
            </w:r>
            <w:r>
              <w:rPr>
                <w:rFonts w:hint="default" w:ascii="Times New Roman" w:hAnsi="Times New Roman" w:cs="Times New Roman"/>
                <w:bCs/>
                <w:color w:val="auto"/>
                <w:sz w:val="24"/>
                <w:szCs w:val="22"/>
              </w:rPr>
              <w:t>。</w:t>
            </w:r>
            <w:bookmarkEnd w:id="10"/>
            <w:r>
              <w:rPr>
                <w:rFonts w:hint="default" w:ascii="Times New Roman" w:hAnsi="Times New Roman" w:cs="Times New Roman"/>
                <w:bCs/>
                <w:color w:val="auto"/>
                <w:sz w:val="24"/>
                <w:lang w:val="en-GB"/>
              </w:rPr>
              <w:t>本次扩建不新增劳动定员，无新增生活用水量。</w:t>
            </w:r>
          </w:p>
          <w:p w14:paraId="6BFC2F04">
            <w:pPr>
              <w:adjustRightInd w:val="0"/>
              <w:snapToGrid w:val="0"/>
              <w:spacing w:line="440" w:lineRule="exact"/>
              <w:ind w:firstLine="480" w:firstLineChars="200"/>
              <w:rPr>
                <w:rFonts w:hint="default" w:ascii="Times New Roman" w:hAnsi="Times New Roman" w:cs="Times New Roman"/>
                <w:bCs/>
                <w:color w:val="auto"/>
                <w:sz w:val="24"/>
                <w:szCs w:val="22"/>
                <w:lang w:val="en-GB"/>
              </w:rPr>
            </w:pPr>
            <w:r>
              <w:rPr>
                <w:rFonts w:hint="default" w:ascii="Times New Roman" w:hAnsi="Times New Roman" w:cs="Times New Roman"/>
                <w:bCs/>
                <w:color w:val="auto"/>
                <w:sz w:val="24"/>
                <w:szCs w:val="22"/>
                <w:lang w:val="en-GB"/>
              </w:rPr>
              <w:t>②排水</w:t>
            </w:r>
          </w:p>
          <w:p w14:paraId="44A49AD3">
            <w:pPr>
              <w:spacing w:line="440" w:lineRule="exact"/>
              <w:ind w:firstLine="480" w:firstLineChars="200"/>
              <w:rPr>
                <w:rFonts w:hint="eastAsia"/>
                <w:color w:val="auto"/>
                <w:sz w:val="24"/>
                <w:szCs w:val="22"/>
              </w:rPr>
            </w:pPr>
            <w:bookmarkStart w:id="11" w:name="_Hlk163495164"/>
            <w:r>
              <w:rPr>
                <w:rFonts w:hint="eastAsia"/>
                <w:color w:val="auto"/>
                <w:sz w:val="24"/>
              </w:rPr>
              <w:t>项目无废水外排；</w:t>
            </w:r>
            <w:r>
              <w:rPr>
                <w:rFonts w:hint="eastAsia"/>
                <w:color w:val="auto"/>
                <w:sz w:val="24"/>
                <w:szCs w:val="22"/>
              </w:rPr>
              <w:t>不新增劳动定员，无新增生活废水。</w:t>
            </w:r>
            <w:bookmarkEnd w:id="11"/>
          </w:p>
          <w:p w14:paraId="79D4598E">
            <w:pPr>
              <w:spacing w:line="440" w:lineRule="exact"/>
              <w:ind w:firstLine="482" w:firstLineChars="200"/>
              <w:rPr>
                <w:bCs/>
                <w:color w:val="0000FF"/>
                <w:sz w:val="24"/>
              </w:rPr>
            </w:pPr>
            <w:r>
              <w:rPr>
                <w:b/>
                <w:color w:val="0000FF"/>
                <w:sz w:val="24"/>
              </w:rPr>
              <mc:AlternateContent>
                <mc:Choice Requires="wps">
                  <w:drawing>
                    <wp:anchor distT="0" distB="0" distL="114300" distR="114300" simplePos="0" relativeHeight="251675648" behindDoc="0" locked="0" layoutInCell="1" allowOverlap="1">
                      <wp:simplePos x="0" y="0"/>
                      <wp:positionH relativeFrom="column">
                        <wp:posOffset>502285</wp:posOffset>
                      </wp:positionH>
                      <wp:positionV relativeFrom="paragraph">
                        <wp:posOffset>59690</wp:posOffset>
                      </wp:positionV>
                      <wp:extent cx="962025" cy="302260"/>
                      <wp:effectExtent l="0" t="0" r="0" b="0"/>
                      <wp:wrapNone/>
                      <wp:docPr id="1619740220" name="文本框 1619740220"/>
                      <wp:cNvGraphicFramePr/>
                      <a:graphic xmlns:a="http://schemas.openxmlformats.org/drawingml/2006/main">
                        <a:graphicData uri="http://schemas.microsoft.com/office/word/2010/wordprocessingShape">
                          <wps:wsp>
                            <wps:cNvSpPr txBox="1"/>
                            <wps:spPr>
                              <a:xfrm>
                                <a:off x="0" y="0"/>
                                <a:ext cx="962025" cy="302260"/>
                              </a:xfrm>
                              <a:prstGeom prst="rect">
                                <a:avLst/>
                              </a:prstGeom>
                              <a:noFill/>
                              <a:ln>
                                <a:noFill/>
                              </a:ln>
                            </wps:spPr>
                            <wps:txbx>
                              <w:txbxContent>
                                <w:p w14:paraId="1259D02D">
                                  <w:pPr>
                                    <w:rPr>
                                      <w:rFonts w:hint="eastAsia" w:eastAsia="宋体"/>
                                      <w:lang w:val="en-US" w:eastAsia="zh-CN"/>
                                    </w:rPr>
                                  </w:pPr>
                                  <w:r>
                                    <w:rPr>
                                      <w:rFonts w:hint="eastAsia"/>
                                    </w:rPr>
                                    <w:t>疏干水</w:t>
                                  </w:r>
                                  <w:r>
                                    <w:rPr>
                                      <w:rFonts w:hint="eastAsia"/>
                                      <w:lang w:val="en-US" w:eastAsia="zh-CN"/>
                                    </w:rPr>
                                    <w:t>34</w:t>
                                  </w:r>
                                  <w:r>
                                    <w:rPr>
                                      <w:rFonts w:hint="eastAsia"/>
                                    </w:rPr>
                                    <w:t>.</w:t>
                                  </w:r>
                                  <w:r>
                                    <w:rPr>
                                      <w:rFonts w:hint="eastAsia"/>
                                      <w:lang w:val="en-US" w:eastAsia="zh-CN"/>
                                    </w:rPr>
                                    <w:t>1</w:t>
                                  </w:r>
                                </w:p>
                              </w:txbxContent>
                            </wps:txbx>
                            <wps:bodyPr wrap="square" upright="1"/>
                          </wps:wsp>
                        </a:graphicData>
                      </a:graphic>
                    </wp:anchor>
                  </w:drawing>
                </mc:Choice>
                <mc:Fallback>
                  <w:pict>
                    <v:shape id="_x0000_s1026" o:spid="_x0000_s1026" o:spt="202" type="#_x0000_t202" style="position:absolute;left:0pt;margin-left:39.55pt;margin-top:4.7pt;height:23.8pt;width:75.75pt;z-index:251675648;mso-width-relative:page;mso-height-relative:page;" filled="f" stroked="f" coordsize="21600,21600" o:gfxdata="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KzxL41QAAAAcBAAAPAAAAAAAAAAEAIAAAACIAAABkcnMvZG93bnJldi54bWxQSwEC&#10;FAAUAAAACACHTuJATdcWRr4BAABtAwAADgAAAAAAAAABACAAAAAkAQAAZHJzL2Uyb0RvYy54bWxQ&#10;SwUGAAAAAAYABgBZAQAAVAUAAAAA&#10;">
                      <v:fill on="f" focussize="0,0"/>
                      <v:stroke on="f"/>
                      <v:imagedata o:title=""/>
                      <o:lock v:ext="edit" aspectratio="f"/>
                      <v:textbox>
                        <w:txbxContent>
                          <w:p w14:paraId="1259D02D">
                            <w:pPr>
                              <w:rPr>
                                <w:rFonts w:hint="eastAsia" w:eastAsia="宋体"/>
                                <w:lang w:val="en-US" w:eastAsia="zh-CN"/>
                              </w:rPr>
                            </w:pPr>
                            <w:r>
                              <w:rPr>
                                <w:rFonts w:hint="eastAsia"/>
                              </w:rPr>
                              <w:t>疏干水</w:t>
                            </w:r>
                            <w:r>
                              <w:rPr>
                                <w:rFonts w:hint="eastAsia"/>
                                <w:lang w:val="en-US" w:eastAsia="zh-CN"/>
                              </w:rPr>
                              <w:t>34</w:t>
                            </w:r>
                            <w:r>
                              <w:rPr>
                                <w:rFonts w:hint="eastAsia"/>
                              </w:rPr>
                              <w:t>.</w:t>
                            </w:r>
                            <w:r>
                              <w:rPr>
                                <w:rFonts w:hint="eastAsia"/>
                                <w:lang w:val="en-US" w:eastAsia="zh-CN"/>
                              </w:rPr>
                              <w:t>1</w:t>
                            </w:r>
                          </w:p>
                        </w:txbxContent>
                      </v:textbox>
                    </v:shape>
                  </w:pict>
                </mc:Fallback>
              </mc:AlternateContent>
            </w:r>
            <w:r>
              <w:rPr>
                <w:bCs/>
                <w:color w:val="0000FF"/>
                <w:sz w:val="24"/>
              </w:rPr>
              <mc:AlternateContent>
                <mc:Choice Requires="wps">
                  <w:drawing>
                    <wp:anchor distT="0" distB="0" distL="114300" distR="114300" simplePos="0" relativeHeight="251674624" behindDoc="0" locked="0" layoutInCell="1" allowOverlap="1">
                      <wp:simplePos x="0" y="0"/>
                      <wp:positionH relativeFrom="column">
                        <wp:posOffset>565785</wp:posOffset>
                      </wp:positionH>
                      <wp:positionV relativeFrom="paragraph">
                        <wp:posOffset>288290</wp:posOffset>
                      </wp:positionV>
                      <wp:extent cx="707390" cy="0"/>
                      <wp:effectExtent l="0" t="4445" r="0" b="5080"/>
                      <wp:wrapNone/>
                      <wp:docPr id="999314710" name="直接箭头连接符 999314710"/>
                      <wp:cNvGraphicFramePr/>
                      <a:graphic xmlns:a="http://schemas.openxmlformats.org/drawingml/2006/main">
                        <a:graphicData uri="http://schemas.microsoft.com/office/word/2010/wordprocessingShape">
                          <wps:wsp>
                            <wps:cNvCnPr/>
                            <wps:spPr>
                              <a:xfrm>
                                <a:off x="0" y="0"/>
                                <a:ext cx="7073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55pt;margin-top:22.7pt;height:0pt;width:55.7pt;z-index:251674624;mso-width-relative:page;mso-height-relative:page;" filled="f" stroked="t" coordsize="21600,21600" o:gfxdata="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GY9jHWAAAACAEAAA8AAAAAAAAAAQAgAAAAIgAAAGRycy9k&#10;b3ducmV2LnhtbFBLAQIUABQAAAAIAIdO4kBP1sqfBAIAAPsDAAAOAAAAAAAAAAEAIAAAACUBAABk&#10;cnMvZTJvRG9jLnhtbFBLBQYAAAAABgAGAFkBAACbBQAAAAA=&#10;">
                      <v:fill on="f" focussize="0,0"/>
                      <v:stroke color="#000000" joinstyle="round"/>
                      <v:imagedata o:title=""/>
                      <o:lock v:ext="edit" aspectratio="f"/>
                    </v:shape>
                  </w:pict>
                </mc:Fallback>
              </mc:AlternateContent>
            </w:r>
          </w:p>
          <w:p w14:paraId="1A9402E0">
            <w:pPr>
              <w:tabs>
                <w:tab w:val="left" w:pos="3052"/>
              </w:tabs>
              <w:spacing w:line="440" w:lineRule="exact"/>
              <w:ind w:firstLine="480" w:firstLineChars="200"/>
              <w:rPr>
                <w:bCs/>
                <w:color w:val="0000FF"/>
                <w:sz w:val="24"/>
              </w:rPr>
            </w:pPr>
            <w:r>
              <w:rPr>
                <w:bCs/>
                <w:color w:val="0000FF"/>
                <w:sz w:val="24"/>
              </w:rPr>
              <mc:AlternateContent>
                <mc:Choice Requires="wps">
                  <w:drawing>
                    <wp:anchor distT="0" distB="0" distL="114300" distR="114300" simplePos="0" relativeHeight="251672576" behindDoc="0" locked="0" layoutInCell="1" allowOverlap="1">
                      <wp:simplePos x="0" y="0"/>
                      <wp:positionH relativeFrom="column">
                        <wp:posOffset>2214245</wp:posOffset>
                      </wp:positionH>
                      <wp:positionV relativeFrom="paragraph">
                        <wp:posOffset>167640</wp:posOffset>
                      </wp:positionV>
                      <wp:extent cx="1313180" cy="302260"/>
                      <wp:effectExtent l="4445" t="4445" r="15875" b="17145"/>
                      <wp:wrapNone/>
                      <wp:docPr id="1132375026" name="文本框 1132375026"/>
                      <wp:cNvGraphicFramePr/>
                      <a:graphic xmlns:a="http://schemas.openxmlformats.org/drawingml/2006/main">
                        <a:graphicData uri="http://schemas.microsoft.com/office/word/2010/wordprocessingShape">
                          <wps:wsp>
                            <wps:cNvSpPr txBox="1"/>
                            <wps:spPr>
                              <a:xfrm>
                                <a:off x="0" y="0"/>
                                <a:ext cx="1313180" cy="3022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10FBCC">
                                  <w:r>
                                    <w:rPr>
                                      <w:rFonts w:hint="eastAsia"/>
                                    </w:rPr>
                                    <w:t>储棚抑尘（-</w:t>
                                  </w:r>
                                  <w:r>
                                    <w:rPr>
                                      <w:rFonts w:hint="eastAsia"/>
                                      <w:lang w:val="en-US" w:eastAsia="zh-CN"/>
                                    </w:rPr>
                                    <w:t>34.1</w:t>
                                  </w:r>
                                  <w:r>
                                    <w:rPr>
                                      <w:rFonts w:hint="eastAsia"/>
                                    </w:rPr>
                                    <w:t>）</w:t>
                                  </w:r>
                                </w:p>
                              </w:txbxContent>
                            </wps:txbx>
                            <wps:bodyPr wrap="square" upright="1"/>
                          </wps:wsp>
                        </a:graphicData>
                      </a:graphic>
                    </wp:anchor>
                  </w:drawing>
                </mc:Choice>
                <mc:Fallback>
                  <w:pict>
                    <v:shape id="_x0000_s1026" o:spid="_x0000_s1026" o:spt="202" type="#_x0000_t202" style="position:absolute;left:0pt;margin-left:174.35pt;margin-top:13.2pt;height:23.8pt;width:103.4pt;z-index:251672576;mso-width-relative:page;mso-height-relative:page;" fillcolor="#FFFFFF" filled="t" stroked="t" coordsize="21600,21600" o:gfxdata="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5GwU5dgA&#10;AAAJAQAADwAAAAAAAAABACAAAAAiAAAAZHJzL2Rvd25yZXYueG1sUEsBAhQAFAAAAAgAh07iQGUY&#10;AzYfAgAAVgQAAA4AAAAAAAAAAQAgAAAAJwEAAGRycy9lMm9Eb2MueG1sUEsFBgAAAAAGAAYAWQEA&#10;ALgFAAAAAA==&#10;">
                      <v:fill on="t" focussize="0,0"/>
                      <v:stroke color="#000000" joinstyle="miter"/>
                      <v:imagedata o:title=""/>
                      <o:lock v:ext="edit" aspectratio="f"/>
                      <v:textbox>
                        <w:txbxContent>
                          <w:p w14:paraId="3410FBCC">
                            <w:r>
                              <w:rPr>
                                <w:rFonts w:hint="eastAsia"/>
                              </w:rPr>
                              <w:t>储棚抑尘（-</w:t>
                            </w:r>
                            <w:r>
                              <w:rPr>
                                <w:rFonts w:hint="eastAsia"/>
                                <w:lang w:val="en-US" w:eastAsia="zh-CN"/>
                              </w:rPr>
                              <w:t>34.1</w:t>
                            </w:r>
                            <w:r>
                              <w:rPr>
                                <w:rFonts w:hint="eastAsia"/>
                              </w:rPr>
                              <w:t>）</w:t>
                            </w:r>
                          </w:p>
                        </w:txbxContent>
                      </v:textbox>
                    </v:shape>
                  </w:pict>
                </mc:Fallback>
              </mc:AlternateContent>
            </w:r>
            <w:r>
              <w:rPr>
                <w:bCs/>
                <w:color w:val="0000FF"/>
                <w:sz w:val="24"/>
              </w:rPr>
              <mc:AlternateContent>
                <mc:Choice Requires="wps">
                  <w:drawing>
                    <wp:anchor distT="0" distB="0" distL="114300" distR="114300" simplePos="0" relativeHeight="251676672" behindDoc="0" locked="0" layoutInCell="1" allowOverlap="1">
                      <wp:simplePos x="0" y="0"/>
                      <wp:positionH relativeFrom="column">
                        <wp:posOffset>921385</wp:posOffset>
                      </wp:positionH>
                      <wp:positionV relativeFrom="paragraph">
                        <wp:posOffset>8890</wp:posOffset>
                      </wp:positionV>
                      <wp:extent cx="9525" cy="342900"/>
                      <wp:effectExtent l="4445" t="0" r="5080" b="0"/>
                      <wp:wrapNone/>
                      <wp:docPr id="1574186926" name="直接连接符 12"/>
                      <wp:cNvGraphicFramePr/>
                      <a:graphic xmlns:a="http://schemas.openxmlformats.org/drawingml/2006/main">
                        <a:graphicData uri="http://schemas.microsoft.com/office/word/2010/wordprocessingShape">
                          <wps:wsp>
                            <wps:cNvCnPr/>
                            <wps:spPr>
                              <a:xfrm flipH="1">
                                <a:off x="0" y="0"/>
                                <a:ext cx="9525"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2" o:spid="_x0000_s1026" o:spt="20" style="position:absolute;left:0pt;flip:x;margin-left:72.55pt;margin-top:0.7pt;height:27pt;width:0.75pt;z-index:251676672;mso-width-relative:page;mso-height-relative:page;" filled="f" stroked="t" coordsize="21600,21600" o:gfxdata="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6r5yK1QAAAAgBAAAPAAAAAAAAAAEAIAAAACIAAABkcnMvZG93bnJldi54bWxQSwEC&#10;FAAUAAAACACHTuJAeyLHOfcBAADHAwAADgAAAAAAAAABACAAAAAkAQAAZHJzL2Uyb0RvYy54bWxQ&#10;SwUGAAAAAAYABgBZAQAAjQUAAAAA&#10;">
                      <v:fill on="f" focussize="0,0"/>
                      <v:stroke weight="0.5pt" color="#000000 [3213]" miterlimit="8" joinstyle="miter"/>
                      <v:imagedata o:title=""/>
                      <o:lock v:ext="edit" aspectratio="f"/>
                    </v:line>
                  </w:pict>
                </mc:Fallback>
              </mc:AlternateContent>
            </w:r>
            <w:r>
              <w:rPr>
                <w:bCs/>
                <w:color w:val="0000FF"/>
                <w:sz w:val="24"/>
              </w:rPr>
              <mc:AlternateContent>
                <mc:Choice Requires="wps">
                  <w:drawing>
                    <wp:anchor distT="0" distB="0" distL="114300" distR="114300" simplePos="0" relativeHeight="251673600" behindDoc="0" locked="0" layoutInCell="1" allowOverlap="1">
                      <wp:simplePos x="0" y="0"/>
                      <wp:positionH relativeFrom="column">
                        <wp:posOffset>1186815</wp:posOffset>
                      </wp:positionH>
                      <wp:positionV relativeFrom="paragraph">
                        <wp:posOffset>121285</wp:posOffset>
                      </wp:positionV>
                      <wp:extent cx="580390" cy="30226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580390" cy="302260"/>
                              </a:xfrm>
                              <a:prstGeom prst="rect">
                                <a:avLst/>
                              </a:prstGeom>
                              <a:noFill/>
                              <a:ln>
                                <a:noFill/>
                              </a:ln>
                            </wps:spPr>
                            <wps:txbx>
                              <w:txbxContent>
                                <w:p w14:paraId="0F937F90">
                                  <w:pPr>
                                    <w:rPr>
                                      <w:rFonts w:hint="eastAsia" w:eastAsia="宋体"/>
                                      <w:lang w:val="en-US" w:eastAsia="zh-CN"/>
                                    </w:rPr>
                                  </w:pPr>
                                  <w:r>
                                    <w:rPr>
                                      <w:rFonts w:hint="eastAsia"/>
                                      <w:lang w:val="en-US" w:eastAsia="zh-CN"/>
                                    </w:rPr>
                                    <w:t>34.1</w:t>
                                  </w:r>
                                </w:p>
                              </w:txbxContent>
                            </wps:txbx>
                            <wps:bodyPr upright="1"/>
                          </wps:wsp>
                        </a:graphicData>
                      </a:graphic>
                    </wp:anchor>
                  </w:drawing>
                </mc:Choice>
                <mc:Fallback>
                  <w:pict>
                    <v:shape id="_x0000_s1026" o:spid="_x0000_s1026" o:spt="202" type="#_x0000_t202" style="position:absolute;left:0pt;margin-left:93.45pt;margin-top:9.55pt;height:23.8pt;width:45.7pt;z-index:251673600;mso-width-relative:page;mso-height-relative:page;" filled="f" stroked="f" coordsize="21600,21600" o:gfxdata="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1sxUFtcA&#10;AAAJAQAADwAAAAAAAAABACAAAAAiAAAAZHJzL2Rvd25yZXYueG1sUEsBAhQAFAAAAAgAh07iQNyW&#10;EOWuAQAATwMAAA4AAAAAAAAAAQAgAAAAJgEAAGRycy9lMm9Eb2MueG1sUEsFBgAAAAAGAAYAWQEA&#10;AEYFAAAAAA==&#10;">
                      <v:fill on="f" focussize="0,0"/>
                      <v:stroke on="f"/>
                      <v:imagedata o:title=""/>
                      <o:lock v:ext="edit" aspectratio="f"/>
                      <v:textbox>
                        <w:txbxContent>
                          <w:p w14:paraId="0F937F90">
                            <w:pPr>
                              <w:rPr>
                                <w:rFonts w:hint="eastAsia" w:eastAsia="宋体"/>
                                <w:lang w:val="en-US" w:eastAsia="zh-CN"/>
                              </w:rPr>
                            </w:pPr>
                            <w:r>
                              <w:rPr>
                                <w:rFonts w:hint="eastAsia"/>
                                <w:lang w:val="en-US" w:eastAsia="zh-CN"/>
                              </w:rPr>
                              <w:t>34.1</w:t>
                            </w:r>
                          </w:p>
                        </w:txbxContent>
                      </v:textbox>
                    </v:shape>
                  </w:pict>
                </mc:Fallback>
              </mc:AlternateContent>
            </w:r>
          </w:p>
          <w:p w14:paraId="0A98861F">
            <w:pPr>
              <w:tabs>
                <w:tab w:val="left" w:pos="3052"/>
              </w:tabs>
              <w:spacing w:line="440" w:lineRule="exact"/>
              <w:ind w:firstLine="480" w:firstLineChars="200"/>
              <w:rPr>
                <w:bCs/>
                <w:color w:val="0000FF"/>
                <w:sz w:val="24"/>
              </w:rPr>
            </w:pPr>
            <w:r>
              <w:rPr>
                <w:bCs/>
                <w:color w:val="0000FF"/>
                <w:sz w:val="24"/>
              </w:rPr>
              <mc:AlternateContent>
                <mc:Choice Requires="wps">
                  <w:drawing>
                    <wp:anchor distT="0" distB="0" distL="114300" distR="114300" simplePos="0" relativeHeight="251671552" behindDoc="0" locked="0" layoutInCell="1" allowOverlap="1">
                      <wp:simplePos x="0" y="0"/>
                      <wp:positionH relativeFrom="column">
                        <wp:posOffset>926465</wp:posOffset>
                      </wp:positionH>
                      <wp:positionV relativeFrom="paragraph">
                        <wp:posOffset>71755</wp:posOffset>
                      </wp:positionV>
                      <wp:extent cx="1264285" cy="0"/>
                      <wp:effectExtent l="0" t="38100" r="12065" b="38100"/>
                      <wp:wrapNone/>
                      <wp:docPr id="1710040715" name="直接箭头连接符 1710040715"/>
                      <wp:cNvGraphicFramePr/>
                      <a:graphic xmlns:a="http://schemas.openxmlformats.org/drawingml/2006/main">
                        <a:graphicData uri="http://schemas.microsoft.com/office/word/2010/wordprocessingShape">
                          <wps:wsp>
                            <wps:cNvCnPr/>
                            <wps:spPr>
                              <a:xfrm>
                                <a:off x="0" y="0"/>
                                <a:ext cx="126428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72.95pt;margin-top:5.65pt;height:0pt;width:99.55pt;z-index:251671552;mso-width-relative:page;mso-height-relative:page;" filled="f" stroked="t" coordsize="21600,21600" o:gfxdata="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vnJ32AAAAAkBAAAPAAAAAAAAAAEAIAAA&#10;ACIAAABkcnMvZG93bnJldi54bWxQSwECFAAUAAAACACHTuJAQvCwQQwCAAACBAAADgAAAAAAAAAB&#10;ACAAAAAnAQAAZHJzL2Uyb0RvYy54bWxQSwUGAAAAAAYABgBZAQAApQUAAAAA&#10;">
                      <v:fill on="f" focussize="0,0"/>
                      <v:stroke color="#000000" joinstyle="round" endarrow="block"/>
                      <v:imagedata o:title=""/>
                      <o:lock v:ext="edit" aspectratio="f"/>
                    </v:shape>
                  </w:pict>
                </mc:Fallback>
              </mc:AlternateContent>
            </w:r>
            <w:r>
              <w:rPr>
                <w:color w:val="0000FF"/>
                <w:sz w:val="24"/>
              </w:rPr>
              <mc:AlternateContent>
                <mc:Choice Requires="wps">
                  <w:drawing>
                    <wp:anchor distT="0" distB="0" distL="114300" distR="114300" simplePos="0" relativeHeight="251670528" behindDoc="0" locked="0" layoutInCell="1" allowOverlap="1">
                      <wp:simplePos x="0" y="0"/>
                      <wp:positionH relativeFrom="column">
                        <wp:posOffset>993775</wp:posOffset>
                      </wp:positionH>
                      <wp:positionV relativeFrom="paragraph">
                        <wp:posOffset>202565</wp:posOffset>
                      </wp:positionV>
                      <wp:extent cx="3305175" cy="392430"/>
                      <wp:effectExtent l="0" t="0" r="0" b="0"/>
                      <wp:wrapNone/>
                      <wp:docPr id="787953630" name="Text Box 64"/>
                      <wp:cNvGraphicFramePr/>
                      <a:graphic xmlns:a="http://schemas.openxmlformats.org/drawingml/2006/main">
                        <a:graphicData uri="http://schemas.microsoft.com/office/word/2010/wordprocessingShape">
                          <wps:wsp>
                            <wps:cNvSpPr txBox="1">
                              <a:spLocks noChangeArrowheads="1"/>
                            </wps:cNvSpPr>
                            <wps:spPr bwMode="auto">
                              <a:xfrm>
                                <a:off x="0" y="0"/>
                                <a:ext cx="3305175" cy="392430"/>
                              </a:xfrm>
                              <a:prstGeom prst="rect">
                                <a:avLst/>
                              </a:prstGeom>
                              <a:noFill/>
                              <a:ln>
                                <a:noFill/>
                              </a:ln>
                              <a:effectLst/>
                            </wps:spPr>
                            <wps:txb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wps:txbx>
                            <wps:bodyPr rot="0" vert="horz" wrap="square" lIns="91440" tIns="45720" rIns="91440" bIns="45720" anchor="t" anchorCtr="0" upright="1">
                              <a:noAutofit/>
                            </wps:bodyPr>
                          </wps:wsp>
                        </a:graphicData>
                      </a:graphic>
                    </wp:anchor>
                  </w:drawing>
                </mc:Choice>
                <mc:Fallback>
                  <w:pict>
                    <v:shape id="Text Box 64" o:spid="_x0000_s1026" o:spt="202" type="#_x0000_t202" style="position:absolute;left:0pt;margin-left:78.25pt;margin-top:15.95pt;height:30.9pt;width:260.25pt;z-index:251670528;mso-width-relative:page;mso-height-relative:page;" filled="f" stroked="f" coordsize="21600,21600" o:gfxdata="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8+8Z9YAAAAJAQAADwAAAAAAAAAB&#10;ACAAAAAiAAAAZHJzL2Rvd25yZXYueG1sUEsBAhQAFAAAAAgAh07iQExmd7USAgAAKwQAAA4AAAAA&#10;AAAAAQAgAAAAJQEAAGRycy9lMm9Eb2MueG1sUEsFBgAAAAAGAAYAWQEAAKkFAAAAAA==&#10;">
                      <v:fill on="f" focussize="0,0"/>
                      <v:stroke on="f"/>
                      <v:imagedata o:title=""/>
                      <o:lock v:ext="edit" aspectratio="f"/>
                      <v:textbox>
                        <w:txbxContent>
                          <w:p w14:paraId="49A001FA">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v:textbox>
                    </v:shape>
                  </w:pict>
                </mc:Fallback>
              </mc:AlternateContent>
            </w:r>
          </w:p>
          <w:p w14:paraId="1A78B3A8">
            <w:pPr>
              <w:adjustRightInd w:val="0"/>
              <w:snapToGrid w:val="0"/>
              <w:spacing w:line="440" w:lineRule="exact"/>
              <w:jc w:val="center"/>
              <w:rPr>
                <w:color w:val="0000FF"/>
                <w:sz w:val="24"/>
                <w:szCs w:val="22"/>
              </w:rPr>
            </w:pPr>
          </w:p>
          <w:p w14:paraId="3F47A1CD">
            <w:pPr>
              <w:adjustRightInd w:val="0"/>
              <w:spacing w:line="360" w:lineRule="auto"/>
              <w:ind w:firstLine="482" w:firstLineChars="200"/>
              <w:rPr>
                <w:rFonts w:ascii="Times New Roman" w:hAnsi="Times New Roman" w:cs="Times New Roman"/>
                <w:b/>
                <w:bCs/>
                <w:sz w:val="24"/>
                <w:szCs w:val="21"/>
                <w:lang w:val="en-US"/>
              </w:rPr>
            </w:pPr>
            <w:r>
              <w:rPr>
                <w:rFonts w:hint="eastAsia" w:ascii="Times New Roman" w:hAnsi="Times New Roman" w:cs="Times New Roman"/>
                <w:b/>
                <w:bCs/>
                <w:sz w:val="24"/>
                <w:szCs w:val="21"/>
                <w:lang w:val="en-US"/>
              </w:rPr>
              <w:t>11</w:t>
            </w:r>
            <w:r>
              <w:rPr>
                <w:rFonts w:ascii="Times New Roman" w:hAnsi="Times New Roman" w:cs="Times New Roman"/>
                <w:b/>
                <w:bCs/>
                <w:sz w:val="24"/>
                <w:szCs w:val="21"/>
                <w:lang w:val="en-US"/>
              </w:rPr>
              <w:t>、</w:t>
            </w:r>
            <w:r>
              <w:rPr>
                <w:rFonts w:hint="eastAsia" w:ascii="Times New Roman" w:hAnsi="Times New Roman" w:cs="Times New Roman"/>
                <w:b/>
                <w:bCs/>
                <w:sz w:val="24"/>
                <w:szCs w:val="21"/>
                <w:lang w:val="en-US"/>
              </w:rPr>
              <w:t>平面布置</w:t>
            </w:r>
          </w:p>
          <w:p w14:paraId="6F7FF6A0">
            <w:pPr>
              <w:spacing w:line="360" w:lineRule="auto"/>
              <w:ind w:firstLine="480" w:firstLineChars="200"/>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本项目于2022年8月将原有车间及储煤棚全部拆除后，建设1座储煤棚位于办公生活区西侧，总占地面积约27069.80平方米。</w:t>
            </w:r>
          </w:p>
          <w:p w14:paraId="7C2B5837">
            <w:pPr>
              <w:spacing w:line="360" w:lineRule="auto"/>
              <w:ind w:firstLine="480" w:firstLineChars="200"/>
              <w:rPr>
                <w:rFonts w:hint="eastAsia"/>
                <w:lang w:val="en-US"/>
              </w:rPr>
            </w:pPr>
            <w:r>
              <w:rPr>
                <w:rFonts w:hint="eastAsia" w:ascii="Times New Roman" w:hAnsi="Times New Roman" w:cs="Times New Roman"/>
                <w:color w:val="auto"/>
                <w:sz w:val="24"/>
                <w:szCs w:val="24"/>
                <w:lang w:val="en-US" w:eastAsia="zh-CN"/>
              </w:rPr>
              <w:t>储煤棚内设3个汽车出入口。储煤棚外设置环形通道，储煤棚分区1#区域和2#区域，1#区域位于储煤棚南侧，从东向西依次为精煤区、洗煤区、中煤区、煤泥区；2#区域位于储煤棚北侧，从东向西依次为原煤区和矸石区，厂区平面布置图见附图3。</w:t>
            </w:r>
          </w:p>
        </w:tc>
      </w:tr>
      <w:tr w14:paraId="6708CD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22" w:hRule="atLeast"/>
        </w:trPr>
        <w:tc>
          <w:tcPr>
            <w:tcW w:w="400" w:type="dxa"/>
            <w:tcBorders>
              <w:bottom w:val="single" w:color="auto" w:sz="4" w:space="0"/>
              <w:right w:val="single" w:color="000000" w:sz="4" w:space="0"/>
            </w:tcBorders>
            <w:vAlign w:val="center"/>
          </w:tcPr>
          <w:p w14:paraId="7D90E9B2">
            <w:pPr>
              <w:spacing w:line="520" w:lineRule="exact"/>
              <w:jc w:val="center"/>
              <w:rPr>
                <w:rFonts w:ascii="Times New Roman" w:hAnsi="Times New Roman" w:cs="Times New Roman"/>
                <w:sz w:val="20"/>
              </w:rPr>
            </w:pPr>
            <w:bookmarkStart w:id="12" w:name="3、生产规模及内容"/>
            <w:bookmarkEnd w:id="12"/>
            <w:r>
              <w:rPr>
                <w:rFonts w:ascii="Times New Roman" w:hAnsi="Times New Roman" w:cs="Times New Roman"/>
                <w:spacing w:val="-2"/>
                <w:sz w:val="24"/>
                <w:szCs w:val="24"/>
                <w:lang w:val="en-US"/>
              </w:rPr>
              <w:t>工艺流程和产排污环节</w:t>
            </w:r>
          </w:p>
        </w:tc>
        <w:tc>
          <w:tcPr>
            <w:tcW w:w="9598" w:type="dxa"/>
            <w:tcBorders>
              <w:left w:val="single" w:color="000000" w:sz="4" w:space="0"/>
              <w:bottom w:val="single" w:color="auto" w:sz="4" w:space="0"/>
            </w:tcBorders>
          </w:tcPr>
          <w:p w14:paraId="770AD46E">
            <w:pPr>
              <w:tabs>
                <w:tab w:val="left" w:pos="895"/>
              </w:tabs>
              <w:spacing w:line="520" w:lineRule="exact"/>
              <w:ind w:firstLine="482" w:firstLineChars="200"/>
              <w:jc w:val="both"/>
              <w:rPr>
                <w:rFonts w:ascii="Times New Roman" w:hAnsi="Times New Roman" w:cs="Times New Roman"/>
                <w:b/>
                <w:bCs/>
                <w:sz w:val="24"/>
                <w:lang w:val="en-US"/>
              </w:rPr>
            </w:pPr>
            <w:r>
              <w:rPr>
                <w:rFonts w:ascii="Times New Roman" w:hAnsi="Times New Roman" w:cs="Times New Roman"/>
                <w:b/>
                <w:bCs/>
                <w:sz w:val="24"/>
                <w:lang w:val="en-US"/>
              </w:rPr>
              <w:t>1、施工期工艺流程及产污情况</w:t>
            </w:r>
          </w:p>
          <w:p w14:paraId="799010B2">
            <w:pPr>
              <w:tabs>
                <w:tab w:val="left" w:pos="895"/>
              </w:tabs>
              <w:topLinePunct/>
              <w:autoSpaceDE/>
              <w:autoSpaceDN/>
              <w:spacing w:line="520" w:lineRule="exact"/>
              <w:ind w:firstLine="480" w:firstLineChars="200"/>
              <w:jc w:val="both"/>
              <w:rPr>
                <w:rFonts w:ascii="Times New Roman" w:hAnsi="Times New Roman" w:cs="Times New Roman"/>
                <w:sz w:val="24"/>
                <w:lang w:val="en-US"/>
              </w:rPr>
            </w:pPr>
            <w:r>
              <w:rPr>
                <w:rFonts w:ascii="Times New Roman" w:hAnsi="Times New Roman" w:cs="Times New Roman"/>
                <w:sz w:val="24"/>
                <w:lang w:val="en-US"/>
              </w:rPr>
              <w:t>施工期施工流程及主要污染物产生情况见下图。</w:t>
            </w:r>
          </w:p>
          <w:p w14:paraId="1AC552A4">
            <w:pPr>
              <w:tabs>
                <w:tab w:val="left" w:pos="895"/>
              </w:tabs>
              <w:topLinePunct/>
              <w:autoSpaceDE/>
              <w:autoSpaceDN/>
              <w:jc w:val="both"/>
              <w:rPr>
                <w:rFonts w:ascii="Times New Roman" w:hAnsi="Times New Roman" w:cs="Times New Roman"/>
                <w:sz w:val="24"/>
                <w:lang w:val="en-US"/>
              </w:rPr>
            </w:pPr>
            <w:r>
              <w:drawing>
                <wp:anchor distT="0" distB="0" distL="114300" distR="114300" simplePos="0" relativeHeight="251665408" behindDoc="1" locked="0" layoutInCell="1" allowOverlap="1">
                  <wp:simplePos x="0" y="0"/>
                  <wp:positionH relativeFrom="column">
                    <wp:posOffset>285750</wp:posOffset>
                  </wp:positionH>
                  <wp:positionV relativeFrom="paragraph">
                    <wp:posOffset>41275</wp:posOffset>
                  </wp:positionV>
                  <wp:extent cx="5419725" cy="1524000"/>
                  <wp:effectExtent l="0" t="0" r="9525" b="0"/>
                  <wp:wrapTight wrapText="bothSides">
                    <wp:wrapPolygon>
                      <wp:start x="0" y="0"/>
                      <wp:lineTo x="0" y="21330"/>
                      <wp:lineTo x="21562" y="21330"/>
                      <wp:lineTo x="21562" y="0"/>
                      <wp:lineTo x="0" y="0"/>
                    </wp:wrapPolygon>
                  </wp:wrapTight>
                  <wp:docPr id="27" name="图片 27" descr="微信截图_2024120617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截图_20241206172129"/>
                          <pic:cNvPicPr>
                            <a:picLocks noChangeAspect="1"/>
                          </pic:cNvPicPr>
                        </pic:nvPicPr>
                        <pic:blipFill>
                          <a:blip r:embed="rId13"/>
                          <a:stretch>
                            <a:fillRect/>
                          </a:stretch>
                        </pic:blipFill>
                        <pic:spPr>
                          <a:xfrm>
                            <a:off x="0" y="0"/>
                            <a:ext cx="5419725" cy="1524000"/>
                          </a:xfrm>
                          <a:prstGeom prst="rect">
                            <a:avLst/>
                          </a:prstGeom>
                        </pic:spPr>
                      </pic:pic>
                    </a:graphicData>
                  </a:graphic>
                </wp:anchor>
              </w:drawing>
            </w:r>
          </w:p>
          <w:p w14:paraId="728969F3">
            <w:pPr>
              <w:tabs>
                <w:tab w:val="left" w:pos="895"/>
              </w:tabs>
              <w:topLinePunct/>
              <w:autoSpaceDE/>
              <w:autoSpaceDN/>
              <w:spacing w:line="520" w:lineRule="exact"/>
              <w:ind w:firstLine="480" w:firstLineChars="200"/>
              <w:jc w:val="both"/>
              <w:rPr>
                <w:rFonts w:ascii="Times New Roman" w:hAnsi="Times New Roman" w:cs="Times New Roman"/>
                <w:sz w:val="24"/>
                <w:lang w:val="en-US"/>
              </w:rPr>
            </w:pPr>
          </w:p>
          <w:p w14:paraId="7742E3E6">
            <w:pPr>
              <w:tabs>
                <w:tab w:val="left" w:pos="895"/>
              </w:tabs>
              <w:spacing w:line="520" w:lineRule="exact"/>
              <w:rPr>
                <w:rFonts w:ascii="Times New Roman" w:hAnsi="Times New Roman" w:cs="Times New Roman"/>
                <w:b/>
                <w:bCs/>
                <w:sz w:val="24"/>
                <w:lang w:val="en-US"/>
              </w:rPr>
            </w:pPr>
          </w:p>
          <w:p w14:paraId="50806D6E">
            <w:pPr>
              <w:tabs>
                <w:tab w:val="left" w:pos="895"/>
              </w:tabs>
              <w:spacing w:line="520" w:lineRule="exact"/>
              <w:ind w:firstLine="1446" w:firstLineChars="600"/>
              <w:rPr>
                <w:rFonts w:ascii="Times New Roman" w:hAnsi="Times New Roman" w:cs="Times New Roman"/>
                <w:b/>
                <w:bCs/>
                <w:sz w:val="24"/>
                <w:lang w:val="en-US"/>
              </w:rPr>
            </w:pPr>
          </w:p>
          <w:p w14:paraId="7D995529">
            <w:pPr>
              <w:tabs>
                <w:tab w:val="left" w:pos="895"/>
              </w:tabs>
              <w:spacing w:line="520" w:lineRule="exact"/>
              <w:jc w:val="center"/>
              <w:rPr>
                <w:rFonts w:ascii="Times New Roman" w:hAnsi="Times New Roman" w:cs="Times New Roman"/>
                <w:b/>
                <w:bCs/>
                <w:sz w:val="24"/>
                <w:lang w:val="en-US"/>
              </w:rPr>
            </w:pPr>
          </w:p>
          <w:p w14:paraId="6425E78E">
            <w:pPr>
              <w:tabs>
                <w:tab w:val="left" w:pos="895"/>
              </w:tabs>
              <w:spacing w:line="520" w:lineRule="exact"/>
              <w:jc w:val="center"/>
              <w:rPr>
                <w:rFonts w:ascii="Times New Roman" w:hAnsi="Times New Roman" w:cs="Times New Roman"/>
                <w:sz w:val="24"/>
                <w:szCs w:val="24"/>
                <w:lang w:val="it-IT"/>
              </w:rPr>
            </w:pPr>
            <w:r>
              <w:rPr>
                <w:rFonts w:ascii="Times New Roman" w:hAnsi="Times New Roman" w:cs="Times New Roman"/>
                <w:b/>
                <w:bCs/>
                <w:sz w:val="24"/>
                <w:lang w:val="en-US"/>
              </w:rPr>
              <w:t>图2-</w:t>
            </w:r>
            <w:r>
              <w:rPr>
                <w:rFonts w:hint="eastAsia" w:ascii="Times New Roman" w:hAnsi="Times New Roman" w:cs="Times New Roman"/>
                <w:b/>
                <w:bCs/>
                <w:sz w:val="24"/>
                <w:lang w:val="en-US" w:eastAsia="zh-CN"/>
              </w:rPr>
              <w:t>1</w:t>
            </w:r>
            <w:r>
              <w:rPr>
                <w:rFonts w:ascii="Times New Roman" w:hAnsi="Times New Roman" w:cs="Times New Roman"/>
                <w:b/>
                <w:bCs/>
                <w:sz w:val="24"/>
                <w:lang w:val="en-US"/>
              </w:rPr>
              <w:t xml:space="preserve">    施工期施工流程及主要污染源情况简图</w:t>
            </w:r>
          </w:p>
          <w:p w14:paraId="7085090A">
            <w:pPr>
              <w:tabs>
                <w:tab w:val="left" w:pos="895"/>
              </w:tabs>
              <w:autoSpaceDE/>
              <w:autoSpaceDN/>
              <w:spacing w:line="52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施工期主要包括土建施工、基础施工、主体施工、设备安装等工程。对环境的影响主要表现为：施工过程产生的扬尘、施工废水、施工噪声、建筑垃圾等。项目施工期不设施工营地，施工人员食宿依托周边村庄。施工期间的污染主要包括：</w:t>
            </w:r>
          </w:p>
          <w:p w14:paraId="78C483B6">
            <w:pPr>
              <w:tabs>
                <w:tab w:val="left" w:pos="895"/>
              </w:tabs>
              <w:autoSpaceDE/>
              <w:autoSpaceDN/>
              <w:spacing w:line="52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（1）废气：土建</w:t>
            </w:r>
            <w:r>
              <w:rPr>
                <w:rFonts w:hint="eastAsia" w:ascii="Times New Roman" w:hAnsi="Times New Roman" w:cs="Times New Roman"/>
                <w:sz w:val="24"/>
                <w:szCs w:val="24"/>
                <w:lang w:eastAsia="zh-CN"/>
              </w:rPr>
              <w:t>工程</w:t>
            </w:r>
            <w:r>
              <w:rPr>
                <w:rFonts w:ascii="Times New Roman" w:hAnsi="Times New Roman" w:cs="Times New Roman"/>
                <w:sz w:val="24"/>
                <w:szCs w:val="24"/>
              </w:rPr>
              <w:t>施工、建筑物料、弃土堆存等在风力作用下产生的地面扬尘和施工机械排放的尾气；</w:t>
            </w:r>
          </w:p>
          <w:p w14:paraId="20570AE9">
            <w:pPr>
              <w:tabs>
                <w:tab w:val="left" w:pos="895"/>
              </w:tabs>
              <w:autoSpaceDE/>
              <w:autoSpaceDN/>
              <w:spacing w:line="52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（2）废水：施工泥浆废水和施工人员生活污水；</w:t>
            </w:r>
          </w:p>
          <w:p w14:paraId="6C193F77">
            <w:pPr>
              <w:tabs>
                <w:tab w:val="left" w:pos="895"/>
              </w:tabs>
              <w:autoSpaceDE/>
              <w:autoSpaceDN/>
              <w:spacing w:line="52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（3）噪声：建筑施工机械噪声及运输车辆噪声；</w:t>
            </w:r>
          </w:p>
          <w:p w14:paraId="5A7C8C01">
            <w:pPr>
              <w:tabs>
                <w:tab w:val="left" w:pos="895"/>
              </w:tabs>
              <w:autoSpaceDE/>
              <w:autoSpaceDN/>
              <w:spacing w:line="52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（4）固体废物：主要为建筑垃圾和施工人员生活垃圾；</w:t>
            </w:r>
          </w:p>
          <w:p w14:paraId="6AF89FF3">
            <w:pPr>
              <w:tabs>
                <w:tab w:val="left" w:pos="895"/>
              </w:tabs>
              <w:autoSpaceDE/>
              <w:autoSpaceDN/>
              <w:spacing w:line="520" w:lineRule="exact"/>
              <w:ind w:firstLine="480" w:firstLineChars="200"/>
              <w:jc w:val="both"/>
              <w:rPr>
                <w:rFonts w:ascii="Times New Roman" w:hAnsi="Times New Roman" w:cs="Times New Roman"/>
                <w:sz w:val="24"/>
                <w:szCs w:val="24"/>
              </w:rPr>
            </w:pPr>
            <w:r>
              <w:rPr>
                <w:rFonts w:ascii="Times New Roman" w:hAnsi="Times New Roman" w:cs="Times New Roman"/>
                <w:sz w:val="24"/>
                <w:szCs w:val="24"/>
              </w:rPr>
              <w:t>（5）生态：地基开挖产生的弃土和建筑垃圾对自然景观和植被的破坏。</w:t>
            </w:r>
          </w:p>
          <w:p w14:paraId="0AB32DF5">
            <w:pPr>
              <w:tabs>
                <w:tab w:val="left" w:pos="895"/>
              </w:tabs>
              <w:autoSpaceDE/>
              <w:autoSpaceDN/>
              <w:spacing w:line="520" w:lineRule="exact"/>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由于项目已建成投产，施工期已落实了各项环保措施，未对周围环境影响造成较大影响，施工期影响已结束。本次</w:t>
            </w:r>
            <w:r>
              <w:rPr>
                <w:rFonts w:hint="eastAsia" w:ascii="Times New Roman" w:hAnsi="Times New Roman" w:cs="Times New Roman"/>
                <w:color w:val="auto"/>
                <w:sz w:val="24"/>
                <w:szCs w:val="24"/>
                <w:lang w:eastAsia="zh-CN"/>
              </w:rPr>
              <w:t>不再</w:t>
            </w:r>
            <w:r>
              <w:rPr>
                <w:rFonts w:hint="eastAsia" w:ascii="Times New Roman" w:hAnsi="Times New Roman" w:cs="Times New Roman"/>
                <w:color w:val="auto"/>
                <w:sz w:val="24"/>
                <w:szCs w:val="24"/>
              </w:rPr>
              <w:t>对施工期进行评价。</w:t>
            </w:r>
          </w:p>
          <w:p w14:paraId="008D4726">
            <w:pPr>
              <w:tabs>
                <w:tab w:val="left" w:pos="895"/>
              </w:tabs>
              <w:autoSpaceDE/>
              <w:autoSpaceDN/>
              <w:spacing w:line="520" w:lineRule="exact"/>
              <w:ind w:firstLine="482" w:firstLineChars="200"/>
              <w:jc w:val="both"/>
              <w:rPr>
                <w:rFonts w:ascii="Times New Roman" w:hAnsi="Times New Roman" w:cs="Times New Roman"/>
                <w:color w:val="auto"/>
                <w:sz w:val="24"/>
                <w:szCs w:val="24"/>
                <w:lang w:val="en-US"/>
              </w:rPr>
            </w:pPr>
            <w:r>
              <w:rPr>
                <w:rFonts w:ascii="Times New Roman" w:hAnsi="Times New Roman" w:cs="Times New Roman"/>
                <w:b/>
                <w:bCs/>
                <w:color w:val="auto"/>
                <w:sz w:val="24"/>
                <w:lang w:val="en-US"/>
              </w:rPr>
              <w:t>2、运营期工艺流程及产污情况</w:t>
            </w:r>
          </w:p>
          <w:p w14:paraId="37E2682B">
            <w:pPr>
              <w:tabs>
                <w:tab w:val="left" w:pos="895"/>
              </w:tabs>
              <w:autoSpaceDE/>
              <w:autoSpaceDN/>
              <w:spacing w:line="520" w:lineRule="exact"/>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项目运营期为钢架全封闭环保煤棚。原煤运输到煤棚后，在煤棚内储存，然后精煤从洗选工序中产出后，在煤棚中储存，后经过煤棚装载设施装到运输车后，经电子地磅进行称重后出售。</w:t>
            </w:r>
          </w:p>
          <w:p w14:paraId="6B7CED6E">
            <w:pPr>
              <w:tabs>
                <w:tab w:val="left" w:pos="895"/>
              </w:tabs>
              <w:autoSpaceDE/>
              <w:autoSpaceDN/>
              <w:spacing w:line="520" w:lineRule="exact"/>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运营期主要污染工序：</w:t>
            </w:r>
          </w:p>
          <w:p w14:paraId="11FA3C10">
            <w:pPr>
              <w:tabs>
                <w:tab w:val="left" w:pos="895"/>
              </w:tabs>
              <w:autoSpaceDE/>
              <w:autoSpaceDN/>
              <w:spacing w:line="520" w:lineRule="exact"/>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（1）废气：煤炭储存及装载粉尘、运输过程产生的粉尘。</w:t>
            </w:r>
          </w:p>
          <w:p w14:paraId="300F843D">
            <w:pPr>
              <w:tabs>
                <w:tab w:val="left" w:pos="895"/>
              </w:tabs>
              <w:autoSpaceDE/>
              <w:autoSpaceDN/>
              <w:spacing w:line="520" w:lineRule="exact"/>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（2）废水：项目抑尘用水全部蒸发损耗，无生产废水排放；不新增劳动定员，无新增</w:t>
            </w:r>
            <w:r>
              <w:rPr>
                <w:rFonts w:hint="eastAsia" w:ascii="Times New Roman" w:hAnsi="Times New Roman" w:cs="Times New Roman"/>
                <w:color w:val="auto"/>
                <w:sz w:val="24"/>
                <w:szCs w:val="24"/>
                <w:lang w:eastAsia="zh-CN"/>
              </w:rPr>
              <w:t>生活污水</w:t>
            </w:r>
            <w:r>
              <w:rPr>
                <w:rFonts w:hint="eastAsia" w:ascii="Times New Roman" w:hAnsi="Times New Roman" w:cs="Times New Roman"/>
                <w:color w:val="auto"/>
                <w:sz w:val="24"/>
                <w:szCs w:val="24"/>
              </w:rPr>
              <w:t>。</w:t>
            </w:r>
          </w:p>
          <w:p w14:paraId="32D9EB43">
            <w:pPr>
              <w:tabs>
                <w:tab w:val="left" w:pos="895"/>
              </w:tabs>
              <w:autoSpaceDE/>
              <w:autoSpaceDN/>
              <w:spacing w:line="520" w:lineRule="exact"/>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（3）噪声：主要为煤炭进出厂装卸时产生的噪声，声压级为80～90dB(A</w:t>
            </w:r>
            <w:r>
              <w:rPr>
                <w:rFonts w:hint="eastAsia" w:ascii="Times New Roman" w:hAnsi="Times New Roman" w:cs="Times New Roman"/>
                <w:color w:val="auto"/>
                <w:sz w:val="24"/>
                <w:szCs w:val="24"/>
                <w:lang w:eastAsia="zh-CN"/>
              </w:rPr>
              <w:t>）</w:t>
            </w:r>
            <w:r>
              <w:rPr>
                <w:rFonts w:hint="eastAsia" w:ascii="Times New Roman" w:hAnsi="Times New Roman" w:cs="Times New Roman"/>
                <w:color w:val="auto"/>
                <w:sz w:val="24"/>
                <w:szCs w:val="24"/>
              </w:rPr>
              <w:t>。</w:t>
            </w:r>
          </w:p>
          <w:p w14:paraId="2879A45D">
            <w:pPr>
              <w:tabs>
                <w:tab w:val="left" w:pos="895"/>
              </w:tabs>
              <w:autoSpaceDE/>
              <w:autoSpaceDN/>
              <w:spacing w:line="520" w:lineRule="exact"/>
              <w:ind w:firstLine="480" w:firstLineChars="200"/>
              <w:jc w:val="both"/>
              <w:rPr>
                <w:rFonts w:ascii="Times New Roman" w:hAnsi="Times New Roman" w:cs="Times New Roman"/>
                <w:color w:val="auto"/>
                <w:sz w:val="24"/>
                <w:szCs w:val="24"/>
              </w:rPr>
            </w:pPr>
            <w:r>
              <w:rPr>
                <w:rFonts w:hint="eastAsia" w:ascii="Times New Roman" w:hAnsi="Times New Roman" w:cs="Times New Roman"/>
                <w:color w:val="auto"/>
                <w:sz w:val="24"/>
                <w:szCs w:val="24"/>
              </w:rPr>
              <w:t>（4）固废：本项目为煤棚扩建项目，不涉及生产设备，因此运营期无新增危废及一般固废产生。</w:t>
            </w:r>
          </w:p>
          <w:p w14:paraId="771B49BD">
            <w:pPr>
              <w:tabs>
                <w:tab w:val="left" w:pos="895"/>
              </w:tabs>
              <w:autoSpaceDE/>
              <w:autoSpaceDN/>
              <w:spacing w:line="520" w:lineRule="exact"/>
              <w:ind w:firstLine="480" w:firstLineChars="200"/>
              <w:jc w:val="both"/>
              <w:rPr>
                <w:rFonts w:hint="eastAsia"/>
                <w:lang w:val="en-US"/>
              </w:rPr>
            </w:pPr>
            <w:r>
              <w:rPr>
                <w:rFonts w:hint="eastAsia" w:ascii="Times New Roman" w:hAnsi="Times New Roman" w:cs="Times New Roman"/>
                <w:color w:val="auto"/>
                <w:sz w:val="24"/>
                <w:szCs w:val="24"/>
              </w:rPr>
              <w:t>本次不新增劳动定员，无新增生活垃圾。</w:t>
            </w:r>
          </w:p>
        </w:tc>
      </w:tr>
    </w:tbl>
    <w:p w14:paraId="733CD320">
      <w:pPr>
        <w:pStyle w:val="69"/>
        <w:spacing w:line="360" w:lineRule="auto"/>
        <w:ind w:left="0" w:leftChars="0" w:firstLine="0" w:firstLineChars="0"/>
        <w:rPr>
          <w:rFonts w:ascii="Times New Roman" w:hAnsi="Times New Roman" w:eastAsia="黑体" w:cs="Times New Roman"/>
          <w:color w:val="0000FF"/>
          <w:sz w:val="30"/>
        </w:rPr>
        <w:sectPr>
          <w:footerReference r:id="rId6" w:type="default"/>
          <w:pgSz w:w="11910" w:h="16840"/>
          <w:pgMar w:top="1440" w:right="879" w:bottom="1219" w:left="901" w:header="720" w:footer="1043" w:gutter="0"/>
          <w:cols w:space="0" w:num="1"/>
        </w:sectPr>
      </w:pPr>
      <w:bookmarkStart w:id="13" w:name="_Toc25326"/>
      <w:r>
        <w:rPr>
          <w:sz w:val="24"/>
        </w:rPr>
        <mc:AlternateContent>
          <mc:Choice Requires="wps">
            <w:drawing>
              <wp:anchor distT="0" distB="0" distL="114300" distR="114300" simplePos="0" relativeHeight="251667456" behindDoc="0" locked="0" layoutInCell="1" allowOverlap="1">
                <wp:simplePos x="0" y="0"/>
                <wp:positionH relativeFrom="column">
                  <wp:posOffset>640080</wp:posOffset>
                </wp:positionH>
                <wp:positionV relativeFrom="paragraph">
                  <wp:posOffset>3096895</wp:posOffset>
                </wp:positionV>
                <wp:extent cx="1219200" cy="371475"/>
                <wp:effectExtent l="6350" t="6350" r="12700" b="22225"/>
                <wp:wrapNone/>
                <wp:docPr id="50" name="矩形 50"/>
                <wp:cNvGraphicFramePr/>
                <a:graphic xmlns:a="http://schemas.openxmlformats.org/drawingml/2006/main">
                  <a:graphicData uri="http://schemas.microsoft.com/office/word/2010/wordprocessingShape">
                    <wps:wsp>
                      <wps:cNvSpPr/>
                      <wps:spPr>
                        <a:xfrm>
                          <a:off x="1433195" y="3669030"/>
                          <a:ext cx="1219200" cy="371475"/>
                        </a:xfrm>
                        <a:prstGeom prst="rect">
                          <a:avLst/>
                        </a:prstGeom>
                        <a:solidFill>
                          <a:srgbClr val="CFE8CC"/>
                        </a:solidFill>
                        <a:ln>
                          <a:solidFill>
                            <a:srgbClr val="CFE8CC"/>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4pt;margin-top:243.85pt;height:29.25pt;width:96pt;z-index:251667456;v-text-anchor:middle;mso-width-relative:page;mso-height-relative:page;" fillcolor="#CFE8CC" filled="t" stroked="t" coordsize="21600,21600" o:gfxdata="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bvw0l2gAAAAsBAAAPAAAAAAAAAAEAIAAAACIA&#10;AABkcnMvZG93bnJldi54bWxQSwECFAAUAAAACACHTuJAY81NRXkCAAACBQAADgAAAAAAAAABACAA&#10;AAApAQAAZHJzL2Uyb0RvYy54bWxQSwUGAAAAAAYABgBZAQAAFAYAAAAA&#10;">
                <v:fill on="t" focussize="0,0"/>
                <v:stroke weight="1pt" color="#CFE8CC [2404]" miterlimit="8" joinstyle="miter"/>
                <v:imagedata o:title=""/>
                <o:lock v:ext="edit" aspectratio="f"/>
              </v:rect>
            </w:pict>
          </mc:Fallback>
        </mc:AlternateContent>
      </w:r>
    </w:p>
    <w:tbl>
      <w:tblPr>
        <w:tblStyle w:val="28"/>
        <w:tblW w:w="9998" w:type="dxa"/>
        <w:tblInd w:w="14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400"/>
        <w:gridCol w:w="9598"/>
      </w:tblGrid>
      <w:tr w14:paraId="571335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80" w:hRule="atLeast"/>
        </w:trPr>
        <w:tc>
          <w:tcPr>
            <w:tcW w:w="400" w:type="dxa"/>
            <w:tcBorders>
              <w:top w:val="single" w:color="auto" w:sz="4" w:space="0"/>
              <w:bottom w:val="single" w:color="auto" w:sz="4" w:space="0"/>
              <w:right w:val="single" w:color="000000" w:sz="4" w:space="0"/>
            </w:tcBorders>
            <w:vAlign w:val="center"/>
          </w:tcPr>
          <w:p w14:paraId="5AAF579B">
            <w:pPr>
              <w:jc w:val="center"/>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工艺流程和产排污环节</w:t>
            </w:r>
          </w:p>
        </w:tc>
        <w:tc>
          <w:tcPr>
            <w:tcW w:w="9598" w:type="dxa"/>
            <w:tcBorders>
              <w:top w:val="single" w:color="auto" w:sz="4" w:space="0"/>
              <w:left w:val="single" w:color="000000" w:sz="4" w:space="0"/>
              <w:bottom w:val="single" w:color="auto" w:sz="4" w:space="0"/>
            </w:tcBorders>
            <w:vAlign w:val="center"/>
          </w:tcPr>
          <w:p w14:paraId="2160670A">
            <w:pPr>
              <w:adjustRightInd w:val="0"/>
              <w:snapToGrid w:val="0"/>
              <w:spacing w:line="360" w:lineRule="auto"/>
              <w:ind w:firstLine="482" w:firstLineChars="200"/>
              <w:jc w:val="both"/>
              <w:rPr>
                <w:rFonts w:ascii="Times New Roman" w:hAnsi="Times New Roman" w:cs="Times New Roman"/>
                <w:b/>
                <w:sz w:val="24"/>
                <w:lang w:val="en-US"/>
              </w:rPr>
            </w:pPr>
            <w:r>
              <w:rPr>
                <w:rFonts w:hint="eastAsia" w:ascii="Times New Roman" w:hAnsi="Times New Roman" w:cs="Times New Roman"/>
                <w:b/>
                <w:sz w:val="24"/>
                <w:lang w:val="en-US"/>
              </w:rPr>
              <w:t>3、产污环节</w:t>
            </w:r>
          </w:p>
          <w:p w14:paraId="56FC2098">
            <w:pPr>
              <w:pStyle w:val="71"/>
              <w:kinsoku w:val="0"/>
              <w:overflowPunct w:val="0"/>
              <w:spacing w:line="360" w:lineRule="auto"/>
              <w:ind w:firstLine="464"/>
              <w:textAlignment w:val="baseline"/>
              <w:rPr>
                <w:rFonts w:hint="eastAsia"/>
              </w:rPr>
            </w:pPr>
            <w:r>
              <w:rPr>
                <w:rFonts w:hint="eastAsia" w:ascii="Times New Roman" w:hAnsi="Times New Roman"/>
                <w:spacing w:val="-4"/>
              </w:rPr>
              <w:t>本项目在生产过程中</w:t>
            </w:r>
            <w:r>
              <w:rPr>
                <w:rFonts w:hint="eastAsia" w:ascii="Times New Roman" w:hAnsi="Times New Roman"/>
                <w:spacing w:val="-4"/>
                <w:lang w:val="en-US"/>
              </w:rPr>
              <w:t>会产生</w:t>
            </w:r>
            <w:r>
              <w:rPr>
                <w:rFonts w:hint="eastAsia" w:ascii="Times New Roman" w:hAnsi="Times New Roman"/>
                <w:spacing w:val="-4"/>
              </w:rPr>
              <w:t>废气、噪声等各种污染物，为了减少环境的污染，本项目采取多项污染防治措施。项目产生过程主要污染物的产污环节及采取的污染防治措施见表</w:t>
            </w:r>
            <w:r>
              <w:rPr>
                <w:rFonts w:hint="eastAsia" w:ascii="Times New Roman" w:hAnsi="Times New Roman"/>
                <w:spacing w:val="-4"/>
                <w:lang w:val="en-US"/>
              </w:rPr>
              <w:t>2-</w:t>
            </w:r>
            <w:r>
              <w:rPr>
                <w:rFonts w:hint="eastAsia" w:ascii="Times New Roman" w:hAnsi="Times New Roman"/>
                <w:spacing w:val="-4"/>
                <w:lang w:val="en-US" w:eastAsia="zh-CN"/>
              </w:rPr>
              <w:t>7</w:t>
            </w:r>
            <w:r>
              <w:rPr>
                <w:rFonts w:hint="eastAsia" w:ascii="Times New Roman" w:hAnsi="Times New Roman"/>
                <w:spacing w:val="-4"/>
              </w:rPr>
              <w:t>。</w:t>
            </w:r>
          </w:p>
          <w:p w14:paraId="5181D319">
            <w:pPr>
              <w:ind w:firstLine="420"/>
              <w:jc w:val="center"/>
              <w:rPr>
                <w:rFonts w:ascii="Times New Roman" w:hAnsi="Times New Roman"/>
                <w:b/>
                <w:sz w:val="24"/>
              </w:rPr>
            </w:pPr>
            <w:r>
              <w:rPr>
                <w:rFonts w:hint="eastAsia" w:ascii="Times New Roman" w:hAnsi="Times New Roman"/>
                <w:b/>
                <w:sz w:val="24"/>
              </w:rPr>
              <w:t>表</w:t>
            </w:r>
            <w:r>
              <w:rPr>
                <w:rFonts w:hint="eastAsia" w:ascii="Times New Roman" w:hAnsi="Times New Roman"/>
                <w:b/>
                <w:sz w:val="24"/>
                <w:lang w:val="en-US"/>
              </w:rPr>
              <w:t>2-</w:t>
            </w:r>
            <w:r>
              <w:rPr>
                <w:rFonts w:hint="eastAsia" w:ascii="Times New Roman" w:hAnsi="Times New Roman"/>
                <w:b/>
                <w:sz w:val="24"/>
                <w:lang w:val="en-US" w:eastAsia="zh-CN"/>
              </w:rPr>
              <w:t>7</w:t>
            </w:r>
            <w:r>
              <w:rPr>
                <w:rFonts w:hint="eastAsia" w:ascii="Times New Roman" w:hAnsi="Times New Roman"/>
                <w:b/>
                <w:sz w:val="24"/>
                <w:lang w:val="en-US"/>
              </w:rPr>
              <w:t xml:space="preserve">    </w:t>
            </w:r>
            <w:r>
              <w:rPr>
                <w:rFonts w:hint="eastAsia" w:ascii="Times New Roman" w:hAnsi="Times New Roman"/>
                <w:b/>
                <w:sz w:val="24"/>
              </w:rPr>
              <w:t>本项目产污情况一览表</w:t>
            </w:r>
          </w:p>
          <w:tbl>
            <w:tblPr>
              <w:tblStyle w:val="28"/>
              <w:tblW w:w="4857" w:type="pct"/>
              <w:tblInd w:w="144"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045"/>
              <w:gridCol w:w="1632"/>
              <w:gridCol w:w="1704"/>
              <w:gridCol w:w="3967"/>
            </w:tblGrid>
            <w:tr w14:paraId="690E30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16" w:type="pct"/>
                  <w:tcBorders>
                    <w:tl2br w:val="nil"/>
                    <w:tr2bl w:val="nil"/>
                  </w:tcBorders>
                  <w:vAlign w:val="center"/>
                </w:tcPr>
                <w:p w14:paraId="7C98B11C">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污染类别</w:t>
                  </w:r>
                </w:p>
              </w:tc>
              <w:tc>
                <w:tcPr>
                  <w:tcW w:w="561" w:type="pct"/>
                  <w:tcBorders>
                    <w:tl2br w:val="nil"/>
                    <w:tr2bl w:val="nil"/>
                  </w:tcBorders>
                  <w:vAlign w:val="center"/>
                </w:tcPr>
                <w:p w14:paraId="7BCB0B24">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编号</w:t>
                  </w:r>
                </w:p>
              </w:tc>
              <w:tc>
                <w:tcPr>
                  <w:tcW w:w="876" w:type="pct"/>
                  <w:tcBorders>
                    <w:tl2br w:val="nil"/>
                    <w:tr2bl w:val="nil"/>
                  </w:tcBorders>
                  <w:vAlign w:val="center"/>
                </w:tcPr>
                <w:p w14:paraId="127AC354">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污染源</w:t>
                  </w:r>
                </w:p>
              </w:tc>
              <w:tc>
                <w:tcPr>
                  <w:tcW w:w="915" w:type="pct"/>
                  <w:tcBorders>
                    <w:tl2br w:val="nil"/>
                    <w:tr2bl w:val="nil"/>
                  </w:tcBorders>
                  <w:vAlign w:val="center"/>
                </w:tcPr>
                <w:p w14:paraId="60BB7278">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主要污染物</w:t>
                  </w:r>
                </w:p>
              </w:tc>
              <w:tc>
                <w:tcPr>
                  <w:tcW w:w="2130" w:type="pct"/>
                  <w:tcBorders>
                    <w:tl2br w:val="nil"/>
                    <w:tr2bl w:val="nil"/>
                  </w:tcBorders>
                  <w:vAlign w:val="center"/>
                </w:tcPr>
                <w:p w14:paraId="6988727A">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防治措施及排放情况</w:t>
                  </w:r>
                </w:p>
              </w:tc>
            </w:tr>
            <w:tr w14:paraId="0E5882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516" w:type="pct"/>
                  <w:tcBorders>
                    <w:tl2br w:val="nil"/>
                    <w:tr2bl w:val="nil"/>
                  </w:tcBorders>
                  <w:vAlign w:val="center"/>
                </w:tcPr>
                <w:p w14:paraId="6FD508B5">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废气</w:t>
                  </w:r>
                </w:p>
              </w:tc>
              <w:tc>
                <w:tcPr>
                  <w:tcW w:w="561" w:type="pct"/>
                  <w:tcBorders>
                    <w:tl2br w:val="nil"/>
                    <w:tr2bl w:val="nil"/>
                  </w:tcBorders>
                  <w:vAlign w:val="center"/>
                </w:tcPr>
                <w:p w14:paraId="29B83C5F">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bCs/>
                      <w:sz w:val="21"/>
                      <w:szCs w:val="21"/>
                      <w:lang w:val="en-US"/>
                    </w:rPr>
                    <w:t>G1、G2</w:t>
                  </w:r>
                </w:p>
              </w:tc>
              <w:tc>
                <w:tcPr>
                  <w:tcW w:w="876" w:type="pct"/>
                  <w:tcBorders>
                    <w:tl2br w:val="nil"/>
                    <w:tr2bl w:val="nil"/>
                  </w:tcBorders>
                  <w:vAlign w:val="center"/>
                </w:tcPr>
                <w:p w14:paraId="6FAF0D51">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bCs/>
                      <w:sz w:val="21"/>
                      <w:szCs w:val="21"/>
                      <w:lang w:val="en-US"/>
                    </w:rPr>
                    <w:t>原料堆存装卸粉尘</w:t>
                  </w:r>
                </w:p>
              </w:tc>
              <w:tc>
                <w:tcPr>
                  <w:tcW w:w="915" w:type="pct"/>
                  <w:tcBorders>
                    <w:tl2br w:val="nil"/>
                    <w:tr2bl w:val="nil"/>
                  </w:tcBorders>
                  <w:vAlign w:val="center"/>
                </w:tcPr>
                <w:p w14:paraId="7833AF7B">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TSP</w:t>
                  </w:r>
                </w:p>
              </w:tc>
              <w:tc>
                <w:tcPr>
                  <w:tcW w:w="2130" w:type="pct"/>
                  <w:tcBorders>
                    <w:tl2br w:val="nil"/>
                    <w:tr2bl w:val="nil"/>
                  </w:tcBorders>
                  <w:vAlign w:val="center"/>
                </w:tcPr>
                <w:p w14:paraId="77303993">
                  <w:pPr>
                    <w:tabs>
                      <w:tab w:val="left" w:pos="895"/>
                    </w:tabs>
                    <w:topLinePunct/>
                    <w:autoSpaceDE/>
                    <w:autoSpaceDN/>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bCs/>
                      <w:color w:val="auto"/>
                      <w:sz w:val="21"/>
                      <w:szCs w:val="21"/>
                      <w:lang w:val="en-US" w:eastAsia="zh-CN"/>
                    </w:rPr>
                    <w:t>储煤棚</w:t>
                  </w:r>
                  <w:r>
                    <w:rPr>
                      <w:rFonts w:ascii="Times New Roman" w:hAnsi="Times New Roman" w:cs="Times New Roman"/>
                      <w:bCs/>
                      <w:color w:val="auto"/>
                      <w:sz w:val="21"/>
                      <w:szCs w:val="21"/>
                    </w:rPr>
                    <w:t>为全封闭式结构，并</w:t>
                  </w:r>
                  <w:r>
                    <w:rPr>
                      <w:rFonts w:hint="eastAsia" w:ascii="Times New Roman" w:hAnsi="Times New Roman" w:cs="Times New Roman"/>
                      <w:bCs/>
                      <w:color w:val="auto"/>
                      <w:sz w:val="21"/>
                      <w:szCs w:val="21"/>
                      <w:lang w:val="en-US" w:eastAsia="zh-CN"/>
                    </w:rPr>
                    <w:t>设置</w:t>
                  </w:r>
                  <w:r>
                    <w:rPr>
                      <w:rFonts w:ascii="Times New Roman" w:hAnsi="Times New Roman" w:cs="Times New Roman"/>
                      <w:bCs/>
                      <w:color w:val="auto"/>
                      <w:sz w:val="21"/>
                      <w:szCs w:val="21"/>
                    </w:rPr>
                    <w:t>喷雾</w:t>
                  </w:r>
                  <w:r>
                    <w:rPr>
                      <w:rFonts w:hint="eastAsia" w:ascii="Times New Roman" w:hAnsi="Times New Roman" w:cs="Times New Roman"/>
                      <w:bCs/>
                      <w:color w:val="auto"/>
                      <w:sz w:val="21"/>
                      <w:szCs w:val="21"/>
                      <w:lang w:val="en-US" w:eastAsia="zh-CN"/>
                    </w:rPr>
                    <w:t>抑尘</w:t>
                  </w:r>
                  <w:r>
                    <w:rPr>
                      <w:rFonts w:ascii="Times New Roman" w:hAnsi="Times New Roman" w:cs="Times New Roman"/>
                      <w:bCs/>
                      <w:color w:val="auto"/>
                      <w:sz w:val="21"/>
                      <w:szCs w:val="21"/>
                    </w:rPr>
                    <w:t>装置</w:t>
                  </w:r>
                  <w:r>
                    <w:rPr>
                      <w:rFonts w:hint="eastAsia" w:ascii="Times New Roman" w:hAnsi="Times New Roman" w:cs="Times New Roman"/>
                      <w:bCs/>
                      <w:color w:val="auto"/>
                      <w:sz w:val="21"/>
                      <w:szCs w:val="21"/>
                      <w:lang w:eastAsia="zh-CN"/>
                    </w:rPr>
                    <w:t>；</w:t>
                  </w:r>
                </w:p>
              </w:tc>
            </w:tr>
            <w:tr w14:paraId="4D40D1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516" w:type="pct"/>
                  <w:vMerge w:val="restart"/>
                  <w:tcBorders>
                    <w:tl2br w:val="nil"/>
                    <w:tr2bl w:val="nil"/>
                  </w:tcBorders>
                  <w:vAlign w:val="center"/>
                </w:tcPr>
                <w:p w14:paraId="7556538C">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噪声</w:t>
                  </w:r>
                </w:p>
              </w:tc>
              <w:tc>
                <w:tcPr>
                  <w:tcW w:w="561" w:type="pct"/>
                  <w:tcBorders>
                    <w:tl2br w:val="nil"/>
                    <w:tr2bl w:val="nil"/>
                  </w:tcBorders>
                  <w:vAlign w:val="center"/>
                </w:tcPr>
                <w:p w14:paraId="0F2B1651">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N1</w:t>
                  </w:r>
                </w:p>
              </w:tc>
              <w:tc>
                <w:tcPr>
                  <w:tcW w:w="876" w:type="pct"/>
                  <w:tcBorders>
                    <w:tl2br w:val="nil"/>
                    <w:tr2bl w:val="nil"/>
                  </w:tcBorders>
                  <w:vAlign w:val="center"/>
                </w:tcPr>
                <w:p w14:paraId="0689A43D">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运输车辆噪声</w:t>
                  </w:r>
                </w:p>
              </w:tc>
              <w:tc>
                <w:tcPr>
                  <w:tcW w:w="915" w:type="pct"/>
                  <w:tcBorders>
                    <w:tl2br w:val="nil"/>
                    <w:tr2bl w:val="nil"/>
                  </w:tcBorders>
                  <w:vAlign w:val="center"/>
                </w:tcPr>
                <w:p w14:paraId="55F56534">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等效连续A声级</w:t>
                  </w:r>
                </w:p>
              </w:tc>
              <w:tc>
                <w:tcPr>
                  <w:tcW w:w="2130" w:type="pct"/>
                  <w:tcBorders>
                    <w:tl2br w:val="nil"/>
                    <w:tr2bl w:val="nil"/>
                  </w:tcBorders>
                  <w:vAlign w:val="center"/>
                </w:tcPr>
                <w:p w14:paraId="68768F20">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要求采用性能良好的运输车辆，控制车速，禁止鸣笛</w:t>
                  </w:r>
                </w:p>
              </w:tc>
            </w:tr>
            <w:tr w14:paraId="01C173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516" w:type="pct"/>
                  <w:vMerge w:val="continue"/>
                  <w:tcBorders>
                    <w:tl2br w:val="nil"/>
                    <w:tr2bl w:val="nil"/>
                  </w:tcBorders>
                  <w:vAlign w:val="center"/>
                </w:tcPr>
                <w:p w14:paraId="7289F899">
                  <w:pPr>
                    <w:tabs>
                      <w:tab w:val="left" w:pos="895"/>
                    </w:tabs>
                    <w:topLinePunct/>
                    <w:autoSpaceDE/>
                    <w:autoSpaceDN/>
                    <w:jc w:val="center"/>
                    <w:rPr>
                      <w:rFonts w:ascii="Times New Roman" w:hAnsi="Times New Roman" w:cs="Times New Roman"/>
                      <w:sz w:val="21"/>
                      <w:szCs w:val="21"/>
                      <w:lang w:val="en-US"/>
                    </w:rPr>
                  </w:pPr>
                </w:p>
              </w:tc>
              <w:tc>
                <w:tcPr>
                  <w:tcW w:w="561" w:type="pct"/>
                  <w:tcBorders>
                    <w:tl2br w:val="nil"/>
                    <w:tr2bl w:val="nil"/>
                  </w:tcBorders>
                  <w:vAlign w:val="center"/>
                </w:tcPr>
                <w:p w14:paraId="693CD620">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N2</w:t>
                  </w:r>
                </w:p>
              </w:tc>
              <w:tc>
                <w:tcPr>
                  <w:tcW w:w="876" w:type="pct"/>
                  <w:tcBorders>
                    <w:tl2br w:val="nil"/>
                    <w:tr2bl w:val="nil"/>
                  </w:tcBorders>
                  <w:vAlign w:val="center"/>
                </w:tcPr>
                <w:p w14:paraId="2E4F841B">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机械噪声</w:t>
                  </w:r>
                </w:p>
              </w:tc>
              <w:tc>
                <w:tcPr>
                  <w:tcW w:w="915" w:type="pct"/>
                  <w:tcBorders>
                    <w:tl2br w:val="nil"/>
                    <w:tr2bl w:val="nil"/>
                  </w:tcBorders>
                  <w:vAlign w:val="center"/>
                </w:tcPr>
                <w:p w14:paraId="6865E550">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等效连续A声级</w:t>
                  </w:r>
                </w:p>
              </w:tc>
              <w:tc>
                <w:tcPr>
                  <w:tcW w:w="2130" w:type="pct"/>
                  <w:tcBorders>
                    <w:tl2br w:val="nil"/>
                    <w:tr2bl w:val="nil"/>
                  </w:tcBorders>
                  <w:vAlign w:val="center"/>
                </w:tcPr>
                <w:p w14:paraId="121D5C35">
                  <w:pPr>
                    <w:tabs>
                      <w:tab w:val="left" w:pos="895"/>
                    </w:tabs>
                    <w:topLinePunct/>
                    <w:autoSpaceDE/>
                    <w:autoSpaceDN/>
                    <w:jc w:val="center"/>
                    <w:rPr>
                      <w:rFonts w:ascii="Times New Roman" w:hAnsi="Times New Roman" w:cs="Times New Roman"/>
                      <w:sz w:val="21"/>
                      <w:szCs w:val="21"/>
                      <w:lang w:val="en-US"/>
                    </w:rPr>
                  </w:pPr>
                  <w:r>
                    <w:rPr>
                      <w:rFonts w:hint="eastAsia" w:ascii="Times New Roman" w:hAnsi="Times New Roman" w:cs="Times New Roman"/>
                      <w:sz w:val="21"/>
                      <w:szCs w:val="21"/>
                      <w:lang w:val="en-US"/>
                    </w:rPr>
                    <w:t>选用低噪声设备，定期进行</w:t>
                  </w:r>
                  <w:r>
                    <w:rPr>
                      <w:rFonts w:ascii="Times New Roman" w:hAnsi="Times New Roman" w:cs="Times New Roman"/>
                      <w:sz w:val="21"/>
                      <w:szCs w:val="21"/>
                      <w:lang w:val="en-US"/>
                    </w:rPr>
                    <w:t>保养、维护</w:t>
                  </w:r>
                  <w:r>
                    <w:rPr>
                      <w:rFonts w:hint="eastAsia" w:ascii="Times New Roman" w:hAnsi="Times New Roman" w:cs="Times New Roman"/>
                      <w:sz w:val="21"/>
                      <w:szCs w:val="21"/>
                      <w:lang w:val="en-US"/>
                    </w:rPr>
                    <w:t>、隔声降噪。</w:t>
                  </w:r>
                </w:p>
              </w:tc>
            </w:tr>
          </w:tbl>
          <w:p w14:paraId="534B93D4">
            <w:pPr>
              <w:autoSpaceDE/>
              <w:autoSpaceDN/>
              <w:spacing w:line="520" w:lineRule="exact"/>
              <w:ind w:firstLine="480" w:firstLineChars="200"/>
              <w:jc w:val="center"/>
              <w:rPr>
                <w:rFonts w:ascii="Times New Roman" w:hAnsi="Times New Roman" w:cs="Times New Roman"/>
                <w:sz w:val="24"/>
                <w:lang w:val="en-US"/>
              </w:rPr>
            </w:pPr>
          </w:p>
        </w:tc>
      </w:tr>
      <w:tr w14:paraId="23E08F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80" w:hRule="atLeast"/>
        </w:trPr>
        <w:tc>
          <w:tcPr>
            <w:tcW w:w="400" w:type="dxa"/>
            <w:tcBorders>
              <w:top w:val="single" w:color="auto" w:sz="4" w:space="0"/>
              <w:right w:val="single" w:color="000000" w:sz="4" w:space="0"/>
            </w:tcBorders>
            <w:vAlign w:val="center"/>
          </w:tcPr>
          <w:p w14:paraId="79A42D42">
            <w:pPr>
              <w:jc w:val="center"/>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与项目有关的原有环境污染问题</w:t>
            </w:r>
          </w:p>
        </w:tc>
        <w:tc>
          <w:tcPr>
            <w:tcW w:w="9598" w:type="dxa"/>
            <w:tcBorders>
              <w:top w:val="single" w:color="auto" w:sz="4" w:space="0"/>
              <w:left w:val="single" w:color="000000" w:sz="4" w:space="0"/>
            </w:tcBorders>
            <w:vAlign w:val="center"/>
          </w:tcPr>
          <w:p w14:paraId="7C5609C9">
            <w:pPr>
              <w:spacing w:line="440" w:lineRule="exact"/>
              <w:ind w:firstLine="482" w:firstLineChars="200"/>
              <w:rPr>
                <w:rFonts w:hint="default" w:ascii="Times New Roman" w:hAnsi="Times New Roman" w:eastAsia="宋体" w:cs="Times New Roman"/>
                <w:b/>
                <w:bCs/>
                <w:iCs/>
                <w:color w:val="auto"/>
                <w:kern w:val="0"/>
                <w:sz w:val="24"/>
                <w:szCs w:val="24"/>
              </w:rPr>
            </w:pPr>
            <w:r>
              <w:rPr>
                <w:rFonts w:hint="default" w:ascii="Times New Roman" w:hAnsi="Times New Roman" w:eastAsia="宋体" w:cs="Times New Roman"/>
                <w:b/>
                <w:bCs/>
                <w:iCs/>
                <w:color w:val="auto"/>
                <w:kern w:val="0"/>
                <w:sz w:val="24"/>
                <w:szCs w:val="24"/>
              </w:rPr>
              <w:t>1、伊金霍洛旗</w:t>
            </w:r>
            <w:r>
              <w:rPr>
                <w:rFonts w:hint="eastAsia" w:ascii="Times New Roman" w:hAnsi="Times New Roman" w:eastAsia="宋体" w:cs="Times New Roman"/>
                <w:b/>
                <w:bCs/>
                <w:iCs/>
                <w:color w:val="auto"/>
                <w:kern w:val="0"/>
                <w:sz w:val="24"/>
                <w:szCs w:val="24"/>
                <w:lang w:val="en-US" w:eastAsia="zh-CN"/>
              </w:rPr>
              <w:t>鑫海</w:t>
            </w:r>
            <w:r>
              <w:rPr>
                <w:rFonts w:hint="default" w:ascii="Times New Roman" w:hAnsi="Times New Roman" w:eastAsia="宋体" w:cs="Times New Roman"/>
                <w:b/>
                <w:bCs/>
                <w:iCs/>
                <w:color w:val="auto"/>
                <w:kern w:val="0"/>
                <w:sz w:val="24"/>
                <w:szCs w:val="24"/>
              </w:rPr>
              <w:t>洗煤厂（普通合伙）基本情况</w:t>
            </w:r>
          </w:p>
          <w:p w14:paraId="4BD46848">
            <w:pPr>
              <w:adjustRightInd w:val="0"/>
              <w:snapToGrid w:val="0"/>
              <w:spacing w:line="440" w:lineRule="exact"/>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伊金霍洛旗</w:t>
            </w:r>
            <w:r>
              <w:rPr>
                <w:rFonts w:hint="eastAsia" w:ascii="Times New Roman" w:hAnsi="Times New Roman" w:eastAsia="宋体" w:cs="Times New Roman"/>
                <w:color w:val="auto"/>
                <w:sz w:val="24"/>
                <w:szCs w:val="24"/>
                <w:lang w:val="en-US" w:eastAsia="zh-CN"/>
              </w:rPr>
              <w:t>鑫海</w:t>
            </w:r>
            <w:r>
              <w:rPr>
                <w:rFonts w:hint="default" w:ascii="Times New Roman" w:hAnsi="Times New Roman" w:eastAsia="宋体" w:cs="Times New Roman"/>
                <w:color w:val="auto"/>
                <w:sz w:val="24"/>
                <w:szCs w:val="24"/>
              </w:rPr>
              <w:t>洗煤厂（普通合伙）成立于 200</w:t>
            </w: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年，位于伊金霍洛旗札萨克镇哈日木</w:t>
            </w:r>
            <w:r>
              <w:rPr>
                <w:rFonts w:hint="eastAsia" w:ascii="Times New Roman" w:hAnsi="Times New Roman" w:eastAsia="宋体" w:cs="Times New Roman"/>
                <w:color w:val="auto"/>
                <w:sz w:val="24"/>
                <w:szCs w:val="24"/>
                <w:lang w:val="en-US" w:eastAsia="zh-CN"/>
              </w:rPr>
              <w:t>河</w:t>
            </w:r>
            <w:r>
              <w:rPr>
                <w:rFonts w:hint="default" w:ascii="Times New Roman" w:hAnsi="Times New Roman" w:eastAsia="宋体" w:cs="Times New Roman"/>
                <w:color w:val="auto"/>
                <w:sz w:val="24"/>
                <w:szCs w:val="24"/>
              </w:rPr>
              <w:t>村。</w:t>
            </w:r>
          </w:p>
          <w:p w14:paraId="39106D1C">
            <w:pPr>
              <w:adjustRightInd w:val="0"/>
              <w:snapToGrid w:val="0"/>
              <w:spacing w:line="440" w:lineRule="exact"/>
              <w:ind w:firstLine="480" w:firstLineChars="200"/>
              <w:rPr>
                <w:rFonts w:hint="default" w:ascii="Times New Roman" w:hAnsi="Times New Roman" w:eastAsia="宋体" w:cs="Times New Roman"/>
                <w:iCs/>
                <w:color w:val="auto"/>
                <w:kern w:val="0"/>
                <w:sz w:val="24"/>
                <w:szCs w:val="24"/>
              </w:rPr>
            </w:pPr>
            <w:r>
              <w:rPr>
                <w:rFonts w:hint="default" w:ascii="Times New Roman" w:hAnsi="Times New Roman" w:eastAsia="宋体" w:cs="Times New Roman"/>
                <w:iCs/>
                <w:color w:val="auto"/>
                <w:sz w:val="24"/>
                <w:szCs w:val="24"/>
              </w:rPr>
              <w:t>伊金霍洛旗环境保护监察中心于</w:t>
            </w:r>
            <w:r>
              <w:rPr>
                <w:rFonts w:hint="eastAsia" w:ascii="Times New Roman" w:hAnsi="Times New Roman" w:cs="Times New Roman"/>
                <w:iCs/>
                <w:color w:val="auto"/>
                <w:sz w:val="24"/>
                <w:szCs w:val="24"/>
                <w:lang w:eastAsia="zh-CN"/>
              </w:rPr>
              <w:t>2005年4月13日</w:t>
            </w:r>
            <w:r>
              <w:rPr>
                <w:rFonts w:hint="default" w:ascii="Times New Roman" w:hAnsi="Times New Roman" w:eastAsia="宋体" w:cs="Times New Roman"/>
                <w:iCs/>
                <w:color w:val="auto"/>
                <w:sz w:val="24"/>
                <w:szCs w:val="24"/>
              </w:rPr>
              <w:t>出具了《关于内蒙古伊金霍洛旗新街镇鑫海洗煤厂项目的批复》</w:t>
            </w:r>
            <w:r>
              <w:rPr>
                <w:rFonts w:hint="eastAsia" w:ascii="Times New Roman" w:hAnsi="Times New Roman" w:cs="Times New Roman"/>
                <w:iCs/>
                <w:color w:val="auto"/>
                <w:sz w:val="24"/>
                <w:szCs w:val="24"/>
                <w:lang w:eastAsia="zh-CN"/>
              </w:rPr>
              <w:t>（</w:t>
            </w:r>
            <w:r>
              <w:rPr>
                <w:rFonts w:hint="default" w:ascii="Times New Roman" w:hAnsi="Times New Roman" w:eastAsia="宋体" w:cs="Times New Roman"/>
                <w:iCs/>
                <w:color w:val="auto"/>
                <w:sz w:val="24"/>
                <w:szCs w:val="24"/>
              </w:rPr>
              <w:t>伊环监字</w:t>
            </w:r>
            <w:r>
              <w:rPr>
                <w:rFonts w:hint="eastAsia" w:ascii="Times New Roman" w:hAnsi="Times New Roman" w:cs="Times New Roman"/>
                <w:iCs/>
                <w:color w:val="auto"/>
                <w:sz w:val="24"/>
                <w:szCs w:val="24"/>
                <w:lang w:eastAsia="zh-CN"/>
              </w:rPr>
              <w:t>〔2005〕14号）</w:t>
            </w:r>
            <w:r>
              <w:rPr>
                <w:rFonts w:hint="eastAsia" w:ascii="Times New Roman" w:hAnsi="Times New Roman" w:eastAsia="宋体" w:cs="Times New Roman"/>
                <w:iCs/>
                <w:color w:val="auto"/>
                <w:sz w:val="24"/>
                <w:szCs w:val="24"/>
                <w:lang w:eastAsia="zh-CN"/>
              </w:rPr>
              <w:t>；</w:t>
            </w:r>
            <w:r>
              <w:rPr>
                <w:rFonts w:hint="default" w:ascii="Times New Roman" w:hAnsi="Times New Roman" w:eastAsia="宋体" w:cs="Times New Roman"/>
                <w:iCs/>
                <w:color w:val="auto"/>
                <w:sz w:val="24"/>
                <w:szCs w:val="24"/>
              </w:rPr>
              <w:t>鄂尔多斯市环境保护局于</w:t>
            </w:r>
            <w:r>
              <w:rPr>
                <w:rFonts w:hint="eastAsia" w:ascii="Times New Roman" w:hAnsi="Times New Roman" w:cs="Times New Roman"/>
                <w:iCs/>
                <w:color w:val="auto"/>
                <w:sz w:val="24"/>
                <w:szCs w:val="24"/>
                <w:lang w:eastAsia="zh-CN"/>
              </w:rPr>
              <w:t>2004年8月16日</w:t>
            </w:r>
            <w:r>
              <w:rPr>
                <w:rFonts w:hint="default" w:ascii="Times New Roman" w:hAnsi="Times New Roman" w:eastAsia="宋体" w:cs="Times New Roman"/>
                <w:iCs/>
                <w:color w:val="auto"/>
                <w:sz w:val="24"/>
                <w:szCs w:val="24"/>
              </w:rPr>
              <w:t>出具了《关于对内蒙古伊金霍洛旗新街镇鑫海30万吨/年洗煤厂项目环境影响报告表的审批意见》</w:t>
            </w:r>
            <w:r>
              <w:rPr>
                <w:rFonts w:hint="eastAsia" w:ascii="Times New Roman" w:hAnsi="Times New Roman" w:cs="Times New Roman"/>
                <w:iCs/>
                <w:color w:val="auto"/>
                <w:sz w:val="24"/>
                <w:szCs w:val="24"/>
                <w:lang w:eastAsia="zh-CN"/>
              </w:rPr>
              <w:t>（</w:t>
            </w:r>
            <w:r>
              <w:rPr>
                <w:rFonts w:hint="default" w:ascii="Times New Roman" w:hAnsi="Times New Roman" w:eastAsia="宋体" w:cs="Times New Roman"/>
                <w:iCs/>
                <w:color w:val="auto"/>
                <w:sz w:val="24"/>
                <w:szCs w:val="24"/>
              </w:rPr>
              <w:t>鄂环发</w:t>
            </w:r>
            <w:r>
              <w:rPr>
                <w:rFonts w:hint="eastAsia" w:ascii="Times New Roman" w:hAnsi="Times New Roman" w:cs="Times New Roman"/>
                <w:iCs/>
                <w:color w:val="auto"/>
                <w:sz w:val="24"/>
                <w:szCs w:val="24"/>
                <w:lang w:eastAsia="zh-CN"/>
              </w:rPr>
              <w:t>〔2004〕254号）</w:t>
            </w:r>
            <w:r>
              <w:rPr>
                <w:rFonts w:hint="default" w:ascii="Times New Roman" w:hAnsi="Times New Roman" w:eastAsia="宋体" w:cs="Times New Roman"/>
                <w:iCs/>
                <w:color w:val="auto"/>
                <w:sz w:val="24"/>
                <w:szCs w:val="24"/>
              </w:rPr>
              <w:t>。201</w:t>
            </w:r>
            <w:r>
              <w:rPr>
                <w:rFonts w:hint="eastAsia" w:ascii="Times New Roman" w:hAnsi="Times New Roman" w:eastAsia="宋体" w:cs="Times New Roman"/>
                <w:iCs/>
                <w:color w:val="auto"/>
                <w:sz w:val="24"/>
                <w:szCs w:val="24"/>
                <w:lang w:val="en-US" w:eastAsia="zh-CN"/>
              </w:rPr>
              <w:t>7</w:t>
            </w:r>
            <w:r>
              <w:rPr>
                <w:rFonts w:hint="default" w:ascii="Times New Roman" w:hAnsi="Times New Roman" w:eastAsia="宋体" w:cs="Times New Roman"/>
                <w:iCs/>
                <w:color w:val="auto"/>
                <w:sz w:val="24"/>
                <w:szCs w:val="24"/>
              </w:rPr>
              <w:t>年</w:t>
            </w:r>
            <w:r>
              <w:rPr>
                <w:rFonts w:hint="eastAsia" w:ascii="Times New Roman" w:hAnsi="Times New Roman" w:eastAsia="宋体" w:cs="Times New Roman"/>
                <w:iCs/>
                <w:color w:val="auto"/>
                <w:sz w:val="24"/>
                <w:szCs w:val="24"/>
                <w:lang w:val="en-US" w:eastAsia="zh-CN"/>
              </w:rPr>
              <w:t>9</w:t>
            </w:r>
            <w:r>
              <w:rPr>
                <w:rFonts w:hint="default" w:ascii="Times New Roman" w:hAnsi="Times New Roman" w:eastAsia="宋体" w:cs="Times New Roman"/>
                <w:iCs/>
                <w:color w:val="auto"/>
                <w:sz w:val="24"/>
                <w:szCs w:val="24"/>
              </w:rPr>
              <w:t>月</w:t>
            </w:r>
            <w:r>
              <w:rPr>
                <w:rFonts w:hint="eastAsia" w:ascii="Times New Roman" w:hAnsi="Times New Roman" w:eastAsia="宋体" w:cs="Times New Roman"/>
                <w:iCs/>
                <w:color w:val="auto"/>
                <w:sz w:val="24"/>
                <w:szCs w:val="24"/>
                <w:lang w:val="en-US" w:eastAsia="zh-CN"/>
              </w:rPr>
              <w:t>15</w:t>
            </w:r>
            <w:r>
              <w:rPr>
                <w:rFonts w:hint="eastAsia" w:ascii="Times New Roman" w:hAnsi="Times New Roman" w:cs="Times New Roman"/>
                <w:iCs/>
                <w:color w:val="auto"/>
                <w:sz w:val="24"/>
                <w:szCs w:val="24"/>
                <w:lang w:val="en-US" w:eastAsia="zh-CN"/>
              </w:rPr>
              <w:t>日</w:t>
            </w:r>
            <w:r>
              <w:rPr>
                <w:rFonts w:hint="default" w:ascii="Times New Roman" w:hAnsi="Times New Roman" w:eastAsia="宋体" w:cs="Times New Roman"/>
                <w:iCs/>
                <w:color w:val="auto"/>
                <w:sz w:val="24"/>
                <w:szCs w:val="24"/>
              </w:rPr>
              <w:t>， 委托石家庄华诺安评环境工程技术有限公司编制完成了《内蒙古鄂尔多斯市伊金霍洛旗札萨克镇鑫海120万吨/年洗煤厂项目</w:t>
            </w:r>
            <w:r>
              <w:rPr>
                <w:rFonts w:hint="eastAsia" w:ascii="Times New Roman" w:hAnsi="Times New Roman" w:eastAsia="宋体" w:cs="Times New Roman"/>
                <w:iCs/>
                <w:color w:val="auto"/>
                <w:sz w:val="24"/>
                <w:szCs w:val="24"/>
                <w:lang w:val="en-US" w:eastAsia="zh-CN"/>
              </w:rPr>
              <w:t>报告表</w:t>
            </w:r>
            <w:r>
              <w:rPr>
                <w:rFonts w:hint="default" w:ascii="Times New Roman" w:hAnsi="Times New Roman" w:eastAsia="宋体" w:cs="Times New Roman"/>
                <w:iCs/>
                <w:color w:val="auto"/>
                <w:sz w:val="24"/>
                <w:szCs w:val="24"/>
              </w:rPr>
              <w:t>》， 于</w:t>
            </w:r>
            <w:r>
              <w:rPr>
                <w:rFonts w:hint="default" w:ascii="Times New Roman" w:hAnsi="Times New Roman" w:eastAsia="宋体" w:cs="Times New Roman"/>
                <w:iCs/>
                <w:color w:val="auto"/>
                <w:sz w:val="24"/>
                <w:szCs w:val="24"/>
                <w:lang w:eastAsia="zh-CN"/>
              </w:rPr>
              <w:t>201</w:t>
            </w:r>
            <w:r>
              <w:rPr>
                <w:rFonts w:hint="eastAsia" w:ascii="Times New Roman" w:hAnsi="Times New Roman" w:eastAsia="宋体" w:cs="Times New Roman"/>
                <w:iCs/>
                <w:color w:val="auto"/>
                <w:sz w:val="24"/>
                <w:szCs w:val="24"/>
                <w:lang w:val="en-US" w:eastAsia="zh-CN"/>
              </w:rPr>
              <w:t>8</w:t>
            </w:r>
            <w:r>
              <w:rPr>
                <w:rFonts w:hint="default" w:ascii="Times New Roman" w:hAnsi="Times New Roman" w:eastAsia="宋体" w:cs="Times New Roman"/>
                <w:iCs/>
                <w:color w:val="auto"/>
                <w:sz w:val="24"/>
                <w:szCs w:val="24"/>
                <w:lang w:eastAsia="zh-CN"/>
              </w:rPr>
              <w:t>年</w:t>
            </w:r>
            <w:r>
              <w:rPr>
                <w:rFonts w:hint="eastAsia" w:ascii="Times New Roman" w:hAnsi="Times New Roman" w:eastAsia="宋体" w:cs="Times New Roman"/>
                <w:iCs/>
                <w:color w:val="auto"/>
                <w:sz w:val="24"/>
                <w:szCs w:val="24"/>
                <w:lang w:val="en-US" w:eastAsia="zh-CN"/>
              </w:rPr>
              <w:t>5</w:t>
            </w:r>
            <w:r>
              <w:rPr>
                <w:rFonts w:hint="default" w:ascii="Times New Roman" w:hAnsi="Times New Roman" w:eastAsia="宋体" w:cs="Times New Roman"/>
                <w:iCs/>
                <w:color w:val="auto"/>
                <w:sz w:val="24"/>
                <w:szCs w:val="24"/>
                <w:lang w:eastAsia="zh-CN"/>
              </w:rPr>
              <w:t>月</w:t>
            </w:r>
            <w:r>
              <w:rPr>
                <w:rFonts w:hint="eastAsia" w:ascii="Times New Roman" w:hAnsi="Times New Roman" w:eastAsia="宋体" w:cs="Times New Roman"/>
                <w:iCs/>
                <w:color w:val="auto"/>
                <w:sz w:val="24"/>
                <w:szCs w:val="24"/>
                <w:lang w:val="en-US" w:eastAsia="zh-CN"/>
              </w:rPr>
              <w:t>11</w:t>
            </w:r>
            <w:r>
              <w:rPr>
                <w:rFonts w:hint="default" w:ascii="Times New Roman" w:hAnsi="Times New Roman" w:eastAsia="宋体" w:cs="Times New Roman"/>
                <w:iCs/>
                <w:color w:val="auto"/>
                <w:sz w:val="24"/>
                <w:szCs w:val="24"/>
                <w:lang w:eastAsia="zh-CN"/>
              </w:rPr>
              <w:t>日</w:t>
            </w:r>
            <w:r>
              <w:rPr>
                <w:rFonts w:hint="default" w:ascii="Times New Roman" w:hAnsi="Times New Roman" w:eastAsia="宋体" w:cs="Times New Roman"/>
                <w:iCs/>
                <w:color w:val="auto"/>
                <w:sz w:val="24"/>
                <w:szCs w:val="24"/>
              </w:rPr>
              <w:t>通过了原鄂尔多斯市环境保护局审批（鄂环评字</w:t>
            </w:r>
            <w:r>
              <w:rPr>
                <w:rFonts w:hint="eastAsia" w:ascii="Times New Roman" w:hAnsi="Times New Roman" w:cs="Times New Roman"/>
                <w:iCs/>
                <w:color w:val="auto"/>
                <w:sz w:val="24"/>
                <w:szCs w:val="24"/>
                <w:lang w:eastAsia="zh-CN"/>
              </w:rPr>
              <w:t>〔2018〕67号</w:t>
            </w:r>
            <w:r>
              <w:rPr>
                <w:rFonts w:hint="default" w:ascii="Times New Roman" w:hAnsi="Times New Roman" w:eastAsia="宋体" w:cs="Times New Roman"/>
                <w:iCs/>
                <w:color w:val="auto"/>
                <w:sz w:val="24"/>
                <w:szCs w:val="24"/>
              </w:rPr>
              <w:t>）；201</w:t>
            </w:r>
            <w:r>
              <w:rPr>
                <w:rFonts w:hint="eastAsia" w:ascii="Times New Roman" w:hAnsi="Times New Roman" w:eastAsia="宋体" w:cs="Times New Roman"/>
                <w:iCs/>
                <w:color w:val="auto"/>
                <w:sz w:val="24"/>
                <w:szCs w:val="24"/>
                <w:lang w:val="en-US" w:eastAsia="zh-CN"/>
              </w:rPr>
              <w:t>8</w:t>
            </w:r>
            <w:r>
              <w:rPr>
                <w:rFonts w:hint="default" w:ascii="Times New Roman" w:hAnsi="Times New Roman" w:eastAsia="宋体" w:cs="Times New Roman"/>
                <w:iCs/>
                <w:color w:val="auto"/>
                <w:sz w:val="24"/>
                <w:szCs w:val="24"/>
              </w:rPr>
              <w:t>年</w:t>
            </w:r>
            <w:r>
              <w:rPr>
                <w:rFonts w:hint="eastAsia" w:ascii="Times New Roman" w:hAnsi="Times New Roman" w:eastAsia="宋体" w:cs="Times New Roman"/>
                <w:iCs/>
                <w:color w:val="auto"/>
                <w:sz w:val="24"/>
                <w:szCs w:val="24"/>
                <w:lang w:val="en-US" w:eastAsia="zh-CN"/>
              </w:rPr>
              <w:t>7</w:t>
            </w:r>
            <w:r>
              <w:rPr>
                <w:rFonts w:hint="default" w:ascii="Times New Roman" w:hAnsi="Times New Roman" w:eastAsia="宋体" w:cs="Times New Roman"/>
                <w:iCs/>
                <w:color w:val="auto"/>
                <w:sz w:val="24"/>
                <w:szCs w:val="24"/>
              </w:rPr>
              <w:t>月</w:t>
            </w:r>
            <w:r>
              <w:rPr>
                <w:rFonts w:hint="eastAsia" w:ascii="Times New Roman" w:hAnsi="Times New Roman" w:eastAsia="宋体" w:cs="Times New Roman"/>
                <w:iCs/>
                <w:color w:val="auto"/>
                <w:sz w:val="24"/>
                <w:szCs w:val="24"/>
                <w:lang w:val="en-US" w:eastAsia="zh-CN"/>
              </w:rPr>
              <w:t>14</w:t>
            </w:r>
            <w:r>
              <w:rPr>
                <w:rFonts w:hint="default" w:ascii="Times New Roman" w:hAnsi="Times New Roman" w:eastAsia="宋体" w:cs="Times New Roman"/>
                <w:iCs/>
                <w:color w:val="auto"/>
                <w:sz w:val="24"/>
                <w:szCs w:val="24"/>
              </w:rPr>
              <w:t>日，</w:t>
            </w:r>
            <w:r>
              <w:rPr>
                <w:rFonts w:hint="eastAsia" w:ascii="Times New Roman" w:hAnsi="Times New Roman" w:cs="Times New Roman"/>
                <w:iCs/>
                <w:color w:val="auto"/>
                <w:sz w:val="24"/>
                <w:szCs w:val="24"/>
                <w:lang w:val="en-US" w:eastAsia="zh-CN"/>
              </w:rPr>
              <w:t>项目废气和废水</w:t>
            </w:r>
            <w:r>
              <w:rPr>
                <w:rFonts w:hint="default" w:ascii="Times New Roman" w:hAnsi="Times New Roman" w:eastAsia="宋体" w:cs="Times New Roman"/>
                <w:iCs/>
                <w:color w:val="auto"/>
                <w:sz w:val="24"/>
                <w:szCs w:val="24"/>
              </w:rPr>
              <w:t>通过</w:t>
            </w:r>
            <w:r>
              <w:rPr>
                <w:rFonts w:hint="eastAsia" w:ascii="Times New Roman" w:hAnsi="Times New Roman" w:eastAsia="宋体" w:cs="Times New Roman"/>
                <w:iCs/>
                <w:color w:val="auto"/>
                <w:sz w:val="24"/>
                <w:szCs w:val="24"/>
                <w:lang w:val="en-US" w:eastAsia="zh-CN"/>
              </w:rPr>
              <w:t>企业自主</w:t>
            </w:r>
            <w:r>
              <w:rPr>
                <w:rFonts w:hint="default" w:ascii="Times New Roman" w:hAnsi="Times New Roman" w:eastAsia="宋体" w:cs="Times New Roman"/>
                <w:iCs/>
                <w:color w:val="auto"/>
                <w:sz w:val="24"/>
                <w:szCs w:val="24"/>
              </w:rPr>
              <w:t>竣工环境保护验收</w:t>
            </w:r>
            <w:r>
              <w:rPr>
                <w:rFonts w:hint="eastAsia" w:ascii="Times New Roman" w:hAnsi="Times New Roman" w:eastAsia="宋体" w:cs="Times New Roman"/>
                <w:iCs/>
                <w:color w:val="auto"/>
                <w:sz w:val="24"/>
                <w:szCs w:val="24"/>
                <w:lang w:eastAsia="zh-CN"/>
              </w:rPr>
              <w:t>，</w:t>
            </w:r>
            <w:r>
              <w:rPr>
                <w:rFonts w:hint="eastAsia" w:ascii="Times New Roman" w:hAnsi="Times New Roman" w:eastAsia="宋体" w:cs="Times New Roman"/>
                <w:iCs/>
                <w:color w:val="auto"/>
                <w:sz w:val="24"/>
                <w:szCs w:val="24"/>
                <w:lang w:val="en-US" w:eastAsia="zh-CN"/>
              </w:rPr>
              <w:t>噪声和固废</w:t>
            </w:r>
            <w:r>
              <w:rPr>
                <w:rFonts w:hint="eastAsia" w:ascii="Times New Roman" w:hAnsi="Times New Roman" w:cs="Times New Roman"/>
                <w:iCs/>
                <w:color w:val="auto"/>
                <w:sz w:val="24"/>
                <w:szCs w:val="24"/>
                <w:lang w:val="en-US" w:eastAsia="zh-CN"/>
              </w:rPr>
              <w:t>通过竣工环境保护验收监测报告表进行了</w:t>
            </w:r>
            <w:r>
              <w:rPr>
                <w:rFonts w:hint="eastAsia" w:ascii="Times New Roman" w:hAnsi="Times New Roman" w:eastAsia="宋体" w:cs="Times New Roman"/>
                <w:iCs/>
                <w:color w:val="auto"/>
                <w:sz w:val="24"/>
                <w:szCs w:val="24"/>
                <w:lang w:val="en-US" w:eastAsia="zh-CN"/>
              </w:rPr>
              <w:t>验收</w:t>
            </w:r>
            <w:r>
              <w:rPr>
                <w:rFonts w:hint="default" w:ascii="Times New Roman" w:hAnsi="Times New Roman" w:eastAsia="宋体" w:cs="Times New Roman"/>
                <w:iCs/>
                <w:color w:val="auto"/>
                <w:sz w:val="24"/>
                <w:szCs w:val="24"/>
              </w:rPr>
              <w:t>。</w:t>
            </w:r>
          </w:p>
          <w:p w14:paraId="4636A888">
            <w:pPr>
              <w:adjustRightInd w:val="0"/>
              <w:snapToGrid w:val="0"/>
              <w:spacing w:line="440" w:lineRule="exact"/>
              <w:ind w:firstLine="480" w:firstLineChars="200"/>
              <w:rPr>
                <w:rFonts w:hint="default" w:ascii="Times New Roman" w:hAnsi="Times New Roman" w:eastAsia="宋体" w:cs="Times New Roman"/>
                <w:iCs/>
                <w:color w:val="auto"/>
                <w:kern w:val="0"/>
                <w:sz w:val="24"/>
                <w:szCs w:val="24"/>
              </w:rPr>
            </w:pPr>
            <w:r>
              <w:rPr>
                <w:rFonts w:hint="eastAsia" w:ascii="Times New Roman" w:hAnsi="Times New Roman" w:eastAsia="宋体" w:cs="Times New Roman"/>
                <w:iCs/>
                <w:color w:val="auto"/>
                <w:kern w:val="0"/>
                <w:sz w:val="24"/>
                <w:szCs w:val="24"/>
                <w:lang w:val="en-US" w:eastAsia="zh-CN"/>
              </w:rPr>
              <w:t>到目前为止，</w:t>
            </w:r>
            <w:r>
              <w:rPr>
                <w:rFonts w:hint="default" w:ascii="Times New Roman" w:hAnsi="Times New Roman" w:eastAsia="宋体" w:cs="Times New Roman"/>
                <w:iCs/>
                <w:color w:val="auto"/>
                <w:kern w:val="0"/>
                <w:sz w:val="24"/>
                <w:szCs w:val="24"/>
              </w:rPr>
              <w:t>企业</w:t>
            </w:r>
            <w:r>
              <w:rPr>
                <w:rFonts w:hint="eastAsia" w:ascii="Times New Roman" w:hAnsi="Times New Roman" w:eastAsia="宋体" w:cs="Times New Roman"/>
                <w:iCs/>
                <w:color w:val="auto"/>
                <w:kern w:val="0"/>
                <w:sz w:val="24"/>
                <w:szCs w:val="24"/>
                <w:lang w:val="en-US" w:eastAsia="zh-CN"/>
              </w:rPr>
              <w:t>未</w:t>
            </w:r>
            <w:r>
              <w:rPr>
                <w:rFonts w:hint="default" w:ascii="Times New Roman" w:hAnsi="Times New Roman" w:eastAsia="宋体" w:cs="Times New Roman"/>
                <w:iCs/>
                <w:color w:val="auto"/>
                <w:kern w:val="0"/>
                <w:sz w:val="24"/>
                <w:szCs w:val="24"/>
              </w:rPr>
              <w:t>进行排污许可登记。</w:t>
            </w:r>
          </w:p>
          <w:p w14:paraId="39B9C417">
            <w:pPr>
              <w:spacing w:line="440" w:lineRule="exact"/>
              <w:ind w:firstLine="48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kern w:val="0"/>
                <w:sz w:val="24"/>
                <w:szCs w:val="24"/>
              </w:rPr>
              <w:t>2、</w:t>
            </w:r>
            <w:r>
              <w:rPr>
                <w:rFonts w:hint="default" w:ascii="Times New Roman" w:hAnsi="Times New Roman" w:eastAsia="宋体" w:cs="Times New Roman"/>
                <w:b/>
                <w:snapToGrid w:val="0"/>
                <w:color w:val="auto"/>
                <w:sz w:val="24"/>
                <w:szCs w:val="24"/>
              </w:rPr>
              <w:t>现有工程污染防治措施及污染物排放量</w:t>
            </w:r>
          </w:p>
          <w:p w14:paraId="26A48631">
            <w:pPr>
              <w:spacing w:line="420" w:lineRule="exact"/>
              <w:ind w:firstLine="480" w:firstLineChars="200"/>
              <w:rPr>
                <w:rFonts w:hint="default" w:ascii="Times New Roman" w:hAnsi="Times New Roman" w:eastAsia="宋体" w:cs="Times New Roman"/>
                <w:color w:val="auto"/>
                <w:kern w:val="0"/>
                <w:sz w:val="24"/>
                <w:szCs w:val="24"/>
                <w:u w:val="single"/>
              </w:rPr>
            </w:pPr>
            <w:r>
              <w:rPr>
                <w:rFonts w:hint="default" w:ascii="Times New Roman" w:hAnsi="Times New Roman" w:eastAsia="宋体" w:cs="Times New Roman"/>
                <w:iCs/>
                <w:color w:val="auto"/>
                <w:kern w:val="0"/>
                <w:sz w:val="24"/>
                <w:szCs w:val="24"/>
              </w:rPr>
              <w:t>企业自2022年下半年开始，停产至今，因此现有工程监测数据</w:t>
            </w:r>
            <w:r>
              <w:rPr>
                <w:rFonts w:hint="eastAsia" w:ascii="Times New Roman" w:hAnsi="Times New Roman" w:eastAsia="宋体" w:cs="Times New Roman"/>
                <w:iCs/>
                <w:color w:val="auto"/>
                <w:kern w:val="0"/>
                <w:sz w:val="24"/>
                <w:szCs w:val="24"/>
                <w:lang w:val="en-US" w:eastAsia="zh-CN"/>
              </w:rPr>
              <w:t>采用验收监测</w:t>
            </w:r>
            <w:r>
              <w:rPr>
                <w:rFonts w:hint="default" w:ascii="Times New Roman" w:hAnsi="Times New Roman" w:eastAsia="宋体" w:cs="Times New Roman"/>
                <w:iCs/>
                <w:color w:val="auto"/>
                <w:kern w:val="0"/>
                <w:sz w:val="24"/>
                <w:szCs w:val="24"/>
              </w:rPr>
              <w:t>数据</w:t>
            </w:r>
            <w:r>
              <w:rPr>
                <w:rFonts w:hint="default" w:ascii="Times New Roman" w:hAnsi="Times New Roman" w:eastAsia="宋体" w:cs="Times New Roman"/>
                <w:color w:val="auto"/>
                <w:kern w:val="0"/>
                <w:sz w:val="24"/>
                <w:szCs w:val="24"/>
              </w:rPr>
              <w:t>（编号：T</w:t>
            </w:r>
            <w:r>
              <w:rPr>
                <w:rFonts w:hint="eastAsia" w:ascii="Times New Roman" w:hAnsi="Times New Roman" w:eastAsia="宋体" w:cs="Times New Roman"/>
                <w:color w:val="auto"/>
                <w:kern w:val="0"/>
                <w:sz w:val="24"/>
                <w:szCs w:val="24"/>
                <w:lang w:val="en-US" w:eastAsia="zh-CN"/>
              </w:rPr>
              <w:t>CHJ-JL067</w:t>
            </w:r>
            <w:r>
              <w:rPr>
                <w:rFonts w:hint="default" w:ascii="Times New Roman" w:hAnsi="Times New Roman" w:eastAsia="宋体" w:cs="Times New Roman"/>
                <w:color w:val="auto"/>
                <w:kern w:val="0"/>
                <w:sz w:val="24"/>
                <w:szCs w:val="24"/>
              </w:rPr>
              <w:t>-</w:t>
            </w:r>
            <w:r>
              <w:rPr>
                <w:rFonts w:hint="eastAsia" w:ascii="Times New Roman" w:hAnsi="Times New Roman" w:eastAsia="宋体" w:cs="Times New Roman"/>
                <w:color w:val="auto"/>
                <w:kern w:val="0"/>
                <w:sz w:val="24"/>
                <w:szCs w:val="24"/>
                <w:lang w:val="en-US" w:eastAsia="zh-CN"/>
              </w:rPr>
              <w:t>1/0</w:t>
            </w:r>
            <w:r>
              <w:rPr>
                <w:rFonts w:hint="default" w:ascii="Times New Roman" w:hAnsi="Times New Roman" w:eastAsia="宋体" w:cs="Times New Roman"/>
                <w:color w:val="auto"/>
                <w:kern w:val="0"/>
                <w:sz w:val="24"/>
                <w:szCs w:val="24"/>
              </w:rPr>
              <w:t>），项目现有工程各污染防治措施及达标排放情况一览表见下表。</w:t>
            </w:r>
          </w:p>
          <w:p w14:paraId="10BCC57E">
            <w:pPr>
              <w:spacing w:line="420" w:lineRule="exact"/>
              <w:ind w:firstLine="48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（1）废气污染物</w:t>
            </w:r>
          </w:p>
          <w:p w14:paraId="6BC8A0E1">
            <w:pPr>
              <w:spacing w:line="420" w:lineRule="exact"/>
              <w:ind w:firstLine="480" w:firstLineChars="200"/>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color w:val="auto"/>
                <w:kern w:val="0"/>
                <w:sz w:val="24"/>
                <w:szCs w:val="24"/>
              </w:rPr>
              <w:t>现有工程废气污染物治理措施及排放情况见表2-</w:t>
            </w:r>
            <w:r>
              <w:rPr>
                <w:rFonts w:hint="eastAsia" w:ascii="Times New Roman" w:hAnsi="Times New Roman" w:eastAsia="宋体" w:cs="Times New Roman"/>
                <w:color w:val="auto"/>
                <w:kern w:val="0"/>
                <w:sz w:val="24"/>
                <w:szCs w:val="24"/>
                <w:lang w:val="en-US" w:eastAsia="zh-CN"/>
              </w:rPr>
              <w:t>8</w:t>
            </w:r>
            <w:r>
              <w:rPr>
                <w:rFonts w:hint="default" w:ascii="Times New Roman" w:hAnsi="Times New Roman" w:eastAsia="宋体" w:cs="Times New Roman"/>
                <w:color w:val="auto"/>
                <w:kern w:val="0"/>
                <w:sz w:val="24"/>
                <w:szCs w:val="24"/>
              </w:rPr>
              <w:t>。</w:t>
            </w:r>
          </w:p>
          <w:p w14:paraId="2499DCCD">
            <w:pPr>
              <w:spacing w:line="440" w:lineRule="exact"/>
              <w:jc w:val="center"/>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rPr>
              <w:t>表2-</w:t>
            </w:r>
            <w:r>
              <w:rPr>
                <w:rFonts w:hint="eastAsia" w:ascii="Times New Roman" w:hAnsi="Times New Roman" w:eastAsia="宋体" w:cs="Times New Roman"/>
                <w:b/>
                <w:color w:val="auto"/>
                <w:kern w:val="0"/>
                <w:sz w:val="24"/>
                <w:szCs w:val="24"/>
                <w:lang w:val="en-US" w:eastAsia="zh-CN"/>
              </w:rPr>
              <w:t>8</w:t>
            </w:r>
            <w:r>
              <w:rPr>
                <w:rFonts w:hint="default" w:ascii="Times New Roman" w:hAnsi="Times New Roman" w:eastAsia="宋体" w:cs="Times New Roman"/>
                <w:b/>
                <w:color w:val="auto"/>
                <w:kern w:val="0"/>
                <w:sz w:val="24"/>
                <w:szCs w:val="24"/>
              </w:rPr>
              <w:t xml:space="preserve">     现有工程废气污染物治理措施及排放一览表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285"/>
              <w:gridCol w:w="1305"/>
              <w:gridCol w:w="1805"/>
              <w:gridCol w:w="3799"/>
              <w:gridCol w:w="1379"/>
            </w:tblGrid>
            <w:tr w14:paraId="36E4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671" w:type="pct"/>
                  <w:tcBorders>
                    <w:top w:val="single" w:color="auto" w:sz="4" w:space="0"/>
                    <w:left w:val="single" w:color="auto" w:sz="4" w:space="0"/>
                    <w:bottom w:val="single" w:color="auto" w:sz="4" w:space="0"/>
                    <w:right w:val="single" w:color="auto" w:sz="4" w:space="0"/>
                  </w:tcBorders>
                  <w:vAlign w:val="center"/>
                </w:tcPr>
                <w:p w14:paraId="3DB8630A">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污染源</w:t>
                  </w:r>
                </w:p>
              </w:tc>
              <w:tc>
                <w:tcPr>
                  <w:tcW w:w="681" w:type="pct"/>
                  <w:tcBorders>
                    <w:top w:val="single" w:color="auto" w:sz="4" w:space="0"/>
                    <w:left w:val="single" w:color="auto" w:sz="4" w:space="0"/>
                    <w:bottom w:val="single" w:color="auto" w:sz="4" w:space="0"/>
                    <w:right w:val="single" w:color="auto" w:sz="4" w:space="0"/>
                  </w:tcBorders>
                  <w:vAlign w:val="center"/>
                </w:tcPr>
                <w:p w14:paraId="65BC43CF">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污染物</w:t>
                  </w:r>
                </w:p>
              </w:tc>
              <w:tc>
                <w:tcPr>
                  <w:tcW w:w="942" w:type="pct"/>
                  <w:tcBorders>
                    <w:top w:val="single" w:color="auto" w:sz="4" w:space="0"/>
                    <w:left w:val="single" w:color="auto" w:sz="4" w:space="0"/>
                    <w:bottom w:val="single" w:color="auto" w:sz="4" w:space="0"/>
                    <w:right w:val="single" w:color="auto" w:sz="4" w:space="0"/>
                  </w:tcBorders>
                  <w:vAlign w:val="center"/>
                </w:tcPr>
                <w:p w14:paraId="0282397D">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排放浓度mg/m</w:t>
                  </w:r>
                  <w:r>
                    <w:rPr>
                      <w:rFonts w:hint="default" w:ascii="Times New Roman" w:hAnsi="Times New Roman" w:cs="Times New Roman"/>
                      <w:color w:val="auto"/>
                      <w:sz w:val="21"/>
                      <w:szCs w:val="21"/>
                      <w:vertAlign w:val="superscript"/>
                      <w:lang w:val="en-US"/>
                    </w:rPr>
                    <w:t>3</w:t>
                  </w:r>
                </w:p>
              </w:tc>
              <w:tc>
                <w:tcPr>
                  <w:tcW w:w="1983" w:type="pct"/>
                  <w:tcBorders>
                    <w:top w:val="single" w:color="auto" w:sz="4" w:space="0"/>
                    <w:left w:val="single" w:color="auto" w:sz="4" w:space="0"/>
                    <w:bottom w:val="single" w:color="auto" w:sz="4" w:space="0"/>
                    <w:right w:val="single" w:color="auto" w:sz="4" w:space="0"/>
                  </w:tcBorders>
                  <w:vAlign w:val="center"/>
                </w:tcPr>
                <w:p w14:paraId="58E4295B">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措施及排放去向</w:t>
                  </w:r>
                </w:p>
              </w:tc>
              <w:tc>
                <w:tcPr>
                  <w:tcW w:w="720" w:type="pct"/>
                  <w:tcBorders>
                    <w:top w:val="single" w:color="auto" w:sz="4" w:space="0"/>
                    <w:left w:val="single" w:color="auto" w:sz="4" w:space="0"/>
                    <w:bottom w:val="single" w:color="auto" w:sz="4" w:space="0"/>
                    <w:right w:val="single" w:color="auto" w:sz="4" w:space="0"/>
                  </w:tcBorders>
                  <w:vAlign w:val="center"/>
                </w:tcPr>
                <w:p w14:paraId="441363B3">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标准限值</w:t>
                  </w:r>
                </w:p>
              </w:tc>
            </w:tr>
            <w:tr w14:paraId="5A64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exact"/>
                <w:jc w:val="center"/>
              </w:trPr>
              <w:tc>
                <w:tcPr>
                  <w:tcW w:w="671" w:type="pct"/>
                  <w:tcBorders>
                    <w:left w:val="single" w:color="auto" w:sz="4" w:space="0"/>
                    <w:right w:val="single" w:color="auto" w:sz="4" w:space="0"/>
                  </w:tcBorders>
                  <w:vAlign w:val="center"/>
                </w:tcPr>
                <w:p w14:paraId="7AF99E21">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厂界无组织废气</w:t>
                  </w:r>
                </w:p>
              </w:tc>
              <w:tc>
                <w:tcPr>
                  <w:tcW w:w="681" w:type="pct"/>
                  <w:tcBorders>
                    <w:top w:val="single" w:color="auto" w:sz="4" w:space="0"/>
                    <w:left w:val="single" w:color="auto" w:sz="4" w:space="0"/>
                    <w:bottom w:val="single" w:color="auto" w:sz="4" w:space="0"/>
                    <w:right w:val="single" w:color="auto" w:sz="4" w:space="0"/>
                  </w:tcBorders>
                  <w:vAlign w:val="center"/>
                </w:tcPr>
                <w:p w14:paraId="55345664">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颗粒物</w:t>
                  </w:r>
                </w:p>
              </w:tc>
              <w:tc>
                <w:tcPr>
                  <w:tcW w:w="942" w:type="pct"/>
                  <w:tcBorders>
                    <w:top w:val="single" w:color="auto" w:sz="4" w:space="0"/>
                    <w:left w:val="single" w:color="auto" w:sz="4" w:space="0"/>
                    <w:bottom w:val="single" w:color="auto" w:sz="4" w:space="0"/>
                    <w:right w:val="single" w:color="auto" w:sz="4" w:space="0"/>
                  </w:tcBorders>
                  <w:vAlign w:val="center"/>
                </w:tcPr>
                <w:p w14:paraId="53E324A7">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rPr>
                    <w:t>0.</w:t>
                  </w:r>
                  <w:r>
                    <w:rPr>
                      <w:rFonts w:hint="eastAsia" w:ascii="Times New Roman" w:hAnsi="Times New Roman" w:cs="Times New Roman"/>
                      <w:color w:val="auto"/>
                      <w:sz w:val="21"/>
                      <w:szCs w:val="21"/>
                      <w:lang w:val="en-US" w:eastAsia="zh-CN"/>
                    </w:rPr>
                    <w:t>7744</w:t>
                  </w:r>
                </w:p>
              </w:tc>
              <w:tc>
                <w:tcPr>
                  <w:tcW w:w="1983" w:type="pct"/>
                  <w:tcBorders>
                    <w:left w:val="single" w:color="auto" w:sz="4" w:space="0"/>
                    <w:right w:val="single" w:color="auto" w:sz="4" w:space="0"/>
                  </w:tcBorders>
                  <w:vAlign w:val="center"/>
                </w:tcPr>
                <w:p w14:paraId="4C01EAD7">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煤棚全封闭，车间内均配备喷雾抑尘装置。场内道路绿化，封闭运输，定期洒水，厂区地面及进出厂区道路硬化。</w:t>
                  </w:r>
                </w:p>
              </w:tc>
              <w:tc>
                <w:tcPr>
                  <w:tcW w:w="720" w:type="pct"/>
                  <w:tcBorders>
                    <w:top w:val="single" w:color="auto" w:sz="4" w:space="0"/>
                    <w:left w:val="single" w:color="auto" w:sz="4" w:space="0"/>
                    <w:bottom w:val="single" w:color="auto" w:sz="4" w:space="0"/>
                    <w:right w:val="single" w:color="auto" w:sz="4" w:space="0"/>
                  </w:tcBorders>
                  <w:vAlign w:val="center"/>
                </w:tcPr>
                <w:p w14:paraId="009B2196">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1.0mg/m</w:t>
                  </w:r>
                  <w:r>
                    <w:rPr>
                      <w:rFonts w:hint="default" w:ascii="Times New Roman" w:hAnsi="Times New Roman" w:cs="Times New Roman"/>
                      <w:color w:val="auto"/>
                      <w:sz w:val="21"/>
                      <w:szCs w:val="21"/>
                      <w:vertAlign w:val="superscript"/>
                      <w:lang w:val="en-US"/>
                    </w:rPr>
                    <w:t>3</w:t>
                  </w:r>
                </w:p>
              </w:tc>
            </w:tr>
          </w:tbl>
          <w:p w14:paraId="4EEE27FC">
            <w:pPr>
              <w:spacing w:line="440" w:lineRule="exact"/>
              <w:ind w:firstLine="480" w:firstLineChars="200"/>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（2）废水</w:t>
            </w:r>
          </w:p>
          <w:p w14:paraId="2180BFB2">
            <w:pPr>
              <w:spacing w:line="440" w:lineRule="exact"/>
              <w:ind w:firstLine="480" w:firstLineChars="200"/>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①生活污水</w:t>
            </w:r>
          </w:p>
          <w:p w14:paraId="6346DEA3">
            <w:pPr>
              <w:spacing w:line="440" w:lineRule="exact"/>
              <w:ind w:firstLine="480" w:firstLineChars="200"/>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生活区建设防渗生活污水收集池，生活污水产生量1.4m</w:t>
            </w:r>
            <w:r>
              <w:rPr>
                <w:rFonts w:hint="eastAsia" w:ascii="Times New Roman" w:hAnsi="Times New Roman" w:cs="Times New Roman"/>
                <w:bCs/>
                <w:color w:val="auto"/>
                <w:sz w:val="24"/>
                <w:szCs w:val="24"/>
                <w:vertAlign w:val="superscript"/>
                <w:lang w:val="en-US" w:eastAsia="zh-CN"/>
              </w:rPr>
              <w:t>3</w:t>
            </w:r>
            <w:r>
              <w:rPr>
                <w:rFonts w:hint="default" w:ascii="Times New Roman" w:hAnsi="Times New Roman" w:eastAsia="宋体" w:cs="Times New Roman"/>
                <w:bCs/>
                <w:color w:val="auto"/>
                <w:sz w:val="24"/>
                <w:szCs w:val="24"/>
              </w:rPr>
              <w:t>/d</w:t>
            </w:r>
            <w:r>
              <w:rPr>
                <w:rFonts w:hint="eastAsia" w:ascii="Times New Roman" w:hAnsi="Times New Roman" w:cs="Times New Roman"/>
                <w:bCs/>
                <w:color w:val="auto"/>
                <w:sz w:val="24"/>
                <w:szCs w:val="24"/>
                <w:lang w:eastAsia="zh-CN"/>
              </w:rPr>
              <w:t>，</w:t>
            </w:r>
            <w:r>
              <w:rPr>
                <w:rFonts w:hint="default" w:ascii="Times New Roman" w:hAnsi="Times New Roman" w:eastAsia="宋体" w:cs="Times New Roman"/>
                <w:bCs/>
                <w:color w:val="auto"/>
                <w:sz w:val="24"/>
                <w:szCs w:val="24"/>
              </w:rPr>
              <w:t>生活污水定期由伊金霍洛旗</w:t>
            </w:r>
            <w:r>
              <w:rPr>
                <w:rFonts w:hint="default" w:ascii="Times New Roman" w:hAnsi="Times New Roman" w:eastAsia="宋体" w:cs="Times New Roman"/>
                <w:bCs/>
                <w:color w:val="auto"/>
                <w:sz w:val="24"/>
                <w:szCs w:val="24"/>
                <w:highlight w:val="none"/>
              </w:rPr>
              <w:t>绿能丰田水处理有限责任公司集中处理，</w:t>
            </w:r>
            <w:r>
              <w:rPr>
                <w:rFonts w:hint="default" w:ascii="Times New Roman" w:hAnsi="Times New Roman" w:eastAsia="宋体" w:cs="Times New Roman"/>
                <w:bCs/>
                <w:color w:val="auto"/>
                <w:sz w:val="24"/>
                <w:szCs w:val="24"/>
              </w:rPr>
              <w:t>不外排。</w:t>
            </w:r>
          </w:p>
          <w:p w14:paraId="30D7FE4A">
            <w:pPr>
              <w:spacing w:line="440" w:lineRule="exact"/>
              <w:ind w:firstLine="480" w:firstLineChars="200"/>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② 生产废水</w:t>
            </w:r>
          </w:p>
          <w:p w14:paraId="69432603">
            <w:pPr>
              <w:spacing w:line="440" w:lineRule="exact"/>
              <w:ind w:firstLine="480" w:firstLineChars="200"/>
              <w:rPr>
                <w:rFonts w:hint="eastAsia"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rPr>
              <w:t>煤泥水闭路循环，不外排，地面冲洗废水经地面导流渠进入循环水池沉淀后回用于洗煤补水，设置1座210</w:t>
            </w:r>
            <w:r>
              <w:rPr>
                <w:rFonts w:hint="eastAsia" w:ascii="Times New Roman" w:hAnsi="Times New Roman" w:cs="Times New Roman"/>
                <w:bCs/>
                <w:color w:val="auto"/>
                <w:sz w:val="24"/>
                <w:szCs w:val="24"/>
                <w:lang w:val="en-US" w:eastAsia="zh-CN"/>
              </w:rPr>
              <w:t>m</w:t>
            </w:r>
            <w:r>
              <w:rPr>
                <w:rFonts w:hint="eastAsia" w:ascii="Times New Roman" w:hAnsi="Times New Roman" w:cs="Times New Roman"/>
                <w:bCs/>
                <w:color w:val="auto"/>
                <w:sz w:val="24"/>
                <w:szCs w:val="24"/>
                <w:vertAlign w:val="superscript"/>
                <w:lang w:val="en-US" w:eastAsia="zh-CN"/>
              </w:rPr>
              <w:t>3</w:t>
            </w:r>
            <w:r>
              <w:rPr>
                <w:rFonts w:hint="default" w:ascii="Times New Roman" w:hAnsi="Times New Roman" w:eastAsia="宋体" w:cs="Times New Roman"/>
                <w:bCs/>
                <w:color w:val="auto"/>
                <w:sz w:val="24"/>
                <w:szCs w:val="24"/>
              </w:rPr>
              <w:t>的循环水池，厂区车间、产品煤棚采取混凝土硬化防渗措施</w:t>
            </w:r>
            <w:r>
              <w:rPr>
                <w:rFonts w:hint="eastAsia" w:ascii="Times New Roman" w:hAnsi="Times New Roman" w:cs="Times New Roman"/>
                <w:bCs/>
                <w:color w:val="auto"/>
                <w:sz w:val="24"/>
                <w:szCs w:val="24"/>
                <w:lang w:eastAsia="zh-CN"/>
              </w:rPr>
              <w:t>。</w:t>
            </w:r>
          </w:p>
          <w:p w14:paraId="78E694F5">
            <w:pPr>
              <w:spacing w:line="440" w:lineRule="exact"/>
              <w:ind w:firstLine="480" w:firstLineChars="200"/>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③ 初期雨水</w:t>
            </w:r>
          </w:p>
          <w:p w14:paraId="2F4F651D">
            <w:pPr>
              <w:spacing w:line="440" w:lineRule="exact"/>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sz w:val="24"/>
                <w:szCs w:val="24"/>
              </w:rPr>
              <w:t>厂区地势低处设1个50m</w:t>
            </w:r>
            <w:r>
              <w:rPr>
                <w:rFonts w:hint="default" w:ascii="Times New Roman" w:hAnsi="Times New Roman" w:eastAsia="宋体" w:cs="Times New Roman"/>
                <w:bCs/>
                <w:color w:val="auto"/>
                <w:sz w:val="24"/>
                <w:szCs w:val="24"/>
                <w:vertAlign w:val="superscript"/>
                <w:lang w:val="en-US" w:eastAsia="zh-CN"/>
              </w:rPr>
              <w:t>3</w:t>
            </w:r>
            <w:r>
              <w:rPr>
                <w:rFonts w:hint="default" w:ascii="Times New Roman" w:hAnsi="Times New Roman" w:eastAsia="宋体" w:cs="Times New Roman"/>
                <w:bCs/>
                <w:color w:val="auto"/>
                <w:sz w:val="24"/>
                <w:szCs w:val="24"/>
              </w:rPr>
              <w:t>初期雨水池（混凝土结构），对初期雨水进行收集，经沉淀后，用于厂区洒水抑尘。</w:t>
            </w:r>
          </w:p>
          <w:p w14:paraId="4E3EF7FF">
            <w:pPr>
              <w:spacing w:line="440" w:lineRule="exact"/>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（3）噪声污染源及防治措施</w:t>
            </w:r>
          </w:p>
          <w:p w14:paraId="426B89DD">
            <w:pPr>
              <w:spacing w:line="440" w:lineRule="exact"/>
              <w:jc w:val="both"/>
              <w:rPr>
                <w:rFonts w:hint="default" w:ascii="宋体" w:hAnsi="宋体" w:eastAsia="宋体" w:cs="宋体"/>
                <w:b w:val="0"/>
                <w:bCs/>
                <w:color w:val="auto"/>
                <w:kern w:val="0"/>
                <w:sz w:val="24"/>
                <w:szCs w:val="24"/>
                <w:lang w:val="en-US" w:eastAsia="zh-CN"/>
              </w:rPr>
            </w:pPr>
            <w:r>
              <w:rPr>
                <w:rFonts w:hint="eastAsia" w:ascii="Times New Roman" w:hAnsi="Times New Roman" w:cs="Times New Roman"/>
                <w:b/>
                <w:color w:val="auto"/>
                <w:kern w:val="0"/>
                <w:sz w:val="24"/>
                <w:szCs w:val="24"/>
                <w:lang w:val="en-US" w:eastAsia="zh-CN"/>
              </w:rPr>
              <w:t xml:space="preserve">   </w:t>
            </w:r>
            <w:r>
              <w:rPr>
                <w:rFonts w:hint="eastAsia" w:ascii="Times New Roman" w:hAnsi="Times New Roman" w:cs="Times New Roman"/>
                <w:b w:val="0"/>
                <w:bCs/>
                <w:color w:val="auto"/>
                <w:kern w:val="0"/>
                <w:sz w:val="24"/>
                <w:szCs w:val="24"/>
                <w:lang w:val="en-US" w:eastAsia="zh-CN"/>
              </w:rPr>
              <w:t xml:space="preserve"> </w:t>
            </w:r>
            <w:r>
              <w:rPr>
                <w:rFonts w:hint="eastAsia" w:ascii="宋体" w:hAnsi="宋体" w:eastAsia="宋体" w:cs="宋体"/>
                <w:b w:val="0"/>
                <w:bCs/>
                <w:color w:val="auto"/>
                <w:kern w:val="0"/>
                <w:sz w:val="24"/>
                <w:szCs w:val="24"/>
                <w:lang w:val="en-US" w:eastAsia="zh-CN"/>
              </w:rPr>
              <w:t>根据原项目竣工环境保护验收监测报告表中厂界噪声监测结果，原项目厂界噪声值见下表。</w:t>
            </w:r>
          </w:p>
          <w:p w14:paraId="60BCCF85">
            <w:pPr>
              <w:spacing w:line="440" w:lineRule="exact"/>
              <w:jc w:val="center"/>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rPr>
              <w:t>表2-</w:t>
            </w:r>
            <w:r>
              <w:rPr>
                <w:rFonts w:hint="eastAsia" w:ascii="Times New Roman" w:hAnsi="Times New Roman" w:eastAsia="宋体" w:cs="Times New Roman"/>
                <w:b/>
                <w:color w:val="auto"/>
                <w:kern w:val="0"/>
                <w:sz w:val="24"/>
                <w:szCs w:val="24"/>
                <w:lang w:val="en-US" w:eastAsia="zh-CN"/>
              </w:rPr>
              <w:t>9</w:t>
            </w:r>
            <w:r>
              <w:rPr>
                <w:rFonts w:hint="default" w:ascii="Times New Roman" w:hAnsi="Times New Roman" w:eastAsia="宋体" w:cs="Times New Roman"/>
                <w:b/>
                <w:color w:val="auto"/>
                <w:kern w:val="0"/>
                <w:sz w:val="24"/>
                <w:szCs w:val="24"/>
              </w:rPr>
              <w:t xml:space="preserve">    现有工程噪声污染源治理措施及排放情况一览表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0"/>
              <w:gridCol w:w="2159"/>
              <w:gridCol w:w="3406"/>
              <w:gridCol w:w="960"/>
              <w:gridCol w:w="655"/>
              <w:gridCol w:w="715"/>
              <w:gridCol w:w="718"/>
            </w:tblGrid>
            <w:tr w14:paraId="3778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501" w:type="pct"/>
                  <w:vMerge w:val="restart"/>
                  <w:vAlign w:val="center"/>
                </w:tcPr>
                <w:p w14:paraId="46721202">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污染源</w:t>
                  </w:r>
                </w:p>
              </w:tc>
              <w:tc>
                <w:tcPr>
                  <w:tcW w:w="1127" w:type="pct"/>
                  <w:vMerge w:val="restart"/>
                  <w:vAlign w:val="center"/>
                </w:tcPr>
                <w:p w14:paraId="2129B7C3">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环保措施</w:t>
                  </w:r>
                </w:p>
              </w:tc>
              <w:tc>
                <w:tcPr>
                  <w:tcW w:w="1778" w:type="pct"/>
                  <w:vMerge w:val="restart"/>
                  <w:vAlign w:val="center"/>
                </w:tcPr>
                <w:p w14:paraId="587B6FEE">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标准来源</w:t>
                  </w:r>
                </w:p>
              </w:tc>
              <w:tc>
                <w:tcPr>
                  <w:tcW w:w="501" w:type="pct"/>
                  <w:vMerge w:val="restart"/>
                  <w:vAlign w:val="center"/>
                </w:tcPr>
                <w:p w14:paraId="1281F13A">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标准值</w:t>
                  </w:r>
                </w:p>
                <w:p w14:paraId="1E1009E6">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dB（A）</w:t>
                  </w:r>
                </w:p>
              </w:tc>
              <w:tc>
                <w:tcPr>
                  <w:tcW w:w="342" w:type="pct"/>
                  <w:vMerge w:val="restart"/>
                  <w:vAlign w:val="center"/>
                </w:tcPr>
                <w:p w14:paraId="68588F80">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位置</w:t>
                  </w:r>
                </w:p>
              </w:tc>
              <w:tc>
                <w:tcPr>
                  <w:tcW w:w="748" w:type="pct"/>
                  <w:gridSpan w:val="2"/>
                  <w:vAlign w:val="center"/>
                </w:tcPr>
                <w:p w14:paraId="2885FE43">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监测数据（dB（A））</w:t>
                  </w:r>
                </w:p>
              </w:tc>
            </w:tr>
            <w:tr w14:paraId="283E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exact"/>
                <w:jc w:val="center"/>
              </w:trPr>
              <w:tc>
                <w:tcPr>
                  <w:tcW w:w="501" w:type="pct"/>
                  <w:vMerge w:val="continue"/>
                  <w:vAlign w:val="center"/>
                </w:tcPr>
                <w:p w14:paraId="173940EC">
                  <w:pPr>
                    <w:tabs>
                      <w:tab w:val="left" w:pos="895"/>
                    </w:tabs>
                    <w:topLinePunct/>
                    <w:autoSpaceDE/>
                    <w:autoSpaceDN/>
                    <w:jc w:val="center"/>
                    <w:rPr>
                      <w:rFonts w:hint="default" w:ascii="Times New Roman" w:hAnsi="Times New Roman" w:cs="Times New Roman"/>
                      <w:color w:val="auto"/>
                      <w:sz w:val="21"/>
                      <w:szCs w:val="21"/>
                      <w:lang w:val="en-US"/>
                    </w:rPr>
                  </w:pPr>
                </w:p>
              </w:tc>
              <w:tc>
                <w:tcPr>
                  <w:tcW w:w="1127" w:type="pct"/>
                  <w:vMerge w:val="continue"/>
                  <w:vAlign w:val="center"/>
                </w:tcPr>
                <w:p w14:paraId="0A7C5436">
                  <w:pPr>
                    <w:tabs>
                      <w:tab w:val="left" w:pos="895"/>
                    </w:tabs>
                    <w:topLinePunct/>
                    <w:autoSpaceDE/>
                    <w:autoSpaceDN/>
                    <w:jc w:val="center"/>
                    <w:rPr>
                      <w:rFonts w:hint="default" w:ascii="Times New Roman" w:hAnsi="Times New Roman" w:cs="Times New Roman"/>
                      <w:color w:val="auto"/>
                      <w:sz w:val="21"/>
                      <w:szCs w:val="21"/>
                      <w:lang w:val="en-US"/>
                    </w:rPr>
                  </w:pPr>
                </w:p>
              </w:tc>
              <w:tc>
                <w:tcPr>
                  <w:tcW w:w="1778" w:type="pct"/>
                  <w:vMerge w:val="continue"/>
                  <w:vAlign w:val="center"/>
                </w:tcPr>
                <w:p w14:paraId="5EB7511D">
                  <w:pPr>
                    <w:tabs>
                      <w:tab w:val="left" w:pos="895"/>
                    </w:tabs>
                    <w:topLinePunct/>
                    <w:autoSpaceDE/>
                    <w:autoSpaceDN/>
                    <w:jc w:val="center"/>
                    <w:rPr>
                      <w:rFonts w:hint="default" w:ascii="Times New Roman" w:hAnsi="Times New Roman" w:cs="Times New Roman"/>
                      <w:color w:val="auto"/>
                      <w:sz w:val="21"/>
                      <w:szCs w:val="21"/>
                      <w:lang w:val="en-US"/>
                    </w:rPr>
                  </w:pPr>
                </w:p>
              </w:tc>
              <w:tc>
                <w:tcPr>
                  <w:tcW w:w="501" w:type="pct"/>
                  <w:vMerge w:val="continue"/>
                  <w:vAlign w:val="center"/>
                </w:tcPr>
                <w:p w14:paraId="39AFB9E6">
                  <w:pPr>
                    <w:tabs>
                      <w:tab w:val="left" w:pos="895"/>
                    </w:tabs>
                    <w:topLinePunct/>
                    <w:autoSpaceDE/>
                    <w:autoSpaceDN/>
                    <w:jc w:val="center"/>
                    <w:rPr>
                      <w:rFonts w:hint="default" w:ascii="Times New Roman" w:hAnsi="Times New Roman" w:cs="Times New Roman"/>
                      <w:color w:val="auto"/>
                      <w:sz w:val="21"/>
                      <w:szCs w:val="21"/>
                      <w:lang w:val="en-US"/>
                    </w:rPr>
                  </w:pPr>
                </w:p>
              </w:tc>
              <w:tc>
                <w:tcPr>
                  <w:tcW w:w="342" w:type="pct"/>
                  <w:vMerge w:val="continue"/>
                  <w:vAlign w:val="center"/>
                </w:tcPr>
                <w:p w14:paraId="257B89C4">
                  <w:pPr>
                    <w:tabs>
                      <w:tab w:val="left" w:pos="895"/>
                    </w:tabs>
                    <w:topLinePunct/>
                    <w:autoSpaceDE/>
                    <w:autoSpaceDN/>
                    <w:jc w:val="center"/>
                    <w:rPr>
                      <w:rFonts w:hint="default" w:ascii="Times New Roman" w:hAnsi="Times New Roman" w:cs="Times New Roman"/>
                      <w:color w:val="auto"/>
                      <w:sz w:val="21"/>
                      <w:szCs w:val="21"/>
                      <w:lang w:val="en-US"/>
                    </w:rPr>
                  </w:pPr>
                </w:p>
              </w:tc>
              <w:tc>
                <w:tcPr>
                  <w:tcW w:w="373" w:type="pct"/>
                  <w:vAlign w:val="center"/>
                </w:tcPr>
                <w:p w14:paraId="0F60FC8C">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昼间</w:t>
                  </w:r>
                </w:p>
              </w:tc>
              <w:tc>
                <w:tcPr>
                  <w:tcW w:w="375" w:type="pct"/>
                  <w:vAlign w:val="center"/>
                </w:tcPr>
                <w:p w14:paraId="16C54042">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夜间</w:t>
                  </w:r>
                </w:p>
              </w:tc>
            </w:tr>
            <w:tr w14:paraId="1EE3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501" w:type="pct"/>
                  <w:vMerge w:val="restart"/>
                  <w:vAlign w:val="center"/>
                </w:tcPr>
                <w:p w14:paraId="0EA585C3">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生产设备、风机</w:t>
                  </w:r>
                </w:p>
              </w:tc>
              <w:tc>
                <w:tcPr>
                  <w:tcW w:w="1127" w:type="pct"/>
                  <w:vMerge w:val="restart"/>
                  <w:vAlign w:val="center"/>
                </w:tcPr>
                <w:p w14:paraId="7F094F4B">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选用低噪声设备，基础减振，厂房隔声等措施</w:t>
                  </w:r>
                </w:p>
              </w:tc>
              <w:tc>
                <w:tcPr>
                  <w:tcW w:w="1778" w:type="pct"/>
                  <w:vMerge w:val="restart"/>
                  <w:vAlign w:val="center"/>
                </w:tcPr>
                <w:p w14:paraId="2333FF10">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《工业企业厂界环境噪声排放标准》（GB12348-2008）2类标准</w:t>
                  </w:r>
                </w:p>
              </w:tc>
              <w:tc>
                <w:tcPr>
                  <w:tcW w:w="501" w:type="pct"/>
                  <w:vMerge w:val="restart"/>
                  <w:vAlign w:val="center"/>
                </w:tcPr>
                <w:p w14:paraId="1CCCC462">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昼间≤60</w:t>
                  </w:r>
                </w:p>
                <w:p w14:paraId="7696A696">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夜间≤50</w:t>
                  </w:r>
                </w:p>
              </w:tc>
              <w:tc>
                <w:tcPr>
                  <w:tcW w:w="342" w:type="pct"/>
                  <w:vAlign w:val="center"/>
                </w:tcPr>
                <w:p w14:paraId="0C81B12C">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东厂界</w:t>
                  </w:r>
                </w:p>
              </w:tc>
              <w:tc>
                <w:tcPr>
                  <w:tcW w:w="373" w:type="pct"/>
                  <w:vAlign w:val="center"/>
                </w:tcPr>
                <w:p w14:paraId="66768F04">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56.3</w:t>
                  </w:r>
                </w:p>
              </w:tc>
              <w:tc>
                <w:tcPr>
                  <w:tcW w:w="375" w:type="pct"/>
                  <w:tcBorders>
                    <w:left w:val="single" w:color="auto" w:sz="4" w:space="0"/>
                    <w:bottom w:val="single" w:color="auto" w:sz="4" w:space="0"/>
                    <w:right w:val="single" w:color="auto" w:sz="4" w:space="0"/>
                  </w:tcBorders>
                  <w:vAlign w:val="center"/>
                </w:tcPr>
                <w:p w14:paraId="6D5988D5">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44.3</w:t>
                  </w:r>
                </w:p>
              </w:tc>
            </w:tr>
            <w:tr w14:paraId="55D9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501" w:type="pct"/>
                  <w:vMerge w:val="continue"/>
                  <w:vAlign w:val="center"/>
                </w:tcPr>
                <w:p w14:paraId="0F4CEC6F">
                  <w:pPr>
                    <w:tabs>
                      <w:tab w:val="left" w:pos="895"/>
                    </w:tabs>
                    <w:topLinePunct/>
                    <w:autoSpaceDE/>
                    <w:autoSpaceDN/>
                    <w:jc w:val="center"/>
                    <w:rPr>
                      <w:rFonts w:hint="default" w:ascii="Times New Roman" w:hAnsi="Times New Roman" w:cs="Times New Roman"/>
                      <w:color w:val="auto"/>
                      <w:sz w:val="21"/>
                      <w:szCs w:val="21"/>
                      <w:lang w:val="en-US"/>
                    </w:rPr>
                  </w:pPr>
                </w:p>
              </w:tc>
              <w:tc>
                <w:tcPr>
                  <w:tcW w:w="1127" w:type="pct"/>
                  <w:vMerge w:val="continue"/>
                  <w:vAlign w:val="center"/>
                </w:tcPr>
                <w:p w14:paraId="1517206A">
                  <w:pPr>
                    <w:tabs>
                      <w:tab w:val="left" w:pos="895"/>
                    </w:tabs>
                    <w:topLinePunct/>
                    <w:autoSpaceDE/>
                    <w:autoSpaceDN/>
                    <w:jc w:val="center"/>
                    <w:rPr>
                      <w:rFonts w:hint="default" w:ascii="Times New Roman" w:hAnsi="Times New Roman" w:cs="Times New Roman"/>
                      <w:color w:val="auto"/>
                      <w:sz w:val="21"/>
                      <w:szCs w:val="21"/>
                      <w:lang w:val="en-US"/>
                    </w:rPr>
                  </w:pPr>
                </w:p>
              </w:tc>
              <w:tc>
                <w:tcPr>
                  <w:tcW w:w="1778" w:type="pct"/>
                  <w:vMerge w:val="continue"/>
                  <w:vAlign w:val="center"/>
                </w:tcPr>
                <w:p w14:paraId="33433DED">
                  <w:pPr>
                    <w:tabs>
                      <w:tab w:val="left" w:pos="895"/>
                    </w:tabs>
                    <w:topLinePunct/>
                    <w:autoSpaceDE/>
                    <w:autoSpaceDN/>
                    <w:jc w:val="center"/>
                    <w:rPr>
                      <w:rFonts w:hint="default" w:ascii="Times New Roman" w:hAnsi="Times New Roman" w:cs="Times New Roman"/>
                      <w:color w:val="auto"/>
                      <w:sz w:val="21"/>
                      <w:szCs w:val="21"/>
                      <w:lang w:val="en-US"/>
                    </w:rPr>
                  </w:pPr>
                </w:p>
              </w:tc>
              <w:tc>
                <w:tcPr>
                  <w:tcW w:w="501" w:type="pct"/>
                  <w:vMerge w:val="continue"/>
                  <w:vAlign w:val="center"/>
                </w:tcPr>
                <w:p w14:paraId="35AB8883">
                  <w:pPr>
                    <w:tabs>
                      <w:tab w:val="left" w:pos="895"/>
                    </w:tabs>
                    <w:topLinePunct/>
                    <w:autoSpaceDE/>
                    <w:autoSpaceDN/>
                    <w:jc w:val="center"/>
                    <w:rPr>
                      <w:rFonts w:hint="default" w:ascii="Times New Roman" w:hAnsi="Times New Roman" w:cs="Times New Roman"/>
                      <w:color w:val="auto"/>
                      <w:sz w:val="21"/>
                      <w:szCs w:val="21"/>
                      <w:lang w:val="en-US"/>
                    </w:rPr>
                  </w:pPr>
                </w:p>
              </w:tc>
              <w:tc>
                <w:tcPr>
                  <w:tcW w:w="342" w:type="pct"/>
                  <w:vAlign w:val="center"/>
                </w:tcPr>
                <w:p w14:paraId="10A0D426">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西厂界</w:t>
                  </w:r>
                </w:p>
              </w:tc>
              <w:tc>
                <w:tcPr>
                  <w:tcW w:w="373" w:type="pct"/>
                  <w:vAlign w:val="center"/>
                </w:tcPr>
                <w:p w14:paraId="04F75F05">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55.6</w:t>
                  </w:r>
                </w:p>
              </w:tc>
              <w:tc>
                <w:tcPr>
                  <w:tcW w:w="375" w:type="pct"/>
                  <w:tcBorders>
                    <w:left w:val="single" w:color="auto" w:sz="4" w:space="0"/>
                    <w:bottom w:val="single" w:color="auto" w:sz="4" w:space="0"/>
                    <w:right w:val="single" w:color="auto" w:sz="4" w:space="0"/>
                  </w:tcBorders>
                  <w:vAlign w:val="center"/>
                </w:tcPr>
                <w:p w14:paraId="2104F28C">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47.3</w:t>
                  </w:r>
                </w:p>
              </w:tc>
            </w:tr>
            <w:tr w14:paraId="3F52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501" w:type="pct"/>
                  <w:vMerge w:val="continue"/>
                  <w:vAlign w:val="center"/>
                </w:tcPr>
                <w:p w14:paraId="1BC39E3B">
                  <w:pPr>
                    <w:tabs>
                      <w:tab w:val="left" w:pos="895"/>
                    </w:tabs>
                    <w:topLinePunct/>
                    <w:autoSpaceDE/>
                    <w:autoSpaceDN/>
                    <w:jc w:val="center"/>
                    <w:rPr>
                      <w:rFonts w:hint="default" w:ascii="Times New Roman" w:hAnsi="Times New Roman" w:cs="Times New Roman"/>
                      <w:color w:val="auto"/>
                      <w:sz w:val="21"/>
                      <w:szCs w:val="21"/>
                      <w:lang w:val="en-US"/>
                    </w:rPr>
                  </w:pPr>
                </w:p>
              </w:tc>
              <w:tc>
                <w:tcPr>
                  <w:tcW w:w="1127" w:type="pct"/>
                  <w:vMerge w:val="continue"/>
                  <w:vAlign w:val="center"/>
                </w:tcPr>
                <w:p w14:paraId="3A99F8ED">
                  <w:pPr>
                    <w:tabs>
                      <w:tab w:val="left" w:pos="895"/>
                    </w:tabs>
                    <w:topLinePunct/>
                    <w:autoSpaceDE/>
                    <w:autoSpaceDN/>
                    <w:jc w:val="center"/>
                    <w:rPr>
                      <w:rFonts w:hint="default" w:ascii="Times New Roman" w:hAnsi="Times New Roman" w:cs="Times New Roman"/>
                      <w:color w:val="auto"/>
                      <w:sz w:val="21"/>
                      <w:szCs w:val="21"/>
                      <w:lang w:val="en-US"/>
                    </w:rPr>
                  </w:pPr>
                </w:p>
              </w:tc>
              <w:tc>
                <w:tcPr>
                  <w:tcW w:w="1778" w:type="pct"/>
                  <w:vMerge w:val="continue"/>
                  <w:vAlign w:val="center"/>
                </w:tcPr>
                <w:p w14:paraId="3FEF7E7B">
                  <w:pPr>
                    <w:tabs>
                      <w:tab w:val="left" w:pos="895"/>
                    </w:tabs>
                    <w:topLinePunct/>
                    <w:autoSpaceDE/>
                    <w:autoSpaceDN/>
                    <w:jc w:val="center"/>
                    <w:rPr>
                      <w:rFonts w:hint="default" w:ascii="Times New Roman" w:hAnsi="Times New Roman" w:cs="Times New Roman"/>
                      <w:color w:val="auto"/>
                      <w:sz w:val="21"/>
                      <w:szCs w:val="21"/>
                      <w:lang w:val="en-US"/>
                    </w:rPr>
                  </w:pPr>
                </w:p>
              </w:tc>
              <w:tc>
                <w:tcPr>
                  <w:tcW w:w="501" w:type="pct"/>
                  <w:vMerge w:val="continue"/>
                  <w:vAlign w:val="center"/>
                </w:tcPr>
                <w:p w14:paraId="61D3FB1D">
                  <w:pPr>
                    <w:tabs>
                      <w:tab w:val="left" w:pos="895"/>
                    </w:tabs>
                    <w:topLinePunct/>
                    <w:autoSpaceDE/>
                    <w:autoSpaceDN/>
                    <w:jc w:val="center"/>
                    <w:rPr>
                      <w:rFonts w:hint="default" w:ascii="Times New Roman" w:hAnsi="Times New Roman" w:cs="Times New Roman"/>
                      <w:color w:val="auto"/>
                      <w:sz w:val="21"/>
                      <w:szCs w:val="21"/>
                      <w:lang w:val="en-US"/>
                    </w:rPr>
                  </w:pPr>
                </w:p>
              </w:tc>
              <w:tc>
                <w:tcPr>
                  <w:tcW w:w="342" w:type="pct"/>
                  <w:vAlign w:val="center"/>
                </w:tcPr>
                <w:p w14:paraId="1C557DD9">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南厂界</w:t>
                  </w:r>
                </w:p>
              </w:tc>
              <w:tc>
                <w:tcPr>
                  <w:tcW w:w="373" w:type="pct"/>
                  <w:vAlign w:val="center"/>
                </w:tcPr>
                <w:p w14:paraId="16C9C068">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55.7</w:t>
                  </w:r>
                </w:p>
              </w:tc>
              <w:tc>
                <w:tcPr>
                  <w:tcW w:w="375" w:type="pct"/>
                  <w:tcBorders>
                    <w:left w:val="single" w:color="auto" w:sz="4" w:space="0"/>
                    <w:bottom w:val="single" w:color="auto" w:sz="4" w:space="0"/>
                    <w:right w:val="single" w:color="auto" w:sz="4" w:space="0"/>
                  </w:tcBorders>
                  <w:vAlign w:val="center"/>
                </w:tcPr>
                <w:p w14:paraId="54E70FB3">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44.9</w:t>
                  </w:r>
                </w:p>
              </w:tc>
            </w:tr>
            <w:tr w14:paraId="6754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501" w:type="pct"/>
                  <w:vMerge w:val="continue"/>
                  <w:vAlign w:val="center"/>
                </w:tcPr>
                <w:p w14:paraId="4EF61E4A">
                  <w:pPr>
                    <w:tabs>
                      <w:tab w:val="left" w:pos="895"/>
                    </w:tabs>
                    <w:topLinePunct/>
                    <w:autoSpaceDE/>
                    <w:autoSpaceDN/>
                    <w:jc w:val="center"/>
                    <w:rPr>
                      <w:rFonts w:hint="default" w:ascii="Times New Roman" w:hAnsi="Times New Roman" w:cs="Times New Roman"/>
                      <w:color w:val="auto"/>
                      <w:sz w:val="21"/>
                      <w:szCs w:val="21"/>
                      <w:lang w:val="en-US"/>
                    </w:rPr>
                  </w:pPr>
                </w:p>
              </w:tc>
              <w:tc>
                <w:tcPr>
                  <w:tcW w:w="1127" w:type="pct"/>
                  <w:vMerge w:val="continue"/>
                  <w:vAlign w:val="center"/>
                </w:tcPr>
                <w:p w14:paraId="52F4EB54">
                  <w:pPr>
                    <w:tabs>
                      <w:tab w:val="left" w:pos="895"/>
                    </w:tabs>
                    <w:topLinePunct/>
                    <w:autoSpaceDE/>
                    <w:autoSpaceDN/>
                    <w:jc w:val="center"/>
                    <w:rPr>
                      <w:rFonts w:hint="default" w:ascii="Times New Roman" w:hAnsi="Times New Roman" w:cs="Times New Roman"/>
                      <w:color w:val="auto"/>
                      <w:sz w:val="21"/>
                      <w:szCs w:val="21"/>
                      <w:lang w:val="en-US"/>
                    </w:rPr>
                  </w:pPr>
                </w:p>
              </w:tc>
              <w:tc>
                <w:tcPr>
                  <w:tcW w:w="1778" w:type="pct"/>
                  <w:vMerge w:val="continue"/>
                  <w:vAlign w:val="center"/>
                </w:tcPr>
                <w:p w14:paraId="18F4C551">
                  <w:pPr>
                    <w:tabs>
                      <w:tab w:val="left" w:pos="895"/>
                    </w:tabs>
                    <w:topLinePunct/>
                    <w:autoSpaceDE/>
                    <w:autoSpaceDN/>
                    <w:jc w:val="center"/>
                    <w:rPr>
                      <w:rFonts w:hint="default" w:ascii="Times New Roman" w:hAnsi="Times New Roman" w:cs="Times New Roman"/>
                      <w:color w:val="auto"/>
                      <w:sz w:val="21"/>
                      <w:szCs w:val="21"/>
                      <w:lang w:val="en-US"/>
                    </w:rPr>
                  </w:pPr>
                </w:p>
              </w:tc>
              <w:tc>
                <w:tcPr>
                  <w:tcW w:w="501" w:type="pct"/>
                  <w:vMerge w:val="continue"/>
                  <w:vAlign w:val="center"/>
                </w:tcPr>
                <w:p w14:paraId="01427910">
                  <w:pPr>
                    <w:tabs>
                      <w:tab w:val="left" w:pos="895"/>
                    </w:tabs>
                    <w:topLinePunct/>
                    <w:autoSpaceDE/>
                    <w:autoSpaceDN/>
                    <w:jc w:val="center"/>
                    <w:rPr>
                      <w:rFonts w:hint="default" w:ascii="Times New Roman" w:hAnsi="Times New Roman" w:cs="Times New Roman"/>
                      <w:color w:val="auto"/>
                      <w:sz w:val="21"/>
                      <w:szCs w:val="21"/>
                      <w:lang w:val="en-US"/>
                    </w:rPr>
                  </w:pPr>
                </w:p>
              </w:tc>
              <w:tc>
                <w:tcPr>
                  <w:tcW w:w="342" w:type="pct"/>
                  <w:vAlign w:val="center"/>
                </w:tcPr>
                <w:p w14:paraId="6E2B1CF9">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北厂界</w:t>
                  </w:r>
                </w:p>
              </w:tc>
              <w:tc>
                <w:tcPr>
                  <w:tcW w:w="373" w:type="pct"/>
                  <w:vAlign w:val="center"/>
                </w:tcPr>
                <w:p w14:paraId="07036536">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57.1</w:t>
                  </w:r>
                </w:p>
              </w:tc>
              <w:tc>
                <w:tcPr>
                  <w:tcW w:w="375" w:type="pct"/>
                  <w:tcBorders>
                    <w:left w:val="single" w:color="auto" w:sz="4" w:space="0"/>
                    <w:right w:val="single" w:color="auto" w:sz="4" w:space="0"/>
                  </w:tcBorders>
                  <w:vAlign w:val="center"/>
                </w:tcPr>
                <w:p w14:paraId="284E8516">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45.1</w:t>
                  </w:r>
                </w:p>
              </w:tc>
            </w:tr>
          </w:tbl>
          <w:p w14:paraId="2BFB5699">
            <w:pPr>
              <w:spacing w:line="440" w:lineRule="exact"/>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根据监测结果，厂界噪声满足《工业企业厂界环境噪声排放标准》（GB12348-2008）2类标准。</w:t>
            </w:r>
          </w:p>
          <w:p w14:paraId="64360066">
            <w:pPr>
              <w:spacing w:line="440" w:lineRule="exact"/>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（4）固体废物</w:t>
            </w:r>
          </w:p>
          <w:p w14:paraId="48723D0E">
            <w:pPr>
              <w:spacing w:line="440" w:lineRule="exact"/>
              <w:jc w:val="both"/>
              <w:textAlignment w:val="baseline"/>
              <w:rPr>
                <w:rFonts w:hint="default" w:ascii="Times New Roman" w:hAnsi="Times New Roman" w:eastAsia="宋体" w:cs="Times New Roman"/>
                <w:b/>
                <w:color w:val="auto"/>
                <w:sz w:val="24"/>
                <w:szCs w:val="24"/>
                <w:lang w:val="en-US" w:eastAsia="zh-CN"/>
              </w:rPr>
            </w:pPr>
            <w:r>
              <w:rPr>
                <w:rFonts w:hint="eastAsia" w:ascii="Times New Roman" w:hAnsi="Times New Roman" w:cs="Times New Roman"/>
                <w:b/>
                <w:color w:val="auto"/>
                <w:sz w:val="24"/>
                <w:szCs w:val="24"/>
                <w:lang w:val="en-US" w:eastAsia="zh-CN"/>
              </w:rPr>
              <w:t xml:space="preserve">   </w:t>
            </w:r>
            <w:r>
              <w:rPr>
                <w:rFonts w:hint="default" w:ascii="Times New Roman" w:hAnsi="Times New Roman" w:cs="Times New Roman"/>
                <w:b/>
                <w:color w:val="auto"/>
                <w:sz w:val="24"/>
                <w:szCs w:val="24"/>
                <w:lang w:val="en-US" w:eastAsia="zh-CN"/>
              </w:rPr>
              <w:t xml:space="preserve"> </w:t>
            </w:r>
            <w:r>
              <w:rPr>
                <w:rFonts w:hint="default" w:ascii="Times New Roman" w:hAnsi="Times New Roman" w:eastAsia="宋体" w:cs="Times New Roman"/>
                <w:b w:val="0"/>
                <w:bCs/>
                <w:color w:val="auto"/>
                <w:kern w:val="0"/>
                <w:sz w:val="24"/>
                <w:szCs w:val="24"/>
                <w:lang w:val="en-US" w:eastAsia="zh-CN"/>
              </w:rPr>
              <w:t>根据原项目竣工环境保护验收监测报告表</w:t>
            </w:r>
            <w:r>
              <w:rPr>
                <w:rFonts w:hint="default" w:ascii="Times New Roman" w:hAnsi="Times New Roman" w:cs="Times New Roman"/>
                <w:b w:val="0"/>
                <w:bCs/>
                <w:color w:val="auto"/>
                <w:kern w:val="0"/>
                <w:sz w:val="24"/>
                <w:szCs w:val="24"/>
                <w:lang w:val="en-US" w:eastAsia="zh-CN"/>
              </w:rPr>
              <w:t>中固体废物治理情况和全厂实际采取的防渗措施，原项目循环水池、事故池、储煤棚、洗选车间、浓缩车间使用混凝土硬化处理，地面先用三合土夯实后，再在上层铺10-15cm的水泥进行硬化，使防渗层渗透系数小于1×10</w:t>
            </w:r>
            <w:r>
              <w:rPr>
                <w:rFonts w:hint="default" w:ascii="Times New Roman" w:hAnsi="Times New Roman" w:cs="Times New Roman"/>
                <w:b w:val="0"/>
                <w:bCs/>
                <w:color w:val="auto"/>
                <w:kern w:val="0"/>
                <w:sz w:val="24"/>
                <w:szCs w:val="24"/>
                <w:vertAlign w:val="superscript"/>
                <w:lang w:val="en-US" w:eastAsia="zh-CN"/>
              </w:rPr>
              <w:t>-7</w:t>
            </w:r>
            <w:r>
              <w:rPr>
                <w:rFonts w:hint="default" w:ascii="Times New Roman" w:hAnsi="Times New Roman" w:cs="Times New Roman"/>
                <w:b w:val="0"/>
                <w:bCs/>
                <w:color w:val="auto"/>
                <w:kern w:val="0"/>
                <w:sz w:val="24"/>
                <w:szCs w:val="24"/>
                <w:lang w:val="en-US" w:eastAsia="zh-CN"/>
              </w:rPr>
              <w:t>cm/s</w:t>
            </w:r>
            <w:r>
              <w:rPr>
                <w:rFonts w:hint="eastAsia"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lang w:val="en-US" w:eastAsia="zh-CN"/>
              </w:rPr>
              <w:t>危废暂存库地面已进行基础防渗，防渗层为1.5mm厚的高密度聚乙烯膜，再在上层铺10-15cm的水泥进行硬化，导流渠：四周均设导流渠（宽20cm，高10cm），通往危废库集液池，用于将溢出废液导入集液池内；裙角：墙面四周设置300mm高的裙角；集液池：角落设1座集液池（容积1m</w:t>
            </w:r>
            <w:r>
              <w:rPr>
                <w:rFonts w:hint="default" w:ascii="Times New Roman" w:hAnsi="Times New Roman" w:cs="Times New Roman"/>
                <w:b w:val="0"/>
                <w:bCs/>
                <w:color w:val="auto"/>
                <w:kern w:val="0"/>
                <w:sz w:val="24"/>
                <w:szCs w:val="24"/>
                <w:vertAlign w:val="superscript"/>
                <w:lang w:val="en-US" w:eastAsia="zh-CN"/>
              </w:rPr>
              <w:t>3</w:t>
            </w:r>
            <w:r>
              <w:rPr>
                <w:rFonts w:hint="default" w:ascii="Times New Roman" w:hAnsi="Times New Roman" w:cs="Times New Roman"/>
                <w:b w:val="0"/>
                <w:bCs/>
                <w:color w:val="auto"/>
                <w:kern w:val="0"/>
                <w:sz w:val="24"/>
                <w:szCs w:val="24"/>
                <w:lang w:val="en-US" w:eastAsia="zh-CN"/>
              </w:rPr>
              <w:t>），用于收集暂存一旦发生损坏时渗漏的危险废物</w:t>
            </w:r>
            <w:r>
              <w:rPr>
                <w:rFonts w:hint="eastAsia"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lang w:val="en-US" w:eastAsia="zh-CN"/>
              </w:rPr>
              <w:t>渗透系数小于1×10</w:t>
            </w:r>
            <w:r>
              <w:rPr>
                <w:rFonts w:hint="default" w:ascii="Times New Roman" w:hAnsi="Times New Roman" w:cs="Times New Roman"/>
                <w:b w:val="0"/>
                <w:bCs/>
                <w:color w:val="auto"/>
                <w:kern w:val="0"/>
                <w:sz w:val="24"/>
                <w:szCs w:val="24"/>
                <w:vertAlign w:val="superscript"/>
                <w:lang w:val="en-US" w:eastAsia="zh-CN"/>
              </w:rPr>
              <w:t>-10</w:t>
            </w:r>
            <w:r>
              <w:rPr>
                <w:rFonts w:hint="default" w:ascii="Times New Roman" w:hAnsi="Times New Roman" w:cs="Times New Roman"/>
                <w:b w:val="0"/>
                <w:bCs/>
                <w:color w:val="auto"/>
                <w:kern w:val="0"/>
                <w:sz w:val="24"/>
                <w:szCs w:val="24"/>
                <w:lang w:val="en-US" w:eastAsia="zh-CN"/>
              </w:rPr>
              <w:t>cm/s</w:t>
            </w:r>
            <w:r>
              <w:rPr>
                <w:rFonts w:hint="eastAsia" w:ascii="Times New Roman" w:hAnsi="Times New Roman" w:cs="Times New Roman"/>
                <w:b w:val="0"/>
                <w:bCs/>
                <w:color w:val="auto"/>
                <w:kern w:val="0"/>
                <w:sz w:val="24"/>
                <w:szCs w:val="24"/>
                <w:lang w:val="en-US" w:eastAsia="zh-CN"/>
              </w:rPr>
              <w:t>。</w:t>
            </w:r>
            <w:r>
              <w:rPr>
                <w:rFonts w:hint="eastAsia" w:cs="宋体"/>
                <w:b w:val="0"/>
                <w:bCs/>
                <w:color w:val="auto"/>
                <w:kern w:val="0"/>
                <w:sz w:val="24"/>
                <w:szCs w:val="24"/>
                <w:lang w:val="en-US" w:eastAsia="zh-CN"/>
              </w:rPr>
              <w:t>原项目固废产生及处置情况见下表。</w:t>
            </w:r>
          </w:p>
          <w:p w14:paraId="33667882">
            <w:pPr>
              <w:spacing w:line="440" w:lineRule="exact"/>
              <w:jc w:val="center"/>
              <w:textAlignment w:val="baseline"/>
              <w:rPr>
                <w:rFonts w:hint="default" w:ascii="Times New Roman" w:hAnsi="Times New Roman" w:eastAsia="宋体" w:cs="Times New Roman"/>
                <w:b/>
                <w:color w:val="auto"/>
                <w:sz w:val="24"/>
                <w:szCs w:val="24"/>
              </w:rPr>
            </w:pPr>
          </w:p>
          <w:p w14:paraId="06BA3A93">
            <w:pPr>
              <w:spacing w:line="440" w:lineRule="exact"/>
              <w:jc w:val="center"/>
              <w:textAlignment w:val="baseline"/>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表2-</w:t>
            </w:r>
            <w:r>
              <w:rPr>
                <w:rFonts w:hint="eastAsia" w:ascii="Times New Roman" w:hAnsi="Times New Roman" w:eastAsia="宋体" w:cs="Times New Roman"/>
                <w:b/>
                <w:color w:val="auto"/>
                <w:sz w:val="24"/>
                <w:szCs w:val="24"/>
                <w:lang w:val="en-US" w:eastAsia="zh-CN"/>
              </w:rPr>
              <w:t>10</w:t>
            </w:r>
            <w:r>
              <w:rPr>
                <w:rFonts w:hint="default" w:ascii="Times New Roman" w:hAnsi="Times New Roman" w:eastAsia="宋体" w:cs="Times New Roman"/>
                <w:b/>
                <w:color w:val="auto"/>
                <w:sz w:val="24"/>
                <w:szCs w:val="24"/>
              </w:rPr>
              <w:t xml:space="preserve">     项目现有工程固废产生及处置情况</w:t>
            </w:r>
          </w:p>
          <w:tbl>
            <w:tblPr>
              <w:tblStyle w:val="28"/>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51"/>
              <w:gridCol w:w="1563"/>
              <w:gridCol w:w="1749"/>
              <w:gridCol w:w="3527"/>
              <w:gridCol w:w="1383"/>
            </w:tblGrid>
            <w:tr w14:paraId="1AF3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exact"/>
                <w:jc w:val="right"/>
              </w:trPr>
              <w:tc>
                <w:tcPr>
                  <w:tcW w:w="705" w:type="pct"/>
                  <w:vAlign w:val="center"/>
                </w:tcPr>
                <w:p w14:paraId="3165D3FF">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污染源</w:t>
                  </w:r>
                </w:p>
              </w:tc>
              <w:tc>
                <w:tcPr>
                  <w:tcW w:w="816" w:type="pct"/>
                  <w:vAlign w:val="center"/>
                </w:tcPr>
                <w:p w14:paraId="2A82B920">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污染因子</w:t>
                  </w:r>
                </w:p>
              </w:tc>
              <w:tc>
                <w:tcPr>
                  <w:tcW w:w="913" w:type="pct"/>
                  <w:vAlign w:val="center"/>
                </w:tcPr>
                <w:p w14:paraId="7404D225">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产生量（t/a）</w:t>
                  </w:r>
                </w:p>
              </w:tc>
              <w:tc>
                <w:tcPr>
                  <w:tcW w:w="1841" w:type="pct"/>
                  <w:vAlign w:val="center"/>
                </w:tcPr>
                <w:p w14:paraId="77FEC741">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环保措施</w:t>
                  </w:r>
                </w:p>
              </w:tc>
              <w:tc>
                <w:tcPr>
                  <w:tcW w:w="722" w:type="pct"/>
                  <w:vAlign w:val="center"/>
                </w:tcPr>
                <w:p w14:paraId="042F0586">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固废类别</w:t>
                  </w:r>
                </w:p>
              </w:tc>
            </w:tr>
            <w:tr w14:paraId="2B6A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right"/>
              </w:trPr>
              <w:tc>
                <w:tcPr>
                  <w:tcW w:w="705" w:type="pct"/>
                  <w:tcBorders>
                    <w:bottom w:val="single" w:color="auto" w:sz="4" w:space="0"/>
                  </w:tcBorders>
                  <w:vAlign w:val="center"/>
                </w:tcPr>
                <w:p w14:paraId="0D1C72A8">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生产工序</w:t>
                  </w:r>
                </w:p>
              </w:tc>
              <w:tc>
                <w:tcPr>
                  <w:tcW w:w="816" w:type="pct"/>
                  <w:tcBorders>
                    <w:bottom w:val="single" w:color="auto" w:sz="4" w:space="0"/>
                  </w:tcBorders>
                  <w:vAlign w:val="center"/>
                </w:tcPr>
                <w:p w14:paraId="176750A7">
                  <w:pPr>
                    <w:tabs>
                      <w:tab w:val="left" w:pos="895"/>
                    </w:tabs>
                    <w:topLinePunct/>
                    <w:autoSpaceDE/>
                    <w:autoSpaceDN/>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煤矸石</w:t>
                  </w:r>
                </w:p>
              </w:tc>
              <w:tc>
                <w:tcPr>
                  <w:tcW w:w="913" w:type="pct"/>
                  <w:tcBorders>
                    <w:bottom w:val="single" w:color="auto" w:sz="4" w:space="0"/>
                  </w:tcBorders>
                  <w:vAlign w:val="center"/>
                </w:tcPr>
                <w:p w14:paraId="718DE44A">
                  <w:pPr>
                    <w:tabs>
                      <w:tab w:val="left" w:pos="895"/>
                    </w:tabs>
                    <w:topLinePunct/>
                    <w:autoSpaceDE/>
                    <w:autoSpaceDN/>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9</w:t>
                  </w:r>
                </w:p>
              </w:tc>
              <w:tc>
                <w:tcPr>
                  <w:tcW w:w="1841" w:type="pct"/>
                  <w:tcBorders>
                    <w:bottom w:val="single" w:color="auto" w:sz="4" w:space="0"/>
                  </w:tcBorders>
                  <w:vAlign w:val="center"/>
                </w:tcPr>
                <w:p w14:paraId="6B7BF1FA">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直接装车外运排至马泰壕煤矿临时排矸场。</w:t>
                  </w:r>
                </w:p>
              </w:tc>
              <w:tc>
                <w:tcPr>
                  <w:tcW w:w="722" w:type="pct"/>
                  <w:vMerge w:val="restart"/>
                  <w:tcBorders>
                    <w:bottom w:val="single" w:color="auto" w:sz="4" w:space="0"/>
                  </w:tcBorders>
                  <w:vAlign w:val="center"/>
                </w:tcPr>
                <w:p w14:paraId="0CFEF0D8">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一般固废</w:t>
                  </w:r>
                </w:p>
              </w:tc>
            </w:tr>
            <w:tr w14:paraId="3CC9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exact"/>
                <w:jc w:val="right"/>
              </w:trPr>
              <w:tc>
                <w:tcPr>
                  <w:tcW w:w="705" w:type="pct"/>
                  <w:vAlign w:val="center"/>
                </w:tcPr>
                <w:p w14:paraId="04E4ADCD">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生产工序</w:t>
                  </w:r>
                </w:p>
              </w:tc>
              <w:tc>
                <w:tcPr>
                  <w:tcW w:w="816" w:type="pct"/>
                  <w:vAlign w:val="center"/>
                </w:tcPr>
                <w:p w14:paraId="53EC3B48">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煤泥</w:t>
                  </w:r>
                </w:p>
              </w:tc>
              <w:tc>
                <w:tcPr>
                  <w:tcW w:w="913" w:type="pct"/>
                  <w:vAlign w:val="center"/>
                </w:tcPr>
                <w:p w14:paraId="28AB20A2">
                  <w:pPr>
                    <w:tabs>
                      <w:tab w:val="left" w:pos="895"/>
                    </w:tabs>
                    <w:topLinePunct/>
                    <w:autoSpaceDE/>
                    <w:autoSpaceDN/>
                    <w:jc w:val="center"/>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3</w:t>
                  </w:r>
                  <w:r>
                    <w:rPr>
                      <w:rFonts w:hint="default" w:ascii="Times New Roman" w:hAnsi="Times New Roman" w:cs="Times New Roman"/>
                      <w:color w:val="auto"/>
                      <w:sz w:val="21"/>
                      <w:szCs w:val="21"/>
                      <w:lang w:val="en-US"/>
                    </w:rPr>
                    <w:t>万</w:t>
                  </w:r>
                </w:p>
              </w:tc>
              <w:tc>
                <w:tcPr>
                  <w:tcW w:w="1841" w:type="pct"/>
                  <w:vAlign w:val="center"/>
                </w:tcPr>
                <w:p w14:paraId="480FBAC5">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煤泥临时储存于煤泥棚内，掺入末煤外售</w:t>
                  </w:r>
                </w:p>
              </w:tc>
              <w:tc>
                <w:tcPr>
                  <w:tcW w:w="722" w:type="pct"/>
                  <w:vMerge w:val="continue"/>
                  <w:vAlign w:val="center"/>
                </w:tcPr>
                <w:p w14:paraId="1E7D0231">
                  <w:pPr>
                    <w:tabs>
                      <w:tab w:val="left" w:pos="895"/>
                    </w:tabs>
                    <w:topLinePunct/>
                    <w:autoSpaceDE/>
                    <w:autoSpaceDN/>
                    <w:jc w:val="center"/>
                    <w:rPr>
                      <w:rFonts w:hint="default" w:ascii="Times New Roman" w:hAnsi="Times New Roman" w:cs="Times New Roman"/>
                      <w:color w:val="auto"/>
                      <w:sz w:val="21"/>
                      <w:szCs w:val="21"/>
                      <w:lang w:val="en-US"/>
                    </w:rPr>
                  </w:pPr>
                </w:p>
              </w:tc>
            </w:tr>
            <w:tr w14:paraId="7266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exact"/>
                <w:jc w:val="right"/>
              </w:trPr>
              <w:tc>
                <w:tcPr>
                  <w:tcW w:w="705" w:type="pct"/>
                  <w:vAlign w:val="center"/>
                </w:tcPr>
                <w:p w14:paraId="265C870A">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办公区</w:t>
                  </w:r>
                </w:p>
              </w:tc>
              <w:tc>
                <w:tcPr>
                  <w:tcW w:w="816" w:type="pct"/>
                  <w:vAlign w:val="center"/>
                </w:tcPr>
                <w:p w14:paraId="46B5600D">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生活垃圾</w:t>
                  </w:r>
                </w:p>
              </w:tc>
              <w:tc>
                <w:tcPr>
                  <w:tcW w:w="913" w:type="pct"/>
                  <w:vAlign w:val="center"/>
                </w:tcPr>
                <w:p w14:paraId="3732AF43">
                  <w:pPr>
                    <w:tabs>
                      <w:tab w:val="left" w:pos="895"/>
                    </w:tabs>
                    <w:topLinePunct/>
                    <w:autoSpaceDE/>
                    <w:autoSpaceDN/>
                    <w:jc w:val="center"/>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3</w:t>
                  </w:r>
                  <w:r>
                    <w:rPr>
                      <w:rFonts w:hint="default" w:ascii="Times New Roman" w:hAnsi="Times New Roman" w:cs="Times New Roman"/>
                      <w:color w:val="auto"/>
                      <w:sz w:val="21"/>
                      <w:szCs w:val="21"/>
                      <w:lang w:val="en-US"/>
                    </w:rPr>
                    <w:t>.3</w:t>
                  </w:r>
                </w:p>
              </w:tc>
              <w:tc>
                <w:tcPr>
                  <w:tcW w:w="1841" w:type="pct"/>
                  <w:vAlign w:val="center"/>
                </w:tcPr>
                <w:p w14:paraId="2E7A5D54">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收集后，由</w:t>
                  </w:r>
                  <w:r>
                    <w:rPr>
                      <w:rFonts w:hint="eastAsia" w:ascii="Times New Roman" w:hAnsi="Times New Roman" w:cs="Times New Roman"/>
                      <w:color w:val="auto"/>
                      <w:sz w:val="21"/>
                      <w:szCs w:val="21"/>
                      <w:lang w:val="en-US" w:eastAsia="zh-CN"/>
                    </w:rPr>
                    <w:t>当地环卫部门</w:t>
                  </w:r>
                  <w:r>
                    <w:rPr>
                      <w:rFonts w:hint="default" w:ascii="Times New Roman" w:hAnsi="Times New Roman" w:cs="Times New Roman"/>
                      <w:color w:val="auto"/>
                      <w:sz w:val="21"/>
                      <w:szCs w:val="21"/>
                      <w:lang w:val="en-US"/>
                    </w:rPr>
                    <w:t>统一清运</w:t>
                  </w:r>
                </w:p>
              </w:tc>
              <w:tc>
                <w:tcPr>
                  <w:tcW w:w="722" w:type="pct"/>
                  <w:vAlign w:val="center"/>
                </w:tcPr>
                <w:p w14:paraId="275B3E01">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w:t>
                  </w:r>
                </w:p>
              </w:tc>
            </w:tr>
            <w:tr w14:paraId="1D96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exact"/>
                <w:jc w:val="right"/>
              </w:trPr>
              <w:tc>
                <w:tcPr>
                  <w:tcW w:w="705" w:type="pct"/>
                  <w:vAlign w:val="center"/>
                </w:tcPr>
                <w:p w14:paraId="036E9385">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危废暂存库</w:t>
                  </w:r>
                </w:p>
              </w:tc>
              <w:tc>
                <w:tcPr>
                  <w:tcW w:w="816" w:type="pct"/>
                  <w:vAlign w:val="center"/>
                </w:tcPr>
                <w:p w14:paraId="3F61B712">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废机油</w:t>
                  </w:r>
                  <w:r>
                    <w:rPr>
                      <w:rFonts w:hint="default" w:ascii="Times New Roman" w:hAnsi="Times New Roman" w:eastAsia="宋体" w:cs="Times New Roman"/>
                      <w:color w:val="auto"/>
                      <w:sz w:val="21"/>
                      <w:szCs w:val="21"/>
                      <w:lang w:val="en-US" w:eastAsia="zh-CN"/>
                    </w:rPr>
                    <w:t>（HW08</w:t>
                  </w:r>
                </w:p>
                <w:p w14:paraId="09752388">
                  <w:pPr>
                    <w:tabs>
                      <w:tab w:val="left" w:pos="895"/>
                    </w:tabs>
                    <w:topLinePunct/>
                    <w:autoSpaceDE/>
                    <w:autoSpaceDN/>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900-214-08</w:t>
                  </w:r>
                  <w:r>
                    <w:rPr>
                      <w:rFonts w:hint="eastAsia" w:ascii="Times New Roman" w:hAnsi="Times New Roman" w:eastAsia="宋体" w:cs="Times New Roman"/>
                      <w:color w:val="auto"/>
                      <w:sz w:val="21"/>
                      <w:szCs w:val="21"/>
                      <w:lang w:val="en-US" w:eastAsia="zh-CN"/>
                    </w:rPr>
                    <w:t>）</w:t>
                  </w:r>
                </w:p>
              </w:tc>
              <w:tc>
                <w:tcPr>
                  <w:tcW w:w="913" w:type="pct"/>
                  <w:vAlign w:val="center"/>
                </w:tcPr>
                <w:p w14:paraId="37DF185C">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0.05</w:t>
                  </w:r>
                </w:p>
              </w:tc>
              <w:tc>
                <w:tcPr>
                  <w:tcW w:w="1841" w:type="pct"/>
                  <w:vAlign w:val="center"/>
                </w:tcPr>
                <w:p w14:paraId="3750A781">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暂存于危废暂存库，定期交由有资质单位处置</w:t>
                  </w:r>
                </w:p>
              </w:tc>
              <w:tc>
                <w:tcPr>
                  <w:tcW w:w="722" w:type="pct"/>
                  <w:vAlign w:val="center"/>
                </w:tcPr>
                <w:p w14:paraId="61D47C79">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危险废物</w:t>
                  </w:r>
                </w:p>
              </w:tc>
            </w:tr>
          </w:tbl>
          <w:p w14:paraId="3640DF06">
            <w:pPr>
              <w:widowControl/>
              <w:spacing w:line="440" w:lineRule="exact"/>
              <w:ind w:firstLine="479" w:firstLineChars="199"/>
              <w:jc w:val="left"/>
              <w:outlineLvl w:val="2"/>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4、现有工程主要污染物排放情况</w:t>
            </w:r>
          </w:p>
          <w:p w14:paraId="71B8C7BD">
            <w:pPr>
              <w:spacing w:line="440" w:lineRule="exact"/>
              <w:ind w:firstLine="480" w:firstLineChars="200"/>
              <w:rPr>
                <w:rFonts w:hint="default" w:ascii="Times New Roman" w:hAnsi="Times New Roman" w:eastAsia="宋体" w:cs="Times New Roman"/>
                <w:bCs/>
                <w:color w:val="auto"/>
                <w:kern w:val="0"/>
                <w:sz w:val="24"/>
                <w:szCs w:val="24"/>
              </w:rPr>
            </w:pPr>
            <w:bookmarkStart w:id="14" w:name="_Ref365390277"/>
            <w:r>
              <w:rPr>
                <w:rFonts w:hint="default" w:ascii="Times New Roman" w:hAnsi="Times New Roman" w:eastAsia="宋体" w:cs="Times New Roman"/>
                <w:bCs/>
                <w:color w:val="auto"/>
                <w:kern w:val="0"/>
                <w:sz w:val="24"/>
                <w:szCs w:val="24"/>
              </w:rPr>
              <w:t>项目现有工程全厂主要污染物排放情况一览表见表2-</w:t>
            </w:r>
            <w:r>
              <w:rPr>
                <w:rFonts w:hint="eastAsia" w:ascii="Times New Roman" w:hAnsi="Times New Roman" w:eastAsia="宋体" w:cs="Times New Roman"/>
                <w:bCs/>
                <w:color w:val="auto"/>
                <w:kern w:val="0"/>
                <w:sz w:val="24"/>
                <w:szCs w:val="24"/>
                <w:lang w:val="en-US" w:eastAsia="zh-CN"/>
              </w:rPr>
              <w:t>11</w:t>
            </w:r>
            <w:r>
              <w:rPr>
                <w:rFonts w:hint="default" w:ascii="Times New Roman" w:hAnsi="Times New Roman" w:eastAsia="宋体" w:cs="Times New Roman"/>
                <w:bCs/>
                <w:color w:val="auto"/>
                <w:kern w:val="0"/>
                <w:sz w:val="24"/>
                <w:szCs w:val="24"/>
              </w:rPr>
              <w:t>。</w:t>
            </w:r>
          </w:p>
          <w:p w14:paraId="58D38057">
            <w:pPr>
              <w:spacing w:line="440" w:lineRule="exact"/>
              <w:jc w:val="center"/>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rPr>
              <w:t>表2-</w:t>
            </w:r>
            <w:r>
              <w:rPr>
                <w:rFonts w:hint="eastAsia" w:ascii="Times New Roman" w:hAnsi="Times New Roman" w:eastAsia="宋体" w:cs="Times New Roman"/>
                <w:b/>
                <w:color w:val="auto"/>
                <w:kern w:val="0"/>
                <w:sz w:val="24"/>
                <w:szCs w:val="24"/>
                <w:lang w:val="en-US" w:eastAsia="zh-CN"/>
              </w:rPr>
              <w:t>11</w:t>
            </w:r>
            <w:r>
              <w:rPr>
                <w:rFonts w:hint="default" w:ascii="Times New Roman" w:hAnsi="Times New Roman" w:eastAsia="宋体" w:cs="Times New Roman"/>
                <w:b/>
                <w:color w:val="auto"/>
                <w:kern w:val="0"/>
                <w:sz w:val="24"/>
                <w:szCs w:val="24"/>
              </w:rPr>
              <w:t xml:space="preserve">     现有工程主要污染物排放一览表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446"/>
              <w:gridCol w:w="2709"/>
              <w:gridCol w:w="2709"/>
              <w:gridCol w:w="2709"/>
            </w:tblGrid>
            <w:tr w14:paraId="03A7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5" w:type="pct"/>
                  <w:vAlign w:val="center"/>
                </w:tcPr>
                <w:p w14:paraId="44EF6BFD">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污染种类</w:t>
                  </w:r>
                </w:p>
              </w:tc>
              <w:tc>
                <w:tcPr>
                  <w:tcW w:w="1414" w:type="pct"/>
                  <w:vAlign w:val="center"/>
                </w:tcPr>
                <w:p w14:paraId="300E8F58">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污染物名称</w:t>
                  </w:r>
                </w:p>
              </w:tc>
              <w:tc>
                <w:tcPr>
                  <w:tcW w:w="1414" w:type="pct"/>
                  <w:vAlign w:val="center"/>
                </w:tcPr>
                <w:p w14:paraId="399DF2EB">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排放量（t/a）</w:t>
                  </w:r>
                </w:p>
              </w:tc>
              <w:tc>
                <w:tcPr>
                  <w:tcW w:w="1414" w:type="pct"/>
                </w:tcPr>
                <w:p w14:paraId="7B7CF3F0">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数据来源</w:t>
                  </w:r>
                </w:p>
              </w:tc>
            </w:tr>
            <w:tr w14:paraId="252C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6" w:hRule="atLeast"/>
                <w:jc w:val="center"/>
              </w:trPr>
              <w:tc>
                <w:tcPr>
                  <w:tcW w:w="755" w:type="pct"/>
                  <w:vAlign w:val="center"/>
                </w:tcPr>
                <w:p w14:paraId="430888F4">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废气</w:t>
                  </w:r>
                </w:p>
              </w:tc>
              <w:tc>
                <w:tcPr>
                  <w:tcW w:w="1414" w:type="pct"/>
                  <w:vAlign w:val="center"/>
                </w:tcPr>
                <w:p w14:paraId="397ACFDC">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颗粒物</w:t>
                  </w:r>
                </w:p>
              </w:tc>
              <w:tc>
                <w:tcPr>
                  <w:tcW w:w="1414" w:type="pct"/>
                  <w:tcBorders>
                    <w:top w:val="single" w:color="auto" w:sz="4" w:space="0"/>
                    <w:left w:val="single" w:color="auto" w:sz="4" w:space="0"/>
                    <w:right w:val="single" w:color="auto" w:sz="4" w:space="0"/>
                  </w:tcBorders>
                  <w:vAlign w:val="center"/>
                </w:tcPr>
                <w:p w14:paraId="3784EEE2">
                  <w:pPr>
                    <w:tabs>
                      <w:tab w:val="left" w:pos="895"/>
                    </w:tabs>
                    <w:topLinePunct/>
                    <w:autoSpaceDE/>
                    <w:autoSpaceDN/>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17.768</w:t>
                  </w:r>
                </w:p>
              </w:tc>
              <w:tc>
                <w:tcPr>
                  <w:tcW w:w="1414" w:type="pct"/>
                  <w:vAlign w:val="center"/>
                </w:tcPr>
                <w:p w14:paraId="35F578E8">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现有环评中核算的无组织颗粒物排放量</w:t>
                  </w:r>
                </w:p>
              </w:tc>
            </w:tr>
            <w:tr w14:paraId="026E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5" w:type="pct"/>
                  <w:vMerge w:val="restart"/>
                  <w:vAlign w:val="center"/>
                </w:tcPr>
                <w:p w14:paraId="2B421628">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废水</w:t>
                  </w:r>
                </w:p>
              </w:tc>
              <w:tc>
                <w:tcPr>
                  <w:tcW w:w="1414" w:type="pct"/>
                  <w:vAlign w:val="center"/>
                </w:tcPr>
                <w:p w14:paraId="2158B927">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COD</w:t>
                  </w:r>
                </w:p>
              </w:tc>
              <w:tc>
                <w:tcPr>
                  <w:tcW w:w="1414" w:type="pct"/>
                  <w:vAlign w:val="center"/>
                </w:tcPr>
                <w:p w14:paraId="63C3BE9E">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w:t>
                  </w:r>
                </w:p>
              </w:tc>
              <w:tc>
                <w:tcPr>
                  <w:tcW w:w="1414" w:type="pct"/>
                  <w:vAlign w:val="center"/>
                </w:tcPr>
                <w:p w14:paraId="6774AF1A">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w:t>
                  </w:r>
                </w:p>
              </w:tc>
            </w:tr>
            <w:tr w14:paraId="04BB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5" w:type="pct"/>
                  <w:vMerge w:val="continue"/>
                  <w:vAlign w:val="center"/>
                </w:tcPr>
                <w:p w14:paraId="62737159">
                  <w:pPr>
                    <w:tabs>
                      <w:tab w:val="left" w:pos="895"/>
                    </w:tabs>
                    <w:topLinePunct/>
                    <w:autoSpaceDE/>
                    <w:autoSpaceDN/>
                    <w:jc w:val="center"/>
                    <w:rPr>
                      <w:rFonts w:hint="default" w:ascii="Times New Roman" w:hAnsi="Times New Roman" w:cs="Times New Roman"/>
                      <w:color w:val="auto"/>
                      <w:sz w:val="21"/>
                      <w:szCs w:val="21"/>
                      <w:lang w:val="en-US"/>
                    </w:rPr>
                  </w:pPr>
                </w:p>
              </w:tc>
              <w:tc>
                <w:tcPr>
                  <w:tcW w:w="1414" w:type="pct"/>
                  <w:vAlign w:val="center"/>
                </w:tcPr>
                <w:p w14:paraId="01D04173">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氨氮</w:t>
                  </w:r>
                </w:p>
              </w:tc>
              <w:tc>
                <w:tcPr>
                  <w:tcW w:w="1414" w:type="pct"/>
                  <w:vAlign w:val="center"/>
                </w:tcPr>
                <w:p w14:paraId="2D6B824A">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w:t>
                  </w:r>
                </w:p>
              </w:tc>
              <w:tc>
                <w:tcPr>
                  <w:tcW w:w="1414" w:type="pct"/>
                  <w:vAlign w:val="center"/>
                </w:tcPr>
                <w:p w14:paraId="10721C7E">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w:t>
                  </w:r>
                </w:p>
              </w:tc>
            </w:tr>
            <w:tr w14:paraId="3CC2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5" w:type="pct"/>
                  <w:vMerge w:val="restart"/>
                  <w:vAlign w:val="center"/>
                </w:tcPr>
                <w:p w14:paraId="6FCB2CC0">
                  <w:pPr>
                    <w:tabs>
                      <w:tab w:val="left" w:pos="895"/>
                    </w:tabs>
                    <w:topLinePunct/>
                    <w:autoSpaceDE/>
                    <w:autoSpaceDN/>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固废</w:t>
                  </w:r>
                </w:p>
              </w:tc>
              <w:tc>
                <w:tcPr>
                  <w:tcW w:w="1414" w:type="pct"/>
                  <w:vAlign w:val="center"/>
                </w:tcPr>
                <w:p w14:paraId="427E04B7">
                  <w:pPr>
                    <w:tabs>
                      <w:tab w:val="left" w:pos="895"/>
                    </w:tabs>
                    <w:topLinePunct/>
                    <w:autoSpaceDE/>
                    <w:autoSpaceDN/>
                    <w:jc w:val="center"/>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煤矸石</w:t>
                  </w:r>
                </w:p>
              </w:tc>
              <w:tc>
                <w:tcPr>
                  <w:tcW w:w="1414" w:type="pct"/>
                  <w:vAlign w:val="center"/>
                </w:tcPr>
                <w:p w14:paraId="3BFEC027">
                  <w:pPr>
                    <w:tabs>
                      <w:tab w:val="left" w:pos="895"/>
                    </w:tabs>
                    <w:topLinePunct/>
                    <w:autoSpaceDE/>
                    <w:autoSpaceDN/>
                    <w:jc w:val="center"/>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9</w:t>
                  </w:r>
                </w:p>
              </w:tc>
              <w:tc>
                <w:tcPr>
                  <w:tcW w:w="1414" w:type="pct"/>
                  <w:vMerge w:val="restart"/>
                  <w:vAlign w:val="center"/>
                </w:tcPr>
                <w:p w14:paraId="77BAE16D">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原项目竣工环境保护验收监测报告表</w:t>
                  </w:r>
                </w:p>
              </w:tc>
            </w:tr>
            <w:tr w14:paraId="33D8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5" w:type="pct"/>
                  <w:vMerge w:val="continue"/>
                  <w:vAlign w:val="center"/>
                </w:tcPr>
                <w:p w14:paraId="17F957D9">
                  <w:pPr>
                    <w:tabs>
                      <w:tab w:val="left" w:pos="895"/>
                    </w:tabs>
                    <w:topLinePunct/>
                    <w:autoSpaceDE/>
                    <w:autoSpaceDN/>
                    <w:jc w:val="center"/>
                    <w:rPr>
                      <w:rFonts w:hint="eastAsia" w:ascii="Times New Roman" w:hAnsi="Times New Roman" w:cs="Times New Roman"/>
                      <w:color w:val="auto"/>
                      <w:sz w:val="21"/>
                      <w:szCs w:val="21"/>
                      <w:lang w:val="en-US" w:eastAsia="zh-CN"/>
                    </w:rPr>
                  </w:pPr>
                </w:p>
              </w:tc>
              <w:tc>
                <w:tcPr>
                  <w:tcW w:w="1414" w:type="pct"/>
                  <w:vAlign w:val="center"/>
                </w:tcPr>
                <w:p w14:paraId="6C4D0168">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煤泥</w:t>
                  </w:r>
                </w:p>
              </w:tc>
              <w:tc>
                <w:tcPr>
                  <w:tcW w:w="1414" w:type="pct"/>
                  <w:vAlign w:val="center"/>
                </w:tcPr>
                <w:p w14:paraId="316B0B00">
                  <w:pPr>
                    <w:tabs>
                      <w:tab w:val="left" w:pos="895"/>
                    </w:tabs>
                    <w:topLinePunct/>
                    <w:autoSpaceDE/>
                    <w:autoSpaceDN/>
                    <w:jc w:val="center"/>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3</w:t>
                  </w:r>
                  <w:r>
                    <w:rPr>
                      <w:rFonts w:hint="default" w:ascii="Times New Roman" w:hAnsi="Times New Roman" w:cs="Times New Roman"/>
                      <w:color w:val="auto"/>
                      <w:sz w:val="21"/>
                      <w:szCs w:val="21"/>
                      <w:lang w:val="en-US"/>
                    </w:rPr>
                    <w:t>万</w:t>
                  </w:r>
                </w:p>
              </w:tc>
              <w:tc>
                <w:tcPr>
                  <w:tcW w:w="1414" w:type="pct"/>
                  <w:vMerge w:val="continue"/>
                  <w:vAlign w:val="center"/>
                </w:tcPr>
                <w:p w14:paraId="308E1DE7">
                  <w:pPr>
                    <w:tabs>
                      <w:tab w:val="left" w:pos="895"/>
                    </w:tabs>
                    <w:topLinePunct/>
                    <w:autoSpaceDE/>
                    <w:autoSpaceDN/>
                    <w:jc w:val="center"/>
                    <w:rPr>
                      <w:rFonts w:hint="default" w:ascii="Times New Roman" w:hAnsi="Times New Roman" w:cs="Times New Roman"/>
                      <w:color w:val="auto"/>
                      <w:sz w:val="21"/>
                      <w:szCs w:val="21"/>
                      <w:lang w:val="en-US"/>
                    </w:rPr>
                  </w:pPr>
                </w:p>
              </w:tc>
            </w:tr>
            <w:tr w14:paraId="23D5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5" w:type="pct"/>
                  <w:vMerge w:val="continue"/>
                  <w:vAlign w:val="center"/>
                </w:tcPr>
                <w:p w14:paraId="073F4A80">
                  <w:pPr>
                    <w:tabs>
                      <w:tab w:val="left" w:pos="895"/>
                    </w:tabs>
                    <w:topLinePunct/>
                    <w:autoSpaceDE/>
                    <w:autoSpaceDN/>
                    <w:jc w:val="center"/>
                    <w:rPr>
                      <w:rFonts w:hint="eastAsia" w:ascii="Times New Roman" w:hAnsi="Times New Roman" w:cs="Times New Roman"/>
                      <w:color w:val="auto"/>
                      <w:sz w:val="21"/>
                      <w:szCs w:val="21"/>
                      <w:lang w:val="en-US" w:eastAsia="zh-CN"/>
                    </w:rPr>
                  </w:pPr>
                </w:p>
              </w:tc>
              <w:tc>
                <w:tcPr>
                  <w:tcW w:w="1414" w:type="pct"/>
                  <w:vAlign w:val="center"/>
                </w:tcPr>
                <w:p w14:paraId="2DCF078B">
                  <w:pPr>
                    <w:tabs>
                      <w:tab w:val="left" w:pos="895"/>
                    </w:tabs>
                    <w:topLinePunct/>
                    <w:autoSpaceDE/>
                    <w:autoSpaceDN/>
                    <w:jc w:val="center"/>
                    <w:rPr>
                      <w:rFonts w:hint="default" w:ascii="Times New Roman" w:hAnsi="Times New Roman" w:cs="Times New Roman"/>
                      <w:color w:val="auto"/>
                      <w:sz w:val="21"/>
                      <w:szCs w:val="21"/>
                      <w:lang w:val="en-US"/>
                    </w:rPr>
                  </w:pPr>
                  <w:r>
                    <w:rPr>
                      <w:rFonts w:hint="default" w:ascii="Times New Roman" w:hAnsi="Times New Roman" w:cs="Times New Roman"/>
                      <w:color w:val="auto"/>
                      <w:sz w:val="21"/>
                      <w:szCs w:val="21"/>
                      <w:lang w:val="en-US"/>
                    </w:rPr>
                    <w:t>生活垃圾</w:t>
                  </w:r>
                </w:p>
              </w:tc>
              <w:tc>
                <w:tcPr>
                  <w:tcW w:w="1414" w:type="pct"/>
                  <w:vAlign w:val="center"/>
                </w:tcPr>
                <w:p w14:paraId="403B5261">
                  <w:pPr>
                    <w:tabs>
                      <w:tab w:val="left" w:pos="895"/>
                    </w:tabs>
                    <w:topLinePunct/>
                    <w:autoSpaceDE/>
                    <w:autoSpaceDN/>
                    <w:jc w:val="center"/>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3</w:t>
                  </w:r>
                  <w:r>
                    <w:rPr>
                      <w:rFonts w:hint="default" w:ascii="Times New Roman" w:hAnsi="Times New Roman" w:cs="Times New Roman"/>
                      <w:color w:val="auto"/>
                      <w:sz w:val="21"/>
                      <w:szCs w:val="21"/>
                      <w:lang w:val="en-US"/>
                    </w:rPr>
                    <w:t>.3</w:t>
                  </w:r>
                </w:p>
              </w:tc>
              <w:tc>
                <w:tcPr>
                  <w:tcW w:w="1414" w:type="pct"/>
                  <w:vMerge w:val="continue"/>
                  <w:vAlign w:val="center"/>
                </w:tcPr>
                <w:p w14:paraId="19E1E3D4">
                  <w:pPr>
                    <w:tabs>
                      <w:tab w:val="left" w:pos="895"/>
                    </w:tabs>
                    <w:topLinePunct/>
                    <w:autoSpaceDE/>
                    <w:autoSpaceDN/>
                    <w:jc w:val="center"/>
                    <w:rPr>
                      <w:rFonts w:hint="default" w:ascii="Times New Roman" w:hAnsi="Times New Roman" w:cs="Times New Roman"/>
                      <w:color w:val="auto"/>
                      <w:sz w:val="21"/>
                      <w:szCs w:val="21"/>
                      <w:lang w:val="en-US"/>
                    </w:rPr>
                  </w:pPr>
                </w:p>
              </w:tc>
            </w:tr>
            <w:tr w14:paraId="29CA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755" w:type="pct"/>
                  <w:vMerge w:val="continue"/>
                  <w:vAlign w:val="center"/>
                </w:tcPr>
                <w:p w14:paraId="0414D22F">
                  <w:pPr>
                    <w:tabs>
                      <w:tab w:val="left" w:pos="895"/>
                    </w:tabs>
                    <w:topLinePunct/>
                    <w:autoSpaceDE/>
                    <w:autoSpaceDN/>
                    <w:jc w:val="center"/>
                    <w:rPr>
                      <w:rFonts w:hint="eastAsia" w:ascii="Times New Roman" w:hAnsi="Times New Roman" w:cs="Times New Roman"/>
                      <w:color w:val="auto"/>
                      <w:sz w:val="21"/>
                      <w:szCs w:val="21"/>
                      <w:lang w:val="en-US" w:eastAsia="zh-CN"/>
                    </w:rPr>
                  </w:pPr>
                </w:p>
              </w:tc>
              <w:tc>
                <w:tcPr>
                  <w:tcW w:w="1414" w:type="pct"/>
                  <w:vAlign w:val="center"/>
                </w:tcPr>
                <w:p w14:paraId="58A2E388">
                  <w:pPr>
                    <w:tabs>
                      <w:tab w:val="left" w:pos="895"/>
                    </w:tabs>
                    <w:topLinePunct/>
                    <w:autoSpaceDE/>
                    <w:autoSpaceDN/>
                    <w:jc w:val="center"/>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废机油</w:t>
                  </w:r>
                  <w:r>
                    <w:rPr>
                      <w:rFonts w:hint="default" w:ascii="Times New Roman" w:hAnsi="Times New Roman" w:eastAsia="宋体" w:cs="Times New Roman"/>
                      <w:color w:val="auto"/>
                      <w:sz w:val="21"/>
                      <w:szCs w:val="21"/>
                      <w:lang w:val="en-US" w:eastAsia="zh-CN"/>
                    </w:rPr>
                    <w:t>（HW08</w:t>
                  </w:r>
                  <w:r>
                    <w:rPr>
                      <w:rFonts w:hint="eastAsia" w:ascii="Times New Roman" w:hAnsi="Times New Roman"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900-214-08</w:t>
                  </w:r>
                  <w:r>
                    <w:rPr>
                      <w:rFonts w:hint="eastAsia" w:ascii="Times New Roman" w:hAnsi="Times New Roman" w:eastAsia="宋体" w:cs="Times New Roman"/>
                      <w:color w:val="auto"/>
                      <w:sz w:val="21"/>
                      <w:szCs w:val="21"/>
                      <w:lang w:val="en-US" w:eastAsia="zh-CN"/>
                    </w:rPr>
                    <w:t>）</w:t>
                  </w:r>
                </w:p>
              </w:tc>
              <w:tc>
                <w:tcPr>
                  <w:tcW w:w="1414" w:type="pct"/>
                  <w:vAlign w:val="center"/>
                </w:tcPr>
                <w:p w14:paraId="6035BD68">
                  <w:pPr>
                    <w:tabs>
                      <w:tab w:val="left" w:pos="895"/>
                    </w:tabs>
                    <w:topLinePunct/>
                    <w:autoSpaceDE/>
                    <w:autoSpaceDN/>
                    <w:jc w:val="center"/>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0.05</w:t>
                  </w:r>
                </w:p>
              </w:tc>
              <w:tc>
                <w:tcPr>
                  <w:tcW w:w="1414" w:type="pct"/>
                  <w:vMerge w:val="continue"/>
                  <w:vAlign w:val="center"/>
                </w:tcPr>
                <w:p w14:paraId="7FFA38CF">
                  <w:pPr>
                    <w:tabs>
                      <w:tab w:val="left" w:pos="895"/>
                    </w:tabs>
                    <w:topLinePunct/>
                    <w:autoSpaceDE/>
                    <w:autoSpaceDN/>
                    <w:jc w:val="center"/>
                    <w:rPr>
                      <w:rFonts w:hint="default" w:ascii="Times New Roman" w:hAnsi="Times New Roman" w:cs="Times New Roman"/>
                      <w:color w:val="auto"/>
                      <w:sz w:val="21"/>
                      <w:szCs w:val="21"/>
                      <w:lang w:val="en-US"/>
                    </w:rPr>
                  </w:pPr>
                </w:p>
              </w:tc>
            </w:tr>
            <w:bookmarkEnd w:id="14"/>
          </w:tbl>
          <w:p w14:paraId="31398E33">
            <w:pPr>
              <w:widowControl/>
              <w:spacing w:line="440" w:lineRule="exact"/>
              <w:ind w:firstLine="479" w:firstLineChars="199"/>
              <w:jc w:val="left"/>
              <w:outlineLvl w:val="2"/>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5、现有工程总量控制指标</w:t>
            </w:r>
          </w:p>
          <w:p w14:paraId="08110F20">
            <w:pPr>
              <w:spacing w:line="440" w:lineRule="exact"/>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现有工程污染物总量指标为：</w:t>
            </w:r>
          </w:p>
          <w:p w14:paraId="117DF4E0">
            <w:pPr>
              <w:spacing w:line="440" w:lineRule="exact"/>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SO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：0t/a、NO</w:t>
            </w:r>
            <w:r>
              <w:rPr>
                <w:rFonts w:hint="default" w:ascii="Times New Roman" w:hAnsi="Times New Roman" w:eastAsia="宋体" w:cs="Times New Roman"/>
                <w:color w:val="auto"/>
                <w:sz w:val="24"/>
                <w:szCs w:val="24"/>
                <w:vertAlign w:val="subscript"/>
              </w:rPr>
              <w:t>x</w:t>
            </w:r>
            <w:r>
              <w:rPr>
                <w:rFonts w:hint="default" w:ascii="Times New Roman" w:hAnsi="Times New Roman" w:eastAsia="宋体" w:cs="Times New Roman"/>
                <w:color w:val="auto"/>
                <w:sz w:val="24"/>
                <w:szCs w:val="24"/>
              </w:rPr>
              <w:t>：0t/a、；COD：0t/a、NH</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-N：0t/a。</w:t>
            </w:r>
          </w:p>
          <w:p w14:paraId="2827FC55">
            <w:pPr>
              <w:widowControl/>
              <w:spacing w:line="440" w:lineRule="exact"/>
              <w:ind w:firstLine="479" w:firstLineChars="199"/>
              <w:jc w:val="left"/>
              <w:outlineLvl w:val="2"/>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6、现有工程存在的环保问题</w:t>
            </w:r>
          </w:p>
          <w:p w14:paraId="07D65804">
            <w:pPr>
              <w:adjustRightInd w:val="0"/>
              <w:snapToGrid w:val="0"/>
              <w:spacing w:line="440" w:lineRule="exact"/>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经过现场踏勘，未发现原项目存在环保问题</w:t>
            </w:r>
            <w:r>
              <w:rPr>
                <w:rFonts w:hint="default" w:ascii="Times New Roman" w:hAnsi="Times New Roman" w:eastAsia="宋体" w:cs="Times New Roman"/>
                <w:color w:val="auto"/>
                <w:sz w:val="24"/>
                <w:szCs w:val="24"/>
              </w:rPr>
              <w:t>。</w:t>
            </w:r>
          </w:p>
          <w:p w14:paraId="4676094D">
            <w:pPr>
              <w:autoSpaceDE/>
              <w:autoSpaceDN/>
              <w:spacing w:line="520" w:lineRule="exact"/>
              <w:ind w:firstLine="480" w:firstLineChars="200"/>
              <w:jc w:val="center"/>
              <w:rPr>
                <w:rFonts w:ascii="Times New Roman" w:hAnsi="Times New Roman" w:cs="Times New Roman"/>
                <w:sz w:val="24"/>
                <w:lang w:val="en-US"/>
              </w:rPr>
            </w:pPr>
          </w:p>
        </w:tc>
      </w:tr>
    </w:tbl>
    <w:p w14:paraId="2188B857">
      <w:pPr>
        <w:pageBreakBefore/>
        <w:spacing w:before="145"/>
        <w:ind w:left="391" w:right="414"/>
        <w:jc w:val="center"/>
        <w:outlineLvl w:val="0"/>
        <w:rPr>
          <w:rFonts w:ascii="Times New Roman" w:hAnsi="Times New Roman" w:cs="Times New Roman"/>
        </w:rPr>
      </w:pPr>
      <w:r>
        <w:rPr>
          <w:rFonts w:ascii="Times New Roman" w:hAnsi="Times New Roman" w:eastAsia="黑体" w:cs="Times New Roman"/>
          <w:sz w:val="30"/>
        </w:rPr>
        <w:t>三、区域环境质量现状、环境保护目标及评价标准</w:t>
      </w:r>
      <w:bookmarkEnd w:id="13"/>
    </w:p>
    <w:tbl>
      <w:tblPr>
        <w:tblStyle w:val="28"/>
        <w:tblW w:w="0" w:type="auto"/>
        <w:tblInd w:w="14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433"/>
        <w:gridCol w:w="9492"/>
      </w:tblGrid>
      <w:tr w14:paraId="4AAF55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949" w:hRule="atLeast"/>
        </w:trPr>
        <w:tc>
          <w:tcPr>
            <w:tcW w:w="433" w:type="dxa"/>
            <w:tcBorders>
              <w:right w:val="single" w:color="000000" w:sz="4" w:space="0"/>
            </w:tcBorders>
            <w:vAlign w:val="center"/>
          </w:tcPr>
          <w:p w14:paraId="16BB73B3">
            <w:pPr>
              <w:spacing w:line="520" w:lineRule="exact"/>
              <w:jc w:val="center"/>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区域环境质量现状</w:t>
            </w:r>
          </w:p>
        </w:tc>
        <w:tc>
          <w:tcPr>
            <w:tcW w:w="9492" w:type="dxa"/>
            <w:tcBorders>
              <w:left w:val="single" w:color="000000" w:sz="4" w:space="0"/>
            </w:tcBorders>
          </w:tcPr>
          <w:p w14:paraId="6F0868DA">
            <w:pPr>
              <w:pStyle w:val="43"/>
              <w:rPr>
                <w:rFonts w:ascii="Times New Roman" w:hAnsi="Times New Roman" w:cs="Times New Roman"/>
                <w:b/>
                <w:bCs/>
                <w:color w:val="auto"/>
              </w:rPr>
            </w:pPr>
            <w:r>
              <w:rPr>
                <w:rFonts w:ascii="Times New Roman" w:hAnsi="Times New Roman" w:cs="Times New Roman"/>
                <w:b/>
                <w:bCs/>
                <w:color w:val="auto"/>
              </w:rPr>
              <w:t>1、环境质量现状</w:t>
            </w:r>
          </w:p>
          <w:p w14:paraId="1626ED85">
            <w:pPr>
              <w:pStyle w:val="43"/>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color w:val="auto"/>
                <w:lang w:val="en-US"/>
              </w:rPr>
              <w:t>1</w:t>
            </w:r>
            <w:r>
              <w:rPr>
                <w:rFonts w:ascii="Times New Roman" w:hAnsi="Times New Roman" w:cs="Times New Roman"/>
                <w:color w:val="auto"/>
              </w:rPr>
              <w:t>）项目所在区域环境质量现状</w:t>
            </w:r>
          </w:p>
          <w:p w14:paraId="3C7A75BC">
            <w:pPr>
              <w:pStyle w:val="43"/>
              <w:jc w:val="both"/>
              <w:rPr>
                <w:rFonts w:ascii="Times New Roman" w:hAnsi="Times New Roman" w:cs="Times New Roman"/>
                <w:color w:val="auto"/>
              </w:rPr>
            </w:pPr>
            <w:r>
              <w:rPr>
                <w:rFonts w:hint="eastAsia" w:ascii="Times New Roman" w:hAnsi="Times New Roman" w:cs="Times New Roman"/>
                <w:color w:val="auto"/>
              </w:rPr>
              <w:t>本项目位于内蒙古自治区鄂尔多斯市</w:t>
            </w:r>
            <w:r>
              <w:rPr>
                <w:rFonts w:hint="eastAsia" w:ascii="Times New Roman" w:hAnsi="Times New Roman" w:cs="Times New Roman"/>
                <w:color w:val="auto"/>
                <w:lang w:val="en-US" w:eastAsia="zh-CN"/>
              </w:rPr>
              <w:t>伊金霍洛旗</w:t>
            </w:r>
            <w:r>
              <w:rPr>
                <w:rFonts w:hint="eastAsia" w:ascii="Times New Roman" w:hAnsi="Times New Roman" w:cs="Times New Roman"/>
                <w:color w:val="auto"/>
              </w:rPr>
              <w:t>，项目所在地环境空气质量为二类功能区，因此该地区环境空气质量执行《环境空气质量标准》(GB3095-2012)中的二级标准。2024年6月内蒙古自治区生态环境厅发布了《2023 年内蒙古自治区生态环境状况公报》，报告指出“2023年，全区12盟市中，除乌海市，其他11个盟市环境空气质量均达标”。</w:t>
            </w:r>
          </w:p>
          <w:p w14:paraId="3C48FDA3">
            <w:pPr>
              <w:snapToGrid w:val="0"/>
              <w:spacing w:line="360" w:lineRule="auto"/>
              <w:ind w:firstLine="482"/>
              <w:jc w:val="both"/>
              <w:rPr>
                <w:rFonts w:ascii="Times New Roman" w:hAnsi="Times New Roman" w:cs="Times New Roman"/>
                <w:color w:val="auto"/>
                <w:sz w:val="24"/>
              </w:rPr>
            </w:pPr>
            <w:r>
              <w:rPr>
                <w:rFonts w:ascii="Times New Roman" w:hAnsi="Times New Roman" w:cs="Times New Roman"/>
                <w:color w:val="auto"/>
                <w:sz w:val="24"/>
              </w:rPr>
              <w:t>项目所在区域监测指标年均浓度或相应百分位数24h或8h平均质量浓度均符合《环境空气质量标准》（GB3095-2012）中二级标准。</w:t>
            </w:r>
            <w:r>
              <w:rPr>
                <w:rFonts w:ascii="Times New Roman" w:hAnsi="Times New Roman" w:cs="Times New Roman"/>
                <w:color w:val="auto"/>
                <w:sz w:val="24"/>
                <w:lang w:val="en-US"/>
              </w:rPr>
              <w:t>因此</w:t>
            </w:r>
            <w:r>
              <w:rPr>
                <w:rFonts w:ascii="Times New Roman" w:hAnsi="Times New Roman" w:cs="Times New Roman"/>
                <w:color w:val="auto"/>
                <w:sz w:val="24"/>
              </w:rPr>
              <w:t>拟建项目所在地鄂尔多斯市环境质量</w:t>
            </w:r>
            <w:r>
              <w:rPr>
                <w:rFonts w:ascii="Times New Roman" w:hAnsi="Times New Roman" w:cs="Times New Roman"/>
                <w:color w:val="auto"/>
                <w:sz w:val="24"/>
                <w:lang w:val="en-US"/>
              </w:rPr>
              <w:t>属于</w:t>
            </w:r>
            <w:r>
              <w:rPr>
                <w:rFonts w:ascii="Times New Roman" w:hAnsi="Times New Roman" w:cs="Times New Roman"/>
                <w:color w:val="auto"/>
                <w:sz w:val="24"/>
              </w:rPr>
              <w:t>达标区。</w:t>
            </w:r>
          </w:p>
          <w:p w14:paraId="1C0058D7">
            <w:pPr>
              <w:pStyle w:val="43"/>
              <w:jc w:val="both"/>
              <w:rPr>
                <w:rFonts w:hint="eastAsia" w:ascii="Times New Roman" w:hAnsi="Times New Roman" w:cs="Times New Roman"/>
                <w:color w:val="auto"/>
              </w:rPr>
            </w:pPr>
            <w:r>
              <w:rPr>
                <w:rFonts w:hint="eastAsia" w:ascii="Times New Roman" w:hAnsi="Times New Roman" w:cs="Times New Roman"/>
                <w:color w:val="auto"/>
              </w:rPr>
              <w:t>（</w:t>
            </w:r>
            <w:r>
              <w:rPr>
                <w:rFonts w:hint="eastAsia" w:ascii="Times New Roman" w:hAnsi="Times New Roman" w:cs="Times New Roman"/>
                <w:color w:val="auto"/>
                <w:lang w:val="en-US"/>
              </w:rPr>
              <w:t>2</w:t>
            </w:r>
            <w:r>
              <w:rPr>
                <w:rFonts w:hint="eastAsia" w:ascii="Times New Roman" w:hAnsi="Times New Roman" w:cs="Times New Roman"/>
                <w:color w:val="auto"/>
              </w:rPr>
              <w:t>）补充监测</w:t>
            </w:r>
          </w:p>
          <w:p w14:paraId="05C554C0">
            <w:pPr>
              <w:pStyle w:val="78"/>
              <w:widowControl/>
              <w:adjustRightInd/>
              <w:spacing w:line="440" w:lineRule="exact"/>
              <w:ind w:firstLine="480" w:firstLineChars="200"/>
              <w:textAlignment w:val="auto"/>
              <w:rPr>
                <w:rFonts w:ascii="Times New Roman" w:hAnsi="Times New Roman" w:eastAsia="宋体"/>
                <w:color w:val="auto"/>
                <w:kern w:val="2"/>
              </w:rPr>
            </w:pPr>
            <w:r>
              <w:rPr>
                <w:rFonts w:hint="eastAsia" w:ascii="Times New Roman" w:hAnsi="Times New Roman" w:eastAsia="宋体" w:cs="Times New Roman"/>
                <w:color w:val="auto"/>
                <w:kern w:val="0"/>
                <w:sz w:val="24"/>
                <w:szCs w:val="24"/>
                <w:lang w:val="en-US" w:eastAsia="zh-CN" w:bidi="zh-CN"/>
              </w:rPr>
              <w:t>本项目其他污染物为TSP，</w:t>
            </w:r>
            <w:r>
              <w:rPr>
                <w:rFonts w:hint="eastAsia" w:ascii="Times New Roman" w:hAnsi="Times New Roman" w:eastAsia="宋体" w:cs="Times New Roman"/>
                <w:color w:val="auto"/>
                <w:kern w:val="0"/>
                <w:sz w:val="24"/>
                <w:szCs w:val="24"/>
                <w:lang w:val="zh-CN" w:eastAsia="zh-CN" w:bidi="zh-CN"/>
              </w:rPr>
              <w:t>本次大气现状监测</w:t>
            </w:r>
            <w:r>
              <w:rPr>
                <w:rFonts w:hint="eastAsia" w:ascii="Times New Roman" w:hAnsi="Times New Roman" w:eastAsia="宋体" w:cs="Times New Roman"/>
                <w:color w:val="auto"/>
                <w:kern w:val="0"/>
                <w:sz w:val="24"/>
                <w:szCs w:val="24"/>
                <w:lang w:val="en-US" w:eastAsia="zh-CN" w:bidi="zh-CN"/>
              </w:rPr>
              <w:t>引用</w:t>
            </w:r>
            <w:r>
              <w:rPr>
                <w:rFonts w:hint="eastAsia" w:ascii="Times New Roman" w:hAnsi="Times New Roman" w:eastAsia="宋体" w:cs="Times New Roman"/>
                <w:color w:val="auto"/>
                <w:kern w:val="0"/>
                <w:sz w:val="24"/>
                <w:szCs w:val="24"/>
                <w:lang w:val="zh-CN" w:eastAsia="zh-CN" w:bidi="zh-CN"/>
              </w:rPr>
              <w:t>《</w:t>
            </w:r>
            <w:r>
              <w:rPr>
                <w:rFonts w:hint="eastAsia" w:ascii="Times New Roman" w:hAnsi="Times New Roman" w:eastAsia="宋体"/>
                <w:color w:val="auto"/>
                <w:kern w:val="2"/>
              </w:rPr>
              <w:t>鄂尔多斯市鑫晶煤炭有限责任公司环境质量现状监测报告》（</w:t>
            </w:r>
            <w:r>
              <w:rPr>
                <w:rFonts w:ascii="Times New Roman" w:hAnsi="Times New Roman" w:eastAsia="宋体"/>
                <w:color w:val="auto"/>
                <w:kern w:val="2"/>
              </w:rPr>
              <w:t>GT/WTQ25171-01</w:t>
            </w:r>
            <w:r>
              <w:rPr>
                <w:rFonts w:hint="eastAsia" w:ascii="Times New Roman" w:hAnsi="Times New Roman" w:eastAsia="宋体"/>
                <w:color w:val="auto"/>
                <w:kern w:val="2"/>
              </w:rPr>
              <w:t>）中监测数据，由内蒙古庚泰环保科技有限公司进行监测，监测时间为2025年6月17日-6月20日，监测点位于项目厂区北</w:t>
            </w:r>
            <w:r>
              <w:rPr>
                <w:rFonts w:hint="eastAsia" w:ascii="Times New Roman" w:hAnsi="Times New Roman" w:eastAsia="宋体"/>
                <w:color w:val="auto"/>
                <w:kern w:val="2"/>
                <w:lang w:val="en-US" w:eastAsia="zh-CN"/>
              </w:rPr>
              <w:t>侧153</w:t>
            </w:r>
            <w:r>
              <w:rPr>
                <w:rFonts w:hint="eastAsia" w:ascii="Times New Roman" w:hAnsi="Times New Roman" w:eastAsia="宋体"/>
                <w:color w:val="auto"/>
                <w:kern w:val="2"/>
              </w:rPr>
              <w:t>处。</w:t>
            </w:r>
            <w:r>
              <w:rPr>
                <w:rFonts w:ascii="Times New Roman" w:hAnsi="Times New Roman" w:eastAsia="宋体"/>
                <w:color w:val="auto"/>
                <w:kern w:val="2"/>
              </w:rPr>
              <w:t>其监测点位、监测因子与数据时效性均满足要求，监测数据有效。</w:t>
            </w:r>
            <w:r>
              <w:rPr>
                <w:rFonts w:hint="eastAsia" w:ascii="Times New Roman" w:hAnsi="Times New Roman" w:eastAsia="宋体"/>
                <w:color w:val="auto"/>
                <w:kern w:val="2"/>
              </w:rPr>
              <w:t>具体</w:t>
            </w:r>
            <w:r>
              <w:rPr>
                <w:rFonts w:ascii="Times New Roman" w:hAnsi="Times New Roman" w:eastAsia="宋体"/>
                <w:color w:val="auto"/>
                <w:kern w:val="2"/>
              </w:rPr>
              <w:t>监测数据如下：</w:t>
            </w:r>
          </w:p>
          <w:p w14:paraId="2B91609D">
            <w:pPr>
              <w:spacing w:line="520" w:lineRule="exact"/>
              <w:jc w:val="center"/>
              <w:rPr>
                <w:rFonts w:ascii="Times New Roman" w:hAnsi="Times New Roman" w:cs="Times New Roman"/>
                <w:b/>
                <w:color w:val="auto"/>
                <w:sz w:val="24"/>
              </w:rPr>
            </w:pPr>
            <w:r>
              <w:rPr>
                <w:rFonts w:ascii="Times New Roman" w:hAnsi="Times New Roman" w:cs="Times New Roman"/>
                <w:b/>
                <w:color w:val="auto"/>
                <w:sz w:val="24"/>
              </w:rPr>
              <w:t>表</w:t>
            </w:r>
            <w:r>
              <w:rPr>
                <w:rFonts w:hint="eastAsia" w:ascii="Times New Roman" w:hAnsi="Times New Roman" w:cs="Times New Roman"/>
                <w:b/>
                <w:color w:val="auto"/>
                <w:sz w:val="24"/>
              </w:rPr>
              <w:t>3-1</w:t>
            </w:r>
            <w:r>
              <w:rPr>
                <w:rFonts w:ascii="Times New Roman" w:hAnsi="Times New Roman" w:cs="Times New Roman"/>
                <w:b/>
                <w:color w:val="auto"/>
                <w:sz w:val="24"/>
              </w:rPr>
              <w:t xml:space="preserve">     其他污染物补充监测点位基本信息</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405"/>
              <w:gridCol w:w="1533"/>
              <w:gridCol w:w="1302"/>
              <w:gridCol w:w="938"/>
              <w:gridCol w:w="1393"/>
              <w:gridCol w:w="1339"/>
              <w:gridCol w:w="1557"/>
            </w:tblGrid>
            <w:tr w14:paraId="58C3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 w:hRule="atLeast"/>
                <w:jc w:val="center"/>
              </w:trPr>
              <w:tc>
                <w:tcPr>
                  <w:tcW w:w="742" w:type="pct"/>
                  <w:vMerge w:val="restart"/>
                  <w:vAlign w:val="center"/>
                </w:tcPr>
                <w:p w14:paraId="2C235BEC">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监测点名称</w:t>
                  </w:r>
                </w:p>
              </w:tc>
              <w:tc>
                <w:tcPr>
                  <w:tcW w:w="1496" w:type="pct"/>
                  <w:gridSpan w:val="2"/>
                  <w:vAlign w:val="center"/>
                </w:tcPr>
                <w:p w14:paraId="31357268">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监测点坐标</w:t>
                  </w:r>
                </w:p>
              </w:tc>
              <w:tc>
                <w:tcPr>
                  <w:tcW w:w="495" w:type="pct"/>
                  <w:vMerge w:val="restart"/>
                  <w:vAlign w:val="center"/>
                </w:tcPr>
                <w:p w14:paraId="792BCB5E">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监测因子</w:t>
                  </w:r>
                </w:p>
              </w:tc>
              <w:tc>
                <w:tcPr>
                  <w:tcW w:w="735" w:type="pct"/>
                  <w:vMerge w:val="restart"/>
                  <w:vAlign w:val="center"/>
                </w:tcPr>
                <w:p w14:paraId="060FFEFB">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监测时段</w:t>
                  </w:r>
                </w:p>
              </w:tc>
              <w:tc>
                <w:tcPr>
                  <w:tcW w:w="707" w:type="pct"/>
                  <w:vMerge w:val="restart"/>
                  <w:vAlign w:val="center"/>
                </w:tcPr>
                <w:p w14:paraId="4BE6BC03">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相对厂址方位</w:t>
                  </w:r>
                </w:p>
              </w:tc>
              <w:tc>
                <w:tcPr>
                  <w:tcW w:w="822" w:type="pct"/>
                  <w:vMerge w:val="restart"/>
                  <w:vAlign w:val="center"/>
                </w:tcPr>
                <w:p w14:paraId="1C6D84AC">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相对厂界距离/m</w:t>
                  </w:r>
                </w:p>
              </w:tc>
            </w:tr>
            <w:tr w14:paraId="44D7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 w:hRule="atLeast"/>
                <w:jc w:val="center"/>
              </w:trPr>
              <w:tc>
                <w:tcPr>
                  <w:tcW w:w="742" w:type="pct"/>
                  <w:vMerge w:val="continue"/>
                  <w:vAlign w:val="center"/>
                </w:tcPr>
                <w:p w14:paraId="2964C76B">
                  <w:pPr>
                    <w:jc w:val="center"/>
                    <w:rPr>
                      <w:rFonts w:ascii="Times New Roman" w:hAnsi="Times New Roman" w:cs="Times New Roman"/>
                      <w:color w:val="auto"/>
                      <w:sz w:val="21"/>
                      <w:szCs w:val="21"/>
                      <w:lang w:val="en-US"/>
                    </w:rPr>
                  </w:pPr>
                </w:p>
              </w:tc>
              <w:tc>
                <w:tcPr>
                  <w:tcW w:w="809" w:type="pct"/>
                  <w:vAlign w:val="center"/>
                </w:tcPr>
                <w:p w14:paraId="57FB324C">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经度</w:t>
                  </w:r>
                </w:p>
              </w:tc>
              <w:tc>
                <w:tcPr>
                  <w:tcW w:w="687" w:type="pct"/>
                  <w:vAlign w:val="center"/>
                </w:tcPr>
                <w:p w14:paraId="68ECF166">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纬度</w:t>
                  </w:r>
                </w:p>
              </w:tc>
              <w:tc>
                <w:tcPr>
                  <w:tcW w:w="495" w:type="pct"/>
                  <w:vMerge w:val="continue"/>
                  <w:vAlign w:val="center"/>
                </w:tcPr>
                <w:p w14:paraId="6D288441">
                  <w:pPr>
                    <w:jc w:val="center"/>
                    <w:rPr>
                      <w:rFonts w:ascii="Times New Roman" w:hAnsi="Times New Roman" w:cs="Times New Roman"/>
                      <w:color w:val="auto"/>
                      <w:sz w:val="21"/>
                      <w:szCs w:val="21"/>
                      <w:lang w:val="en-US"/>
                    </w:rPr>
                  </w:pPr>
                </w:p>
              </w:tc>
              <w:tc>
                <w:tcPr>
                  <w:tcW w:w="735" w:type="pct"/>
                  <w:vMerge w:val="continue"/>
                  <w:vAlign w:val="center"/>
                </w:tcPr>
                <w:p w14:paraId="6D827D66">
                  <w:pPr>
                    <w:jc w:val="center"/>
                    <w:rPr>
                      <w:rFonts w:ascii="Times New Roman" w:hAnsi="Times New Roman" w:cs="Times New Roman"/>
                      <w:color w:val="auto"/>
                      <w:sz w:val="21"/>
                      <w:szCs w:val="21"/>
                      <w:lang w:val="en-US"/>
                    </w:rPr>
                  </w:pPr>
                </w:p>
              </w:tc>
              <w:tc>
                <w:tcPr>
                  <w:tcW w:w="707" w:type="pct"/>
                  <w:vMerge w:val="continue"/>
                  <w:vAlign w:val="center"/>
                </w:tcPr>
                <w:p w14:paraId="1B9E057E">
                  <w:pPr>
                    <w:jc w:val="center"/>
                    <w:rPr>
                      <w:rFonts w:ascii="Times New Roman" w:hAnsi="Times New Roman" w:cs="Times New Roman"/>
                      <w:color w:val="auto"/>
                      <w:sz w:val="21"/>
                      <w:szCs w:val="21"/>
                      <w:lang w:val="en-US"/>
                    </w:rPr>
                  </w:pPr>
                </w:p>
              </w:tc>
              <w:tc>
                <w:tcPr>
                  <w:tcW w:w="822" w:type="pct"/>
                  <w:vMerge w:val="continue"/>
                  <w:vAlign w:val="center"/>
                </w:tcPr>
                <w:p w14:paraId="05322126">
                  <w:pPr>
                    <w:jc w:val="center"/>
                    <w:rPr>
                      <w:rFonts w:ascii="Times New Roman" w:hAnsi="Times New Roman" w:cs="Times New Roman"/>
                      <w:color w:val="auto"/>
                      <w:sz w:val="21"/>
                      <w:szCs w:val="21"/>
                      <w:lang w:val="en-US"/>
                    </w:rPr>
                  </w:pPr>
                </w:p>
              </w:tc>
            </w:tr>
            <w:tr w14:paraId="49FB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jc w:val="center"/>
              </w:trPr>
              <w:tc>
                <w:tcPr>
                  <w:tcW w:w="742" w:type="pct"/>
                  <w:vAlign w:val="center"/>
                </w:tcPr>
                <w:p w14:paraId="1C83504D">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厂区北</w:t>
                  </w:r>
                  <w:r>
                    <w:rPr>
                      <w:rFonts w:hint="eastAsia" w:ascii="Times New Roman" w:hAnsi="Times New Roman" w:cs="Times New Roman"/>
                      <w:color w:val="auto"/>
                      <w:sz w:val="21"/>
                      <w:szCs w:val="21"/>
                      <w:lang w:val="en-US" w:eastAsia="zh-CN"/>
                    </w:rPr>
                    <w:t>153m</w:t>
                  </w:r>
                  <w:r>
                    <w:rPr>
                      <w:rFonts w:hint="eastAsia" w:ascii="Times New Roman" w:hAnsi="Times New Roman" w:cs="Times New Roman"/>
                      <w:color w:val="auto"/>
                      <w:sz w:val="21"/>
                      <w:szCs w:val="21"/>
                      <w:lang w:val="en-US"/>
                    </w:rPr>
                    <w:t>处</w:t>
                  </w:r>
                </w:p>
              </w:tc>
              <w:tc>
                <w:tcPr>
                  <w:tcW w:w="809" w:type="pct"/>
                  <w:vAlign w:val="center"/>
                </w:tcPr>
                <w:p w14:paraId="5D9212BD">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109.84060161</w:t>
                  </w:r>
                  <w:r>
                    <w:rPr>
                      <w:rFonts w:hint="eastAsia" w:ascii="Times New Roman" w:hAnsi="Times New Roman" w:cs="Times New Roman"/>
                      <w:color w:val="auto"/>
                      <w:sz w:val="21"/>
                      <w:szCs w:val="21"/>
                      <w:lang w:val="en-US"/>
                    </w:rPr>
                    <w:t>°</w:t>
                  </w:r>
                </w:p>
              </w:tc>
              <w:tc>
                <w:tcPr>
                  <w:tcW w:w="687" w:type="pct"/>
                  <w:vAlign w:val="center"/>
                </w:tcPr>
                <w:p w14:paraId="1B200400">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39.23483031°</w:t>
                  </w:r>
                </w:p>
              </w:tc>
              <w:tc>
                <w:tcPr>
                  <w:tcW w:w="495" w:type="pct"/>
                  <w:vAlign w:val="center"/>
                </w:tcPr>
                <w:p w14:paraId="4DBB3A6D">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TSP</w:t>
                  </w:r>
                </w:p>
              </w:tc>
              <w:tc>
                <w:tcPr>
                  <w:tcW w:w="735" w:type="pct"/>
                  <w:vAlign w:val="center"/>
                </w:tcPr>
                <w:p w14:paraId="1CF19704">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2025.6.17-6.20</w:t>
                  </w:r>
                </w:p>
              </w:tc>
              <w:tc>
                <w:tcPr>
                  <w:tcW w:w="707" w:type="pct"/>
                  <w:vAlign w:val="center"/>
                </w:tcPr>
                <w:p w14:paraId="1E11292E">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北</w:t>
                  </w:r>
                </w:p>
              </w:tc>
              <w:tc>
                <w:tcPr>
                  <w:tcW w:w="822" w:type="pct"/>
                  <w:vAlign w:val="center"/>
                </w:tcPr>
                <w:p w14:paraId="58A5692A">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153</w:t>
                  </w:r>
                </w:p>
              </w:tc>
            </w:tr>
          </w:tbl>
          <w:p w14:paraId="0A76567F">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2）监测时段与频次</w:t>
            </w:r>
          </w:p>
          <w:p w14:paraId="023A22CD">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TSP监测时间为2025年6月17日-6月20日，监测3天，监测日均浓度的每次连续采样时间为24h。</w:t>
            </w:r>
          </w:p>
          <w:p w14:paraId="14B63481">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3）评价标准</w:t>
            </w:r>
          </w:p>
          <w:p w14:paraId="3960D8B9">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TSP浓度执行《环境空气质量标准》（GB3095-2012）及其修改单中二级标准。</w:t>
            </w:r>
          </w:p>
          <w:p w14:paraId="31568109">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4）评价方法</w:t>
            </w:r>
          </w:p>
          <w:p w14:paraId="08AE8CB7">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评价方法采用单项标准指数法，评价模式如下：</w:t>
            </w:r>
          </w:p>
          <w:p w14:paraId="59BE14AA">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Pi＝Ci/C0i</w:t>
            </w:r>
          </w:p>
          <w:p w14:paraId="18E30EED">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式中：Pi—i污染物标准指数；</w:t>
            </w:r>
          </w:p>
          <w:p w14:paraId="754E8C14">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 xml:space="preserve">      Ci—i污染物实测浓度，mg/m</w:t>
            </w:r>
            <w:r>
              <w:rPr>
                <w:rFonts w:hint="eastAsia" w:ascii="Times New Roman" w:hAnsi="Times New Roman" w:eastAsia="宋体" w:cs="Times New Roman"/>
                <w:color w:val="auto"/>
                <w:kern w:val="0"/>
                <w:sz w:val="24"/>
                <w:szCs w:val="24"/>
                <w:vertAlign w:val="superscript"/>
                <w:lang w:val="en-US" w:eastAsia="zh-CN" w:bidi="zh-CN"/>
              </w:rPr>
              <w:t>3</w:t>
            </w:r>
            <w:r>
              <w:rPr>
                <w:rFonts w:hint="eastAsia" w:ascii="Times New Roman" w:hAnsi="Times New Roman" w:eastAsia="宋体" w:cs="Times New Roman"/>
                <w:color w:val="auto"/>
                <w:kern w:val="0"/>
                <w:sz w:val="24"/>
                <w:szCs w:val="24"/>
                <w:lang w:val="en-US" w:eastAsia="zh-CN" w:bidi="zh-CN"/>
              </w:rPr>
              <w:t>；</w:t>
            </w:r>
          </w:p>
          <w:p w14:paraId="52F626A1">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 xml:space="preserve">      Coi—i污染物评价标准值，mg/m</w:t>
            </w:r>
            <w:r>
              <w:rPr>
                <w:rFonts w:hint="eastAsia" w:ascii="Times New Roman" w:hAnsi="Times New Roman" w:eastAsia="宋体" w:cs="Times New Roman"/>
                <w:color w:val="auto"/>
                <w:kern w:val="0"/>
                <w:sz w:val="24"/>
                <w:szCs w:val="24"/>
                <w:vertAlign w:val="superscript"/>
                <w:lang w:val="en-US" w:eastAsia="zh-CN" w:bidi="zh-CN"/>
              </w:rPr>
              <w:t>3</w:t>
            </w:r>
            <w:r>
              <w:rPr>
                <w:rFonts w:hint="eastAsia" w:ascii="Times New Roman" w:hAnsi="Times New Roman" w:eastAsia="宋体" w:cs="Times New Roman"/>
                <w:color w:val="auto"/>
                <w:kern w:val="0"/>
                <w:sz w:val="24"/>
                <w:szCs w:val="24"/>
                <w:lang w:val="en-US" w:eastAsia="zh-CN" w:bidi="zh-CN"/>
              </w:rPr>
              <w:t>。</w:t>
            </w:r>
          </w:p>
          <w:p w14:paraId="3910C5A4">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p>
          <w:p w14:paraId="7F148882">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5）监测数据统计分析与评价</w:t>
            </w:r>
          </w:p>
          <w:p w14:paraId="66722F31">
            <w:pPr>
              <w:spacing w:line="520" w:lineRule="exact"/>
              <w:jc w:val="center"/>
              <w:rPr>
                <w:rFonts w:ascii="Times New Roman" w:hAnsi="Times New Roman" w:cs="Times New Roman"/>
                <w:b/>
                <w:color w:val="auto"/>
                <w:sz w:val="24"/>
              </w:rPr>
            </w:pPr>
            <w:r>
              <w:rPr>
                <w:rFonts w:ascii="Times New Roman" w:hAnsi="Times New Roman" w:cs="Times New Roman"/>
                <w:b/>
                <w:color w:val="auto"/>
                <w:sz w:val="24"/>
              </w:rPr>
              <w:t>表3-</w:t>
            </w:r>
            <w:r>
              <w:rPr>
                <w:rFonts w:hint="eastAsia" w:ascii="Times New Roman" w:hAnsi="Times New Roman" w:cs="Times New Roman"/>
                <w:b/>
                <w:color w:val="auto"/>
                <w:sz w:val="24"/>
              </w:rPr>
              <w:t>2</w:t>
            </w:r>
            <w:r>
              <w:rPr>
                <w:rFonts w:ascii="Times New Roman" w:hAnsi="Times New Roman" w:cs="Times New Roman"/>
                <w:b/>
                <w:color w:val="auto"/>
                <w:sz w:val="24"/>
              </w:rPr>
              <w:t xml:space="preserve">    环境空气监测及评价结果一览表</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2"/>
              <w:gridCol w:w="2125"/>
              <w:gridCol w:w="1828"/>
              <w:gridCol w:w="1771"/>
              <w:gridCol w:w="1737"/>
            </w:tblGrid>
            <w:tr w14:paraId="6292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16F903BA">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监测项目</w:t>
                  </w:r>
                </w:p>
              </w:tc>
              <w:tc>
                <w:tcPr>
                  <w:tcW w:w="1123" w:type="pct"/>
                  <w:vAlign w:val="center"/>
                </w:tcPr>
                <w:p w14:paraId="1D6D2C19">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浓度范围(mg/m3)</w:t>
                  </w:r>
                </w:p>
              </w:tc>
              <w:tc>
                <w:tcPr>
                  <w:tcW w:w="966" w:type="pct"/>
                  <w:vAlign w:val="center"/>
                </w:tcPr>
                <w:p w14:paraId="16ABCA67">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标准值(mg/m3)</w:t>
                  </w:r>
                </w:p>
              </w:tc>
              <w:tc>
                <w:tcPr>
                  <w:tcW w:w="936" w:type="pct"/>
                  <w:vAlign w:val="center"/>
                </w:tcPr>
                <w:p w14:paraId="6F7266FE">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污染指数</w:t>
                  </w:r>
                </w:p>
              </w:tc>
              <w:tc>
                <w:tcPr>
                  <w:tcW w:w="917" w:type="pct"/>
                  <w:vAlign w:val="center"/>
                </w:tcPr>
                <w:p w14:paraId="03808690">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超标率(%)</w:t>
                  </w:r>
                </w:p>
              </w:tc>
            </w:tr>
            <w:tr w14:paraId="3F8F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1F3812B4">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TSP</w:t>
                  </w:r>
                </w:p>
              </w:tc>
              <w:tc>
                <w:tcPr>
                  <w:tcW w:w="1123" w:type="pct"/>
                  <w:vAlign w:val="center"/>
                </w:tcPr>
                <w:p w14:paraId="248196F3">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0.03--0.086</w:t>
                  </w:r>
                </w:p>
              </w:tc>
              <w:tc>
                <w:tcPr>
                  <w:tcW w:w="966" w:type="pct"/>
                  <w:vAlign w:val="center"/>
                </w:tcPr>
                <w:p w14:paraId="08F639BB">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0.3</w:t>
                  </w:r>
                </w:p>
              </w:tc>
              <w:tc>
                <w:tcPr>
                  <w:tcW w:w="936" w:type="pct"/>
                  <w:vAlign w:val="center"/>
                </w:tcPr>
                <w:p w14:paraId="7A330C55">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0.1</w:t>
                  </w:r>
                  <w:r>
                    <w:rPr>
                      <w:rFonts w:ascii="Times New Roman" w:hAnsi="Times New Roman" w:cs="Times New Roman"/>
                      <w:color w:val="auto"/>
                      <w:sz w:val="21"/>
                      <w:szCs w:val="21"/>
                      <w:lang w:val="en-US"/>
                    </w:rPr>
                    <w:t>—</w:t>
                  </w:r>
                  <w:r>
                    <w:rPr>
                      <w:rFonts w:hint="eastAsia" w:ascii="Times New Roman" w:hAnsi="Times New Roman" w:cs="Times New Roman"/>
                      <w:color w:val="auto"/>
                      <w:sz w:val="21"/>
                      <w:szCs w:val="21"/>
                      <w:lang w:val="en-US"/>
                    </w:rPr>
                    <w:t>0.29</w:t>
                  </w:r>
                </w:p>
              </w:tc>
              <w:tc>
                <w:tcPr>
                  <w:tcW w:w="917" w:type="pct"/>
                  <w:vAlign w:val="center"/>
                </w:tcPr>
                <w:p w14:paraId="510E56A7">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0</w:t>
                  </w:r>
                </w:p>
              </w:tc>
            </w:tr>
          </w:tbl>
          <w:p w14:paraId="402180E6">
            <w:pPr>
              <w:spacing w:line="440" w:lineRule="exact"/>
              <w:ind w:firstLine="480" w:firstLineChars="200"/>
              <w:rPr>
                <w:rFonts w:hint="eastAsia" w:ascii="Times New Roman" w:hAnsi="Times New Roman" w:eastAsia="宋体" w:cs="Times New Roman"/>
                <w:color w:val="auto"/>
                <w:kern w:val="0"/>
                <w:sz w:val="24"/>
                <w:szCs w:val="24"/>
                <w:lang w:val="en-US" w:eastAsia="zh-CN" w:bidi="zh-CN"/>
              </w:rPr>
            </w:pPr>
            <w:r>
              <w:rPr>
                <w:rFonts w:hint="eastAsia" w:ascii="Times New Roman" w:hAnsi="Times New Roman" w:eastAsia="宋体" w:cs="Times New Roman"/>
                <w:color w:val="auto"/>
                <w:kern w:val="0"/>
                <w:sz w:val="24"/>
                <w:szCs w:val="24"/>
                <w:lang w:val="en-US" w:eastAsia="zh-CN" w:bidi="zh-CN"/>
              </w:rPr>
              <w:t>由上表可知，TSP24h平均浓度为0.1～0.29mg/m</w:t>
            </w:r>
            <w:r>
              <w:rPr>
                <w:rFonts w:hint="eastAsia" w:ascii="Times New Roman" w:hAnsi="Times New Roman" w:eastAsia="宋体" w:cs="Times New Roman"/>
                <w:color w:val="auto"/>
                <w:kern w:val="0"/>
                <w:sz w:val="24"/>
                <w:szCs w:val="24"/>
                <w:vertAlign w:val="superscript"/>
                <w:lang w:val="en-US" w:eastAsia="zh-CN" w:bidi="zh-CN"/>
              </w:rPr>
              <w:t>3</w:t>
            </w:r>
            <w:r>
              <w:rPr>
                <w:rFonts w:hint="eastAsia" w:ascii="Times New Roman" w:hAnsi="Times New Roman" w:eastAsia="宋体" w:cs="Times New Roman"/>
                <w:color w:val="auto"/>
                <w:kern w:val="0"/>
                <w:sz w:val="24"/>
                <w:szCs w:val="24"/>
                <w:lang w:val="en-US" w:eastAsia="zh-CN" w:bidi="zh-CN"/>
              </w:rPr>
              <w:t>，最大值占环境质量标准值的29%，满足《环境空气质量标准》（GB3095-2012）及其修改单中二级标准要求。</w:t>
            </w:r>
          </w:p>
          <w:p w14:paraId="199A78B6">
            <w:pPr>
              <w:spacing w:line="520" w:lineRule="exact"/>
              <w:jc w:val="center"/>
              <w:rPr>
                <w:rFonts w:ascii="Times New Roman" w:hAnsi="Times New Roman" w:cs="Times New Roman"/>
                <w:color w:val="auto"/>
                <w:sz w:val="24"/>
                <w:szCs w:val="24"/>
                <w:lang w:val="en-US"/>
              </w:rPr>
            </w:pPr>
            <w:r>
              <w:rPr>
                <w:rFonts w:ascii="Times New Roman" w:hAnsi="Times New Roman" w:cs="Times New Roman"/>
                <w:b/>
                <w:color w:val="auto"/>
                <w:sz w:val="24"/>
              </w:rPr>
              <w:t>表</w:t>
            </w:r>
            <w:r>
              <w:rPr>
                <w:rFonts w:ascii="Times New Roman" w:hAnsi="Times New Roman" w:cs="Times New Roman"/>
                <w:b/>
                <w:color w:val="auto"/>
                <w:sz w:val="24"/>
                <w:lang w:val="en-US"/>
              </w:rPr>
              <w:t>3</w:t>
            </w:r>
            <w:r>
              <w:rPr>
                <w:rFonts w:ascii="Times New Roman" w:hAnsi="Times New Roman" w:eastAsia="Times New Roman" w:cs="Times New Roman"/>
                <w:b/>
                <w:color w:val="auto"/>
                <w:sz w:val="24"/>
              </w:rPr>
              <w:t>-</w:t>
            </w:r>
            <w:r>
              <w:rPr>
                <w:rFonts w:hint="eastAsia" w:ascii="Times New Roman" w:hAnsi="Times New Roman" w:eastAsia="宋体" w:cs="Times New Roman"/>
                <w:b/>
                <w:color w:val="auto"/>
                <w:sz w:val="24"/>
                <w:lang w:val="en-US" w:eastAsia="zh-CN"/>
              </w:rPr>
              <w:t>3</w:t>
            </w:r>
            <w:r>
              <w:rPr>
                <w:rFonts w:ascii="Times New Roman" w:hAnsi="Times New Roman" w:eastAsia="Times New Roman" w:cs="Times New Roman"/>
                <w:b/>
                <w:color w:val="auto"/>
                <w:sz w:val="24"/>
              </w:rPr>
              <w:tab/>
            </w:r>
            <w:r>
              <w:rPr>
                <w:rFonts w:ascii="Times New Roman" w:hAnsi="Times New Roman" w:cs="Times New Roman"/>
                <w:b/>
                <w:color w:val="auto"/>
                <w:sz w:val="24"/>
                <w:lang w:val="en-US"/>
              </w:rPr>
              <w:t xml:space="preserve">   </w:t>
            </w:r>
            <w:r>
              <w:rPr>
                <w:rFonts w:ascii="Times New Roman" w:hAnsi="Times New Roman" w:eastAsia="Times New Roman" w:cs="Times New Roman"/>
                <w:b/>
                <w:color w:val="auto"/>
                <w:sz w:val="24"/>
                <w:lang w:val="en-US"/>
              </w:rPr>
              <w:t>环境空气质量现状监测点一览表</w:t>
            </w:r>
          </w:p>
          <w:tbl>
            <w:tblPr>
              <w:tblStyle w:val="28"/>
              <w:tblW w:w="9338"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889"/>
              <w:gridCol w:w="3087"/>
              <w:gridCol w:w="1875"/>
              <w:gridCol w:w="2351"/>
              <w:gridCol w:w="1136"/>
            </w:tblGrid>
            <w:tr w14:paraId="0267A9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89" w:type="dxa"/>
                  <w:vAlign w:val="center"/>
                </w:tcPr>
                <w:p w14:paraId="2D35183A">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编号</w:t>
                  </w:r>
                </w:p>
              </w:tc>
              <w:tc>
                <w:tcPr>
                  <w:tcW w:w="3087" w:type="dxa"/>
                  <w:vAlign w:val="center"/>
                </w:tcPr>
                <w:p w14:paraId="34183CCC">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监测点位</w:t>
                  </w:r>
                </w:p>
              </w:tc>
              <w:tc>
                <w:tcPr>
                  <w:tcW w:w="1875" w:type="dxa"/>
                  <w:vAlign w:val="center"/>
                </w:tcPr>
                <w:p w14:paraId="6CD599B8">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引用项目</w:t>
                  </w:r>
                  <w:r>
                    <w:rPr>
                      <w:rFonts w:ascii="Times New Roman" w:hAnsi="Times New Roman" w:cs="Times New Roman"/>
                      <w:color w:val="auto"/>
                      <w:sz w:val="21"/>
                      <w:szCs w:val="21"/>
                      <w:lang w:val="en-US"/>
                    </w:rPr>
                    <w:t>相对本项目方位</w:t>
                  </w:r>
                </w:p>
              </w:tc>
              <w:tc>
                <w:tcPr>
                  <w:tcW w:w="2351" w:type="dxa"/>
                  <w:vAlign w:val="center"/>
                </w:tcPr>
                <w:p w14:paraId="49757692">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相对本项目距离（m）</w:t>
                  </w:r>
                </w:p>
              </w:tc>
              <w:tc>
                <w:tcPr>
                  <w:tcW w:w="1136" w:type="dxa"/>
                  <w:vAlign w:val="center"/>
                </w:tcPr>
                <w:p w14:paraId="756DC6CA">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监测项目</w:t>
                  </w:r>
                </w:p>
              </w:tc>
            </w:tr>
            <w:tr w14:paraId="6F0C4C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89" w:type="dxa"/>
                  <w:vAlign w:val="center"/>
                </w:tcPr>
                <w:p w14:paraId="4ED385D3">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1</w:t>
                  </w:r>
                </w:p>
              </w:tc>
              <w:tc>
                <w:tcPr>
                  <w:tcW w:w="3087" w:type="dxa"/>
                  <w:vAlign w:val="center"/>
                </w:tcPr>
                <w:p w14:paraId="2C88FCBB">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厂区上风向</w:t>
                  </w:r>
                </w:p>
              </w:tc>
              <w:tc>
                <w:tcPr>
                  <w:tcW w:w="1875" w:type="dxa"/>
                  <w:vAlign w:val="center"/>
                </w:tcPr>
                <w:p w14:paraId="7CE759DD">
                  <w:pPr>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北</w:t>
                  </w:r>
                  <w:r>
                    <w:rPr>
                      <w:rFonts w:hint="eastAsia" w:ascii="Times New Roman" w:hAnsi="Times New Roman" w:cs="Times New Roman"/>
                      <w:color w:val="auto"/>
                      <w:sz w:val="21"/>
                      <w:szCs w:val="21"/>
                      <w:lang w:val="en-US"/>
                    </w:rPr>
                    <w:t>侧</w:t>
                  </w:r>
                </w:p>
              </w:tc>
              <w:tc>
                <w:tcPr>
                  <w:tcW w:w="2351" w:type="dxa"/>
                  <w:vAlign w:val="center"/>
                </w:tcPr>
                <w:p w14:paraId="5647692B">
                  <w:pPr>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153</w:t>
                  </w:r>
                </w:p>
              </w:tc>
              <w:tc>
                <w:tcPr>
                  <w:tcW w:w="1136" w:type="dxa"/>
                  <w:vAlign w:val="center"/>
                </w:tcPr>
                <w:p w14:paraId="22A884F1">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TSP</w:t>
                  </w:r>
                </w:p>
              </w:tc>
            </w:tr>
          </w:tbl>
          <w:p w14:paraId="6E45B2CE">
            <w:pPr>
              <w:spacing w:line="520" w:lineRule="exact"/>
              <w:jc w:val="center"/>
              <w:rPr>
                <w:rFonts w:ascii="Times New Roman" w:hAnsi="Times New Roman" w:cs="Times New Roman"/>
                <w:color w:val="auto"/>
                <w:sz w:val="24"/>
                <w:szCs w:val="24"/>
                <w:lang w:val="en-US"/>
              </w:rPr>
            </w:pPr>
            <w:r>
              <w:rPr>
                <w:color w:val="auto"/>
                <w:sz w:val="21"/>
              </w:rPr>
              <w:drawing>
                <wp:anchor distT="0" distB="0" distL="114300" distR="114300" simplePos="0" relativeHeight="251668480" behindDoc="0" locked="0" layoutInCell="1" allowOverlap="1">
                  <wp:simplePos x="0" y="0"/>
                  <wp:positionH relativeFrom="column">
                    <wp:posOffset>4675505</wp:posOffset>
                  </wp:positionH>
                  <wp:positionV relativeFrom="paragraph">
                    <wp:posOffset>83820</wp:posOffset>
                  </wp:positionV>
                  <wp:extent cx="1329055" cy="1275080"/>
                  <wp:effectExtent l="0" t="0" r="4445" b="1270"/>
                  <wp:wrapNone/>
                  <wp:docPr id="51" name="图片 2" descr="微信截图_2025041115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descr="微信截图_20250411155743"/>
                          <pic:cNvPicPr>
                            <a:picLocks noChangeAspect="1"/>
                          </pic:cNvPicPr>
                        </pic:nvPicPr>
                        <pic:blipFill>
                          <a:blip r:embed="rId14"/>
                          <a:stretch>
                            <a:fillRect/>
                          </a:stretch>
                        </pic:blipFill>
                        <pic:spPr>
                          <a:xfrm>
                            <a:off x="7678420" y="9042400"/>
                            <a:ext cx="1329055" cy="1275080"/>
                          </a:xfrm>
                          <a:prstGeom prst="rect">
                            <a:avLst/>
                          </a:prstGeom>
                        </pic:spPr>
                      </pic:pic>
                    </a:graphicData>
                  </a:graphic>
                </wp:anchor>
              </w:drawing>
            </w:r>
            <w:r>
              <w:rPr>
                <w:rFonts w:hint="eastAsia" w:ascii="Times New Roman" w:hAnsi="Times New Roman" w:eastAsia="宋体" w:cs="Times New Roman"/>
                <w:b/>
                <w:color w:val="auto"/>
                <w:sz w:val="24"/>
                <w:lang w:val="en-US" w:eastAsia="zh-CN"/>
              </w:rPr>
              <w:drawing>
                <wp:anchor distT="0" distB="0" distL="114300" distR="114300" simplePos="0" relativeHeight="251669504" behindDoc="1" locked="0" layoutInCell="1" allowOverlap="1">
                  <wp:simplePos x="0" y="0"/>
                  <wp:positionH relativeFrom="column">
                    <wp:posOffset>13970</wp:posOffset>
                  </wp:positionH>
                  <wp:positionV relativeFrom="paragraph">
                    <wp:posOffset>96520</wp:posOffset>
                  </wp:positionV>
                  <wp:extent cx="6012815" cy="3329940"/>
                  <wp:effectExtent l="0" t="0" r="6985" b="3810"/>
                  <wp:wrapTight wrapText="bothSides">
                    <wp:wrapPolygon>
                      <wp:start x="0" y="0"/>
                      <wp:lineTo x="0" y="21501"/>
                      <wp:lineTo x="21557" y="21501"/>
                      <wp:lineTo x="21557" y="0"/>
                      <wp:lineTo x="0" y="0"/>
                    </wp:wrapPolygon>
                  </wp:wrapTight>
                  <wp:docPr id="38" name="图片 38" descr="微信截图_2025081109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微信截图_20250811095110"/>
                          <pic:cNvPicPr>
                            <a:picLocks noChangeAspect="1"/>
                          </pic:cNvPicPr>
                        </pic:nvPicPr>
                        <pic:blipFill>
                          <a:blip r:embed="rId15"/>
                          <a:stretch>
                            <a:fillRect/>
                          </a:stretch>
                        </pic:blipFill>
                        <pic:spPr>
                          <a:xfrm>
                            <a:off x="0" y="0"/>
                            <a:ext cx="6012815" cy="3329940"/>
                          </a:xfrm>
                          <a:prstGeom prst="rect">
                            <a:avLst/>
                          </a:prstGeom>
                        </pic:spPr>
                      </pic:pic>
                    </a:graphicData>
                  </a:graphic>
                </wp:anchor>
              </w:drawing>
            </w:r>
            <w:r>
              <w:rPr>
                <w:rFonts w:hint="eastAsia" w:ascii="Times New Roman" w:hAnsi="Times New Roman" w:cs="Times New Roman"/>
                <w:b/>
                <w:color w:val="auto"/>
                <w:sz w:val="24"/>
                <w:lang w:val="en-US"/>
              </w:rPr>
              <w:t>图3-1 引用项目监测点位与本项目相对位置图</w:t>
            </w:r>
          </w:p>
          <w:p w14:paraId="3108FA38">
            <w:pPr>
              <w:spacing w:line="560" w:lineRule="exact"/>
              <w:ind w:firstLine="48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2、声环境质量现状</w:t>
            </w:r>
          </w:p>
          <w:p w14:paraId="52145692">
            <w:pPr>
              <w:spacing w:line="560" w:lineRule="exact"/>
              <w:ind w:firstLine="480"/>
              <w:rPr>
                <w:rFonts w:ascii="Times New Roman" w:hAnsi="Times New Roman" w:cs="Times New Roman"/>
                <w:sz w:val="24"/>
                <w:szCs w:val="24"/>
                <w:lang w:val="en-US"/>
              </w:rPr>
            </w:pPr>
            <w:r>
              <w:rPr>
                <w:rFonts w:hint="eastAsia" w:ascii="Times New Roman" w:hAnsi="Times New Roman" w:cs="Times New Roman"/>
                <w:sz w:val="24"/>
                <w:szCs w:val="24"/>
                <w:lang w:val="en-US"/>
              </w:rPr>
              <w:t>根据《建设项目环境影响报告表编制技术指南（污染影响类）（试行）》中声环境现状相关要求，厂界外周边50米范围内存在声环境保护目标的建设项目，应监测保护目标声环境质量现状并评价达标情况。本项目厂界外周边50米范围没有声环境保护目标，故本项目</w:t>
            </w:r>
            <w:r>
              <w:rPr>
                <w:rFonts w:hint="eastAsia" w:ascii="Times New Roman" w:hAnsi="Times New Roman" w:cs="Times New Roman"/>
                <w:sz w:val="24"/>
                <w:szCs w:val="24"/>
                <w:lang w:val="en-US" w:eastAsia="zh-CN"/>
              </w:rPr>
              <w:t>不作声</w:t>
            </w:r>
            <w:r>
              <w:rPr>
                <w:rFonts w:hint="eastAsia" w:ascii="Times New Roman" w:hAnsi="Times New Roman" w:cs="Times New Roman"/>
                <w:sz w:val="24"/>
                <w:szCs w:val="24"/>
                <w:lang w:val="en-US"/>
              </w:rPr>
              <w:t>环境质量现状监测。</w:t>
            </w:r>
          </w:p>
          <w:p w14:paraId="43F7DAC2">
            <w:pPr>
              <w:spacing w:line="560" w:lineRule="exact"/>
              <w:ind w:firstLine="482"/>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3</w:t>
            </w:r>
            <w:r>
              <w:rPr>
                <w:rFonts w:ascii="Times New Roman" w:hAnsi="Times New Roman" w:cs="Times New Roman"/>
                <w:b/>
                <w:bCs/>
                <w:sz w:val="24"/>
                <w:szCs w:val="24"/>
                <w:lang w:val="en-US"/>
              </w:rPr>
              <w:t>、</w:t>
            </w:r>
            <w:r>
              <w:rPr>
                <w:rFonts w:hint="eastAsia" w:ascii="Times New Roman" w:hAnsi="Times New Roman" w:cs="Times New Roman"/>
                <w:b/>
                <w:bCs/>
                <w:sz w:val="24"/>
                <w:szCs w:val="24"/>
                <w:lang w:val="en-US"/>
              </w:rPr>
              <w:t>地下水、</w:t>
            </w:r>
            <w:r>
              <w:rPr>
                <w:rFonts w:ascii="Times New Roman" w:hAnsi="Times New Roman" w:cs="Times New Roman"/>
                <w:b/>
                <w:bCs/>
                <w:sz w:val="24"/>
                <w:szCs w:val="24"/>
                <w:lang w:val="en-US"/>
              </w:rPr>
              <w:t>土壤环境</w:t>
            </w:r>
          </w:p>
          <w:p w14:paraId="6B161BDF">
            <w:pPr>
              <w:spacing w:line="520" w:lineRule="exact"/>
              <w:ind w:firstLine="480" w:firstLineChars="200"/>
              <w:jc w:val="both"/>
              <w:rPr>
                <w:rFonts w:ascii="Times New Roman" w:hAnsi="Times New Roman" w:cs="Times New Roman"/>
                <w:sz w:val="24"/>
              </w:rPr>
            </w:pPr>
            <w:r>
              <w:rPr>
                <w:rFonts w:ascii="Times New Roman" w:hAnsi="Times New Roman" w:cs="Times New Roman"/>
                <w:sz w:val="24"/>
              </w:rPr>
              <w:t>依照《建设项目环境影响报告表编制技术指南（污染影响类）</w:t>
            </w:r>
            <w:r>
              <w:rPr>
                <w:rFonts w:hint="eastAsia" w:ascii="Times New Roman" w:hAnsi="Times New Roman" w:cs="Times New Roman"/>
                <w:sz w:val="24"/>
                <w:lang w:eastAsia="zh-CN"/>
              </w:rPr>
              <w:t>（试行）》</w:t>
            </w:r>
            <w:r>
              <w:rPr>
                <w:rFonts w:ascii="Times New Roman" w:hAnsi="Times New Roman" w:cs="Times New Roman"/>
                <w:sz w:val="24"/>
              </w:rPr>
              <w:t>，</w:t>
            </w:r>
            <w:r>
              <w:rPr>
                <w:rFonts w:hint="eastAsia" w:ascii="Times New Roman" w:hAnsi="Times New Roman" w:cs="Times New Roman"/>
                <w:sz w:val="24"/>
                <w:lang w:val="en-US"/>
              </w:rPr>
              <w:t>地下水、</w:t>
            </w:r>
            <w:r>
              <w:rPr>
                <w:rFonts w:ascii="Times New Roman" w:hAnsi="Times New Roman" w:cs="Times New Roman"/>
                <w:sz w:val="24"/>
              </w:rPr>
              <w:t>土壤环境原则上不开展环境质量现状调查。建设项目存在土壤、地下水污染途径的，应结合污染源、保护目标分布情况开展现状调查以留作背景值。针对环境保护目标，指南中针对地下水给出的内容为：地下水环境需明确厂界外500米范围内的地下水集中式饮用水水源和热水、矿泉水、温泉等特殊地下水资源。</w:t>
            </w:r>
          </w:p>
          <w:p w14:paraId="78073512">
            <w:pPr>
              <w:spacing w:line="520" w:lineRule="exact"/>
              <w:ind w:firstLine="480" w:firstLineChars="200"/>
              <w:jc w:val="both"/>
              <w:rPr>
                <w:rFonts w:ascii="Times New Roman" w:hAnsi="Times New Roman" w:cs="Times New Roman"/>
                <w:color w:val="auto"/>
                <w:sz w:val="24"/>
              </w:rPr>
            </w:pPr>
            <w:r>
              <w:rPr>
                <w:rFonts w:ascii="Times New Roman" w:hAnsi="Times New Roman" w:cs="Times New Roman"/>
                <w:color w:val="auto"/>
                <w:sz w:val="24"/>
              </w:rPr>
              <w:t>经调查，本项目周围500m范围内不存在上述要求中的地下水环境保护目标，</w:t>
            </w:r>
            <w:r>
              <w:rPr>
                <w:rFonts w:hint="eastAsia" w:ascii="Times New Roman" w:hAnsi="Times New Roman" w:cs="Times New Roman"/>
                <w:color w:val="auto"/>
                <w:sz w:val="24"/>
                <w:lang w:val="en-US" w:eastAsia="zh-CN"/>
              </w:rPr>
              <w:t>本项目周围为其他洗煤厂煤棚，属于工业用地，</w:t>
            </w:r>
            <w:r>
              <w:rPr>
                <w:rFonts w:ascii="Times New Roman" w:hAnsi="Times New Roman" w:cs="Times New Roman"/>
                <w:color w:val="auto"/>
                <w:sz w:val="24"/>
              </w:rPr>
              <w:t>项目</w:t>
            </w:r>
            <w:r>
              <w:rPr>
                <w:rFonts w:hint="eastAsia" w:ascii="Times New Roman" w:hAnsi="Times New Roman" w:cs="Times New Roman"/>
                <w:color w:val="auto"/>
                <w:sz w:val="24"/>
                <w:lang w:val="en-US" w:eastAsia="zh-CN"/>
              </w:rPr>
              <w:t>初期雨水池</w:t>
            </w:r>
            <w:r>
              <w:rPr>
                <w:rFonts w:hint="eastAsia" w:ascii="Times New Roman" w:hAnsi="Times New Roman" w:cs="Times New Roman"/>
                <w:color w:val="auto"/>
                <w:sz w:val="24"/>
              </w:rPr>
              <w:t>、蓄水池等需一般防渗，防渗层不低于1.5m厚，渗透系数为1.0×10</w:t>
            </w:r>
            <w:r>
              <w:rPr>
                <w:rFonts w:hint="eastAsia" w:ascii="Times New Roman" w:hAnsi="Times New Roman" w:cs="Times New Roman"/>
                <w:color w:val="auto"/>
                <w:sz w:val="24"/>
                <w:vertAlign w:val="superscript"/>
              </w:rPr>
              <w:t>-7</w:t>
            </w:r>
            <w:r>
              <w:rPr>
                <w:rFonts w:hint="eastAsia" w:ascii="Times New Roman" w:hAnsi="Times New Roman" w:cs="Times New Roman"/>
                <w:color w:val="auto"/>
                <w:sz w:val="24"/>
              </w:rPr>
              <w:t>cm/s的粘土层。危废贮存间：按照《危险废物贮存污染控制标准》（GB18597-2023），防渗层为1.5mm厚的高密度聚乙烯膜，再在上层铺10-15cm的水泥进行硬化，渗透系数不大于10</w:t>
            </w:r>
            <w:r>
              <w:rPr>
                <w:rFonts w:hint="eastAsia" w:ascii="Times New Roman" w:hAnsi="Times New Roman" w:cs="Times New Roman"/>
                <w:color w:val="auto"/>
                <w:sz w:val="24"/>
                <w:vertAlign w:val="superscript"/>
              </w:rPr>
              <w:t>-10</w:t>
            </w:r>
            <w:r>
              <w:rPr>
                <w:rFonts w:hint="eastAsia" w:ascii="Times New Roman" w:hAnsi="Times New Roman" w:cs="Times New Roman"/>
                <w:color w:val="auto"/>
                <w:sz w:val="24"/>
              </w:rPr>
              <w:t>cm/s，危废贮存间设置防渗漏托盘，并且周围设导流渠</w:t>
            </w:r>
            <w:r>
              <w:rPr>
                <w:rFonts w:hint="eastAsia" w:ascii="Times New Roman" w:hAnsi="Times New Roman" w:cs="Times New Roman"/>
                <w:color w:val="auto"/>
                <w:sz w:val="24"/>
                <w:lang w:val="en-US"/>
              </w:rPr>
              <w:t>和</w:t>
            </w:r>
            <w:r>
              <w:rPr>
                <w:rFonts w:hint="eastAsia" w:ascii="Times New Roman" w:hAnsi="Times New Roman" w:cs="Times New Roman"/>
                <w:color w:val="auto"/>
                <w:sz w:val="24"/>
                <w:lang w:val="en-US" w:eastAsia="zh-CN"/>
              </w:rPr>
              <w:t>1m</w:t>
            </w:r>
            <w:r>
              <w:rPr>
                <w:rFonts w:hint="eastAsia" w:ascii="Times New Roman" w:hAnsi="Times New Roman" w:cs="Times New Roman"/>
                <w:color w:val="auto"/>
                <w:sz w:val="24"/>
                <w:vertAlign w:val="superscript"/>
                <w:lang w:val="en-US" w:eastAsia="zh-CN"/>
              </w:rPr>
              <w:t>3</w:t>
            </w:r>
            <w:r>
              <w:rPr>
                <w:rFonts w:hint="eastAsia" w:ascii="Times New Roman" w:hAnsi="Times New Roman" w:cs="Times New Roman"/>
                <w:color w:val="auto"/>
                <w:sz w:val="24"/>
                <w:lang w:val="en-US"/>
              </w:rPr>
              <w:t>收集池</w:t>
            </w:r>
            <w:r>
              <w:rPr>
                <w:rFonts w:hint="eastAsia" w:ascii="Times New Roman" w:hAnsi="Times New Roman" w:cs="Times New Roman"/>
                <w:color w:val="auto"/>
                <w:sz w:val="24"/>
              </w:rPr>
              <w:t>，对泄漏的危险废物进行收集。</w:t>
            </w:r>
            <w:r>
              <w:rPr>
                <w:rFonts w:hint="eastAsia" w:ascii="Times New Roman" w:hAnsi="Times New Roman" w:cs="Times New Roman"/>
                <w:color w:val="auto"/>
                <w:sz w:val="24"/>
                <w:lang w:val="en-US" w:eastAsia="zh-CN"/>
              </w:rPr>
              <w:t>储煤棚</w:t>
            </w:r>
            <w:r>
              <w:rPr>
                <w:rFonts w:hint="eastAsia" w:ascii="Times New Roman" w:hAnsi="Times New Roman" w:cs="Times New Roman"/>
                <w:color w:val="auto"/>
                <w:sz w:val="24"/>
              </w:rPr>
              <w:t>、办公生活区、道路需进行一般地面硬化的简单防渗，</w:t>
            </w:r>
            <w:r>
              <w:rPr>
                <w:rFonts w:hint="eastAsia" w:ascii="Times New Roman" w:hAnsi="Times New Roman" w:cs="Times New Roman"/>
                <w:color w:val="auto"/>
                <w:sz w:val="24"/>
                <w:lang w:val="en-US"/>
              </w:rPr>
              <w:t>项目采取以上</w:t>
            </w:r>
            <w:r>
              <w:rPr>
                <w:rFonts w:ascii="Times New Roman" w:hAnsi="Times New Roman" w:cs="Times New Roman"/>
                <w:color w:val="auto"/>
                <w:sz w:val="24"/>
              </w:rPr>
              <w:t>防渗措施</w:t>
            </w:r>
            <w:r>
              <w:rPr>
                <w:rFonts w:hint="eastAsia" w:ascii="Times New Roman" w:hAnsi="Times New Roman" w:cs="Times New Roman"/>
                <w:color w:val="auto"/>
                <w:sz w:val="24"/>
                <w:lang w:val="en-US"/>
              </w:rPr>
              <w:t>后</w:t>
            </w:r>
            <w:r>
              <w:rPr>
                <w:rFonts w:ascii="Times New Roman" w:hAnsi="Times New Roman" w:cs="Times New Roman"/>
                <w:color w:val="auto"/>
                <w:sz w:val="24"/>
              </w:rPr>
              <w:t>，</w:t>
            </w:r>
            <w:r>
              <w:rPr>
                <w:rFonts w:hint="eastAsia" w:ascii="Times New Roman" w:hAnsi="Times New Roman" w:cs="Times New Roman"/>
                <w:color w:val="auto"/>
                <w:sz w:val="24"/>
              </w:rPr>
              <w:t>不存在土壤、地下水污染途径，因此不开展环境质量现状调查</w:t>
            </w:r>
            <w:r>
              <w:rPr>
                <w:rFonts w:ascii="Times New Roman" w:hAnsi="Times New Roman" w:cs="Times New Roman"/>
                <w:color w:val="auto"/>
                <w:sz w:val="24"/>
              </w:rPr>
              <w:t>。</w:t>
            </w:r>
          </w:p>
          <w:p w14:paraId="28254661">
            <w:pPr>
              <w:numPr>
                <w:ilvl w:val="0"/>
                <w:numId w:val="8"/>
              </w:numPr>
              <w:spacing w:line="520" w:lineRule="exact"/>
              <w:ind w:firstLine="482" w:firstLineChars="200"/>
              <w:jc w:val="both"/>
              <w:rPr>
                <w:rFonts w:ascii="Times New Roman" w:hAnsi="Times New Roman" w:cs="Times New Roman"/>
                <w:b/>
                <w:bCs/>
                <w:color w:val="auto"/>
                <w:sz w:val="24"/>
                <w:szCs w:val="24"/>
                <w:lang w:val="en-US"/>
              </w:rPr>
            </w:pPr>
            <w:r>
              <w:rPr>
                <w:rFonts w:hint="eastAsia" w:ascii="Times New Roman" w:hAnsi="Times New Roman" w:cs="Times New Roman"/>
                <w:b/>
                <w:bCs/>
                <w:color w:val="auto"/>
                <w:sz w:val="24"/>
                <w:szCs w:val="24"/>
                <w:lang w:val="en-US"/>
              </w:rPr>
              <w:t>生态环境</w:t>
            </w:r>
          </w:p>
          <w:p w14:paraId="63647D93">
            <w:pPr>
              <w:spacing w:line="520" w:lineRule="exact"/>
              <w:ind w:firstLine="480" w:firstLineChars="200"/>
              <w:jc w:val="both"/>
              <w:rPr>
                <w:rFonts w:ascii="Times New Roman" w:hAnsi="Times New Roman" w:cs="Times New Roman"/>
                <w:b/>
                <w:bCs/>
                <w:sz w:val="24"/>
                <w:szCs w:val="24"/>
                <w:lang w:val="en-US"/>
              </w:rPr>
            </w:pPr>
            <w:r>
              <w:rPr>
                <w:rFonts w:ascii="Times New Roman" w:hAnsi="Times New Roman" w:cs="Times New Roman"/>
                <w:color w:val="auto"/>
                <w:sz w:val="24"/>
              </w:rPr>
              <w:t>依照《建设项目环境影响报告表编制技术指南（污染影响类）</w:t>
            </w:r>
            <w:r>
              <w:rPr>
                <w:rFonts w:hint="eastAsia" w:ascii="Times New Roman" w:hAnsi="Times New Roman" w:cs="Times New Roman"/>
                <w:color w:val="auto"/>
                <w:sz w:val="24"/>
                <w:lang w:eastAsia="zh-CN"/>
              </w:rPr>
              <w:t>（试行）》</w:t>
            </w:r>
            <w:r>
              <w:rPr>
                <w:rFonts w:hint="eastAsia" w:ascii="Times New Roman" w:hAnsi="Times New Roman" w:cs="Times New Roman"/>
                <w:color w:val="auto"/>
                <w:sz w:val="24"/>
              </w:rPr>
              <w:t>，产业园区外建设项目新增用地且用地范围内含有生态环境保护目标时，应进行生态现状调查。</w:t>
            </w:r>
            <w:r>
              <w:rPr>
                <w:rFonts w:hint="eastAsia" w:ascii="Times New Roman" w:hAnsi="Times New Roman" w:cs="Times New Roman"/>
                <w:color w:val="auto"/>
                <w:sz w:val="24"/>
                <w:lang w:val="en-US" w:eastAsia="zh-CN"/>
              </w:rPr>
              <w:t>本项目占地为工业用地，无生态保护目标，</w:t>
            </w:r>
            <w:r>
              <w:rPr>
                <w:rFonts w:hint="eastAsia" w:ascii="Times New Roman" w:hAnsi="Times New Roman" w:cs="Times New Roman"/>
                <w:color w:val="auto"/>
                <w:sz w:val="24"/>
                <w:lang w:val="en-US"/>
              </w:rPr>
              <w:t>故本项目不做生态环境现状调查。</w:t>
            </w:r>
          </w:p>
        </w:tc>
      </w:tr>
      <w:tr w14:paraId="5B2741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9" w:hRule="atLeast"/>
        </w:trPr>
        <w:tc>
          <w:tcPr>
            <w:tcW w:w="433" w:type="dxa"/>
            <w:tcBorders>
              <w:right w:val="single" w:color="000000" w:sz="4" w:space="0"/>
            </w:tcBorders>
            <w:vAlign w:val="center"/>
          </w:tcPr>
          <w:p w14:paraId="033236C5">
            <w:pPr>
              <w:spacing w:line="520" w:lineRule="exact"/>
              <w:jc w:val="center"/>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环境保护目标</w:t>
            </w:r>
          </w:p>
        </w:tc>
        <w:tc>
          <w:tcPr>
            <w:tcW w:w="9492" w:type="dxa"/>
            <w:tcBorders>
              <w:left w:val="single" w:color="000000" w:sz="4" w:space="0"/>
            </w:tcBorders>
          </w:tcPr>
          <w:p w14:paraId="78D0745A">
            <w:pPr>
              <w:spacing w:line="520" w:lineRule="exact"/>
              <w:ind w:firstLine="480" w:firstLineChars="200"/>
              <w:rPr>
                <w:rFonts w:ascii="Times New Roman" w:hAnsi="Times New Roman" w:cs="Times New Roman"/>
                <w:sz w:val="24"/>
                <w:lang w:bidi="en-US"/>
              </w:rPr>
            </w:pPr>
            <w:r>
              <w:rPr>
                <w:rFonts w:ascii="Times New Roman" w:hAnsi="Times New Roman" w:cs="Times New Roman"/>
                <w:sz w:val="24"/>
              </w:rPr>
              <w:t>本项目位于</w:t>
            </w:r>
            <w:r>
              <w:rPr>
                <w:rFonts w:hint="eastAsia" w:ascii="Times New Roman" w:hAnsi="Times New Roman" w:cs="Times New Roman"/>
                <w:sz w:val="24"/>
                <w:lang w:val="en-US" w:eastAsia="zh-CN"/>
              </w:rPr>
              <w:t>伊金霍洛旗札萨克镇哈日木河村</w:t>
            </w:r>
            <w:r>
              <w:rPr>
                <w:rFonts w:ascii="Times New Roman" w:hAnsi="Times New Roman" w:cs="Times New Roman"/>
                <w:sz w:val="24"/>
              </w:rPr>
              <w:t>，地理坐标为：</w:t>
            </w:r>
            <w:r>
              <w:rPr>
                <w:rFonts w:hint="eastAsia" w:ascii="Times New Roman" w:hAnsi="Times New Roman" w:cs="Times New Roman"/>
                <w:sz w:val="24"/>
              </w:rPr>
              <w:t>N</w:t>
            </w:r>
            <w:r>
              <w:rPr>
                <w:rFonts w:hint="eastAsia" w:ascii="Times New Roman" w:hAnsi="Times New Roman" w:cs="Times New Roman"/>
                <w:sz w:val="24"/>
                <w:lang w:eastAsia="zh-CN"/>
              </w:rPr>
              <w:t>：</w:t>
            </w:r>
            <w:r>
              <w:rPr>
                <w:rFonts w:hint="eastAsia" w:ascii="Times New Roman" w:hAnsi="Times New Roman" w:cs="Times New Roman"/>
                <w:sz w:val="24"/>
              </w:rPr>
              <w:t>39 度13分31.34秒，E：109度49分59.68秒</w:t>
            </w:r>
            <w:r>
              <w:rPr>
                <w:rFonts w:ascii="Times New Roman" w:hAnsi="Times New Roman" w:cs="Times New Roman"/>
                <w:sz w:val="24"/>
                <w:szCs w:val="20"/>
              </w:rPr>
              <w:t>。</w:t>
            </w:r>
            <w:r>
              <w:rPr>
                <w:rFonts w:ascii="Times New Roman" w:hAnsi="Times New Roman" w:cs="Times New Roman"/>
                <w:sz w:val="24"/>
                <w:lang w:bidi="en-US"/>
              </w:rPr>
              <w:t>项目周边无饮用水水源保护区，内无重点保护文物、自然保护区、珍稀动植物资源等环境敏感点。根据项目工程特点、评价区域环境特征，本项目环境保护目标详见表3-</w:t>
            </w:r>
            <w:r>
              <w:rPr>
                <w:rFonts w:hint="eastAsia" w:ascii="Times New Roman" w:hAnsi="Times New Roman" w:cs="Times New Roman"/>
                <w:sz w:val="24"/>
                <w:lang w:val="en-US" w:bidi="en-US"/>
              </w:rPr>
              <w:t>5</w:t>
            </w:r>
            <w:r>
              <w:rPr>
                <w:rFonts w:ascii="Times New Roman" w:hAnsi="Times New Roman" w:cs="Times New Roman"/>
                <w:sz w:val="24"/>
                <w:lang w:bidi="en-US"/>
              </w:rPr>
              <w:t>。</w:t>
            </w:r>
          </w:p>
          <w:p w14:paraId="6DF1B38D">
            <w:pPr>
              <w:spacing w:line="520" w:lineRule="exact"/>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表3-</w:t>
            </w:r>
            <w:r>
              <w:rPr>
                <w:rFonts w:hint="eastAsia" w:ascii="Times New Roman" w:hAnsi="Times New Roman" w:cs="Times New Roman"/>
                <w:b/>
                <w:bCs/>
                <w:sz w:val="24"/>
                <w:szCs w:val="24"/>
                <w:lang w:val="en-US"/>
              </w:rPr>
              <w:t>5</w:t>
            </w:r>
            <w:r>
              <w:rPr>
                <w:rFonts w:ascii="Times New Roman" w:hAnsi="Times New Roman" w:cs="Times New Roman"/>
                <w:b/>
                <w:bCs/>
                <w:sz w:val="24"/>
                <w:szCs w:val="24"/>
                <w:lang w:val="en-US"/>
              </w:rPr>
              <w:tab/>
            </w:r>
            <w:r>
              <w:rPr>
                <w:rFonts w:ascii="Times New Roman" w:hAnsi="Times New Roman" w:cs="Times New Roman"/>
                <w:b/>
                <w:bCs/>
                <w:sz w:val="24"/>
                <w:szCs w:val="24"/>
                <w:lang w:val="en-US"/>
              </w:rPr>
              <w:t>环境保护目标一览表</w:t>
            </w:r>
          </w:p>
          <w:tbl>
            <w:tblPr>
              <w:tblStyle w:val="28"/>
              <w:tblW w:w="937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182"/>
              <w:gridCol w:w="623"/>
              <w:gridCol w:w="383"/>
              <w:gridCol w:w="285"/>
              <w:gridCol w:w="445"/>
              <w:gridCol w:w="681"/>
              <w:gridCol w:w="711"/>
              <w:gridCol w:w="834"/>
              <w:gridCol w:w="1055"/>
              <w:gridCol w:w="2432"/>
            </w:tblGrid>
            <w:tr w14:paraId="3B05AB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vMerge w:val="restart"/>
                  <w:vAlign w:val="center"/>
                </w:tcPr>
                <w:p w14:paraId="69793F87">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环境</w:t>
                  </w:r>
                </w:p>
                <w:p w14:paraId="5C5F12E0">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要素</w:t>
                  </w:r>
                </w:p>
              </w:tc>
              <w:tc>
                <w:tcPr>
                  <w:tcW w:w="1805" w:type="dxa"/>
                  <w:gridSpan w:val="2"/>
                  <w:vMerge w:val="restart"/>
                  <w:tcMar>
                    <w:left w:w="28" w:type="dxa"/>
                    <w:right w:w="28" w:type="dxa"/>
                  </w:tcMar>
                  <w:vAlign w:val="center"/>
                </w:tcPr>
                <w:p w14:paraId="77746E92">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保护目标</w:t>
                  </w:r>
                </w:p>
              </w:tc>
              <w:tc>
                <w:tcPr>
                  <w:tcW w:w="4394" w:type="dxa"/>
                  <w:gridSpan w:val="7"/>
                  <w:tcMar>
                    <w:left w:w="28" w:type="dxa"/>
                    <w:right w:w="28" w:type="dxa"/>
                  </w:tcMar>
                  <w:vAlign w:val="center"/>
                </w:tcPr>
                <w:p w14:paraId="1AC68921">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相对厂址</w:t>
                  </w:r>
                </w:p>
              </w:tc>
              <w:tc>
                <w:tcPr>
                  <w:tcW w:w="2432" w:type="dxa"/>
                  <w:vMerge w:val="restart"/>
                  <w:tcMar>
                    <w:left w:w="28" w:type="dxa"/>
                    <w:right w:w="28" w:type="dxa"/>
                  </w:tcMar>
                  <w:vAlign w:val="center"/>
                </w:tcPr>
                <w:p w14:paraId="04F075A9">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保护级别</w:t>
                  </w:r>
                </w:p>
              </w:tc>
            </w:tr>
            <w:tr w14:paraId="3A812D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vMerge w:val="continue"/>
                  <w:vAlign w:val="center"/>
                </w:tcPr>
                <w:p w14:paraId="0313B59A">
                  <w:pPr>
                    <w:jc w:val="center"/>
                    <w:rPr>
                      <w:rFonts w:ascii="Times New Roman" w:hAnsi="Times New Roman" w:eastAsia="宋体" w:cs="Times New Roman"/>
                      <w:color w:val="auto"/>
                      <w:sz w:val="21"/>
                      <w:szCs w:val="21"/>
                      <w:lang w:val="en-US"/>
                    </w:rPr>
                  </w:pPr>
                </w:p>
              </w:tc>
              <w:tc>
                <w:tcPr>
                  <w:tcW w:w="1805" w:type="dxa"/>
                  <w:gridSpan w:val="2"/>
                  <w:vMerge w:val="continue"/>
                  <w:tcMar>
                    <w:left w:w="28" w:type="dxa"/>
                    <w:right w:w="28" w:type="dxa"/>
                  </w:tcMar>
                  <w:vAlign w:val="center"/>
                </w:tcPr>
                <w:p w14:paraId="639D4624">
                  <w:pPr>
                    <w:jc w:val="center"/>
                    <w:rPr>
                      <w:rFonts w:ascii="Times New Roman" w:hAnsi="Times New Roman" w:eastAsia="宋体" w:cs="Times New Roman"/>
                      <w:color w:val="auto"/>
                      <w:sz w:val="21"/>
                      <w:szCs w:val="21"/>
                      <w:lang w:val="en-US"/>
                    </w:rPr>
                  </w:pPr>
                </w:p>
              </w:tc>
              <w:tc>
                <w:tcPr>
                  <w:tcW w:w="668" w:type="dxa"/>
                  <w:gridSpan w:val="2"/>
                  <w:tcMar>
                    <w:left w:w="28" w:type="dxa"/>
                    <w:right w:w="28" w:type="dxa"/>
                  </w:tcMar>
                  <w:vAlign w:val="center"/>
                </w:tcPr>
                <w:p w14:paraId="72D76DEA">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方位</w:t>
                  </w:r>
                </w:p>
              </w:tc>
              <w:tc>
                <w:tcPr>
                  <w:tcW w:w="1837" w:type="dxa"/>
                  <w:gridSpan w:val="3"/>
                  <w:tcMar>
                    <w:left w:w="28" w:type="dxa"/>
                    <w:right w:w="28" w:type="dxa"/>
                  </w:tcMar>
                  <w:vAlign w:val="center"/>
                </w:tcPr>
                <w:p w14:paraId="696C17E3">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最近距离（m）</w:t>
                  </w:r>
                </w:p>
              </w:tc>
              <w:tc>
                <w:tcPr>
                  <w:tcW w:w="834" w:type="dxa"/>
                  <w:vAlign w:val="center"/>
                </w:tcPr>
                <w:p w14:paraId="6C6AE2D1">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户数</w:t>
                  </w:r>
                </w:p>
              </w:tc>
              <w:tc>
                <w:tcPr>
                  <w:tcW w:w="1055" w:type="dxa"/>
                  <w:vAlign w:val="center"/>
                </w:tcPr>
                <w:p w14:paraId="6184BE4D">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人数</w:t>
                  </w:r>
                </w:p>
              </w:tc>
              <w:tc>
                <w:tcPr>
                  <w:tcW w:w="2432" w:type="dxa"/>
                  <w:vMerge w:val="continue"/>
                  <w:tcMar>
                    <w:left w:w="28" w:type="dxa"/>
                    <w:right w:w="28" w:type="dxa"/>
                  </w:tcMar>
                  <w:vAlign w:val="center"/>
                </w:tcPr>
                <w:p w14:paraId="40A48609">
                  <w:pPr>
                    <w:jc w:val="center"/>
                    <w:rPr>
                      <w:rFonts w:ascii="Times New Roman" w:hAnsi="Times New Roman" w:eastAsia="宋体" w:cs="Times New Roman"/>
                      <w:color w:val="auto"/>
                      <w:sz w:val="21"/>
                      <w:szCs w:val="21"/>
                      <w:lang w:val="en-US"/>
                    </w:rPr>
                  </w:pPr>
                </w:p>
              </w:tc>
            </w:tr>
            <w:tr w14:paraId="6FEAE0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vAlign w:val="center"/>
                </w:tcPr>
                <w:p w14:paraId="328D76AC">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环境</w:t>
                  </w:r>
                </w:p>
                <w:p w14:paraId="6308226C">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空气</w:t>
                  </w:r>
                </w:p>
              </w:tc>
              <w:tc>
                <w:tcPr>
                  <w:tcW w:w="6199" w:type="dxa"/>
                  <w:gridSpan w:val="9"/>
                  <w:tcMar>
                    <w:left w:w="28" w:type="dxa"/>
                    <w:right w:w="28" w:type="dxa"/>
                  </w:tcMar>
                  <w:vAlign w:val="center"/>
                </w:tcPr>
                <w:p w14:paraId="716D0133">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厂界外500米范围内无大气环境保护目标</w:t>
                  </w:r>
                </w:p>
              </w:tc>
              <w:tc>
                <w:tcPr>
                  <w:tcW w:w="2432" w:type="dxa"/>
                  <w:tcMar>
                    <w:left w:w="28" w:type="dxa"/>
                    <w:right w:w="28" w:type="dxa"/>
                  </w:tcMar>
                  <w:vAlign w:val="center"/>
                </w:tcPr>
                <w:p w14:paraId="7983B2A5">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《环境空气质量标准》</w:t>
                  </w:r>
                </w:p>
                <w:p w14:paraId="355BC0E3">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（GB3095-2012）二级标准</w:t>
                  </w:r>
                </w:p>
              </w:tc>
            </w:tr>
            <w:tr w14:paraId="766E87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vMerge w:val="restart"/>
                  <w:vAlign w:val="center"/>
                </w:tcPr>
                <w:p w14:paraId="1D8F015A">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地下水</w:t>
                  </w:r>
                </w:p>
              </w:tc>
              <w:tc>
                <w:tcPr>
                  <w:tcW w:w="1182" w:type="dxa"/>
                  <w:tcMar>
                    <w:left w:w="28" w:type="dxa"/>
                    <w:right w:w="28" w:type="dxa"/>
                  </w:tcMar>
                  <w:vAlign w:val="center"/>
                </w:tcPr>
                <w:p w14:paraId="70236B7C">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保护目标</w:t>
                  </w:r>
                </w:p>
              </w:tc>
              <w:tc>
                <w:tcPr>
                  <w:tcW w:w="1006" w:type="dxa"/>
                  <w:gridSpan w:val="2"/>
                  <w:tcMar>
                    <w:left w:w="28" w:type="dxa"/>
                    <w:right w:w="28" w:type="dxa"/>
                  </w:tcMar>
                  <w:vAlign w:val="center"/>
                </w:tcPr>
                <w:p w14:paraId="0E16DD11">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评价范围</w:t>
                  </w:r>
                </w:p>
              </w:tc>
              <w:tc>
                <w:tcPr>
                  <w:tcW w:w="730" w:type="dxa"/>
                  <w:gridSpan w:val="2"/>
                  <w:tcMar>
                    <w:left w:w="28" w:type="dxa"/>
                    <w:right w:w="28" w:type="dxa"/>
                  </w:tcMar>
                  <w:vAlign w:val="center"/>
                </w:tcPr>
                <w:p w14:paraId="142D39B8">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方位</w:t>
                  </w:r>
                </w:p>
              </w:tc>
              <w:tc>
                <w:tcPr>
                  <w:tcW w:w="681" w:type="dxa"/>
                  <w:tcMar>
                    <w:left w:w="28" w:type="dxa"/>
                    <w:right w:w="28" w:type="dxa"/>
                  </w:tcMar>
                  <w:vAlign w:val="center"/>
                </w:tcPr>
                <w:p w14:paraId="45236E34">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距离（m）</w:t>
                  </w:r>
                </w:p>
              </w:tc>
              <w:tc>
                <w:tcPr>
                  <w:tcW w:w="711" w:type="dxa"/>
                  <w:tcMar>
                    <w:left w:w="28" w:type="dxa"/>
                    <w:right w:w="28" w:type="dxa"/>
                  </w:tcMar>
                  <w:vAlign w:val="center"/>
                </w:tcPr>
                <w:p w14:paraId="4AC33DC5">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功能</w:t>
                  </w:r>
                </w:p>
              </w:tc>
              <w:tc>
                <w:tcPr>
                  <w:tcW w:w="834" w:type="dxa"/>
                  <w:tcMar>
                    <w:left w:w="28" w:type="dxa"/>
                    <w:right w:w="28" w:type="dxa"/>
                  </w:tcMar>
                  <w:vAlign w:val="center"/>
                </w:tcPr>
                <w:p w14:paraId="2DA8D9EA">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水井个数</w:t>
                  </w:r>
                </w:p>
              </w:tc>
              <w:tc>
                <w:tcPr>
                  <w:tcW w:w="1055" w:type="dxa"/>
                  <w:tcMar>
                    <w:left w:w="28" w:type="dxa"/>
                    <w:right w:w="28" w:type="dxa"/>
                  </w:tcMar>
                  <w:vAlign w:val="center"/>
                </w:tcPr>
                <w:p w14:paraId="57756521">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取水层位</w:t>
                  </w:r>
                </w:p>
              </w:tc>
              <w:tc>
                <w:tcPr>
                  <w:tcW w:w="2432" w:type="dxa"/>
                  <w:vMerge w:val="restart"/>
                  <w:tcMar>
                    <w:left w:w="28" w:type="dxa"/>
                    <w:right w:w="28" w:type="dxa"/>
                  </w:tcMar>
                  <w:vAlign w:val="center"/>
                </w:tcPr>
                <w:p w14:paraId="3BD027F3">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《地下水质量标准》</w:t>
                  </w:r>
                </w:p>
                <w:p w14:paraId="1A631151">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（GB/T14848-2017）Ⅲ类标准</w:t>
                  </w:r>
                </w:p>
              </w:tc>
            </w:tr>
            <w:tr w14:paraId="3DF9D6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vMerge w:val="continue"/>
                  <w:vAlign w:val="center"/>
                </w:tcPr>
                <w:p w14:paraId="71E6400A">
                  <w:pPr>
                    <w:jc w:val="center"/>
                    <w:rPr>
                      <w:rFonts w:ascii="Times New Roman" w:hAnsi="Times New Roman" w:eastAsia="宋体" w:cs="Times New Roman"/>
                      <w:color w:val="auto"/>
                      <w:sz w:val="21"/>
                      <w:szCs w:val="21"/>
                      <w:lang w:val="en-US"/>
                    </w:rPr>
                  </w:pPr>
                </w:p>
              </w:tc>
              <w:tc>
                <w:tcPr>
                  <w:tcW w:w="6199" w:type="dxa"/>
                  <w:gridSpan w:val="9"/>
                  <w:tcMar>
                    <w:left w:w="28" w:type="dxa"/>
                    <w:right w:w="28" w:type="dxa"/>
                  </w:tcMar>
                  <w:vAlign w:val="center"/>
                </w:tcPr>
                <w:p w14:paraId="0A064579">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厂界外500米范围内无地下水集中式饮用水水源和热水、矿泉水、温泉等特殊地下水资源</w:t>
                  </w:r>
                </w:p>
              </w:tc>
              <w:tc>
                <w:tcPr>
                  <w:tcW w:w="2432" w:type="dxa"/>
                  <w:vMerge w:val="continue"/>
                  <w:tcMar>
                    <w:left w:w="28" w:type="dxa"/>
                    <w:right w:w="28" w:type="dxa"/>
                  </w:tcMar>
                  <w:vAlign w:val="center"/>
                </w:tcPr>
                <w:p w14:paraId="77B1842D">
                  <w:pPr>
                    <w:jc w:val="center"/>
                    <w:rPr>
                      <w:rFonts w:ascii="Times New Roman" w:hAnsi="Times New Roman" w:eastAsia="宋体" w:cs="Times New Roman"/>
                      <w:color w:val="auto"/>
                      <w:sz w:val="21"/>
                      <w:szCs w:val="21"/>
                      <w:lang w:val="en-US"/>
                    </w:rPr>
                  </w:pPr>
                </w:p>
              </w:tc>
            </w:tr>
            <w:tr w14:paraId="1CFA16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48" w:type="dxa"/>
                  <w:vAlign w:val="center"/>
                </w:tcPr>
                <w:p w14:paraId="544E17AF">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声环境</w:t>
                  </w:r>
                </w:p>
              </w:tc>
              <w:tc>
                <w:tcPr>
                  <w:tcW w:w="6199" w:type="dxa"/>
                  <w:gridSpan w:val="9"/>
                  <w:tcMar>
                    <w:left w:w="28" w:type="dxa"/>
                    <w:right w:w="28" w:type="dxa"/>
                  </w:tcMar>
                  <w:vAlign w:val="center"/>
                </w:tcPr>
                <w:p w14:paraId="559A9CFE">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厂界外50m范围内无声环境保护目标</w:t>
                  </w:r>
                </w:p>
              </w:tc>
              <w:tc>
                <w:tcPr>
                  <w:tcW w:w="2432" w:type="dxa"/>
                  <w:tcMar>
                    <w:left w:w="28" w:type="dxa"/>
                    <w:right w:w="28" w:type="dxa"/>
                  </w:tcMar>
                  <w:vAlign w:val="center"/>
                </w:tcPr>
                <w:p w14:paraId="35485A31">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《声环境质量标准》</w:t>
                  </w:r>
                </w:p>
                <w:p w14:paraId="68BBDCD1">
                  <w:pPr>
                    <w:jc w:val="center"/>
                    <w:rPr>
                      <w:rFonts w:ascii="Times New Roman" w:hAnsi="Times New Roman" w:eastAsia="宋体" w:cs="Times New Roman"/>
                      <w:color w:val="auto"/>
                      <w:sz w:val="21"/>
                      <w:szCs w:val="21"/>
                      <w:lang w:val="en-US"/>
                    </w:rPr>
                  </w:pPr>
                  <w:r>
                    <w:rPr>
                      <w:rFonts w:ascii="Times New Roman" w:hAnsi="Times New Roman" w:eastAsia="宋体" w:cs="Times New Roman"/>
                      <w:color w:val="auto"/>
                      <w:sz w:val="21"/>
                      <w:szCs w:val="21"/>
                      <w:lang w:val="en-US"/>
                    </w:rPr>
                    <w:t>（GB3096-2008）</w:t>
                  </w:r>
                  <w:r>
                    <w:rPr>
                      <w:rFonts w:hint="eastAsia" w:ascii="Times New Roman" w:hAnsi="Times New Roman" w:eastAsia="宋体" w:cs="Times New Roman"/>
                      <w:color w:val="auto"/>
                      <w:sz w:val="21"/>
                      <w:szCs w:val="21"/>
                      <w:lang w:val="en-US" w:eastAsia="zh-CN"/>
                    </w:rPr>
                    <w:t>2</w:t>
                  </w:r>
                  <w:r>
                    <w:rPr>
                      <w:rFonts w:ascii="Times New Roman" w:hAnsi="Times New Roman" w:eastAsia="宋体" w:cs="Times New Roman"/>
                      <w:color w:val="auto"/>
                      <w:sz w:val="21"/>
                      <w:szCs w:val="21"/>
                      <w:lang w:val="en-US"/>
                    </w:rPr>
                    <w:t>类标准</w:t>
                  </w:r>
                </w:p>
              </w:tc>
            </w:tr>
          </w:tbl>
          <w:p w14:paraId="25E3E848">
            <w:pPr>
              <w:pStyle w:val="27"/>
              <w:ind w:left="0" w:leftChars="0" w:firstLine="0" w:firstLineChars="0"/>
              <w:rPr>
                <w:rFonts w:cs="Times New Roman"/>
                <w:lang w:val="en-US"/>
              </w:rPr>
            </w:pPr>
            <w:r>
              <w:rPr>
                <w:rFonts w:cs="Times New Roman"/>
                <w:lang w:val="en-US"/>
              </w:rPr>
              <w:t xml:space="preserve">                   </w:t>
            </w:r>
            <w:r>
              <w:rPr>
                <w:rFonts w:cs="Times New Roman"/>
                <w:sz w:val="21"/>
                <w:szCs w:val="21"/>
                <w:lang w:val="en-US"/>
              </w:rPr>
              <w:t xml:space="preserve"> </w:t>
            </w:r>
          </w:p>
        </w:tc>
      </w:tr>
      <w:tr w14:paraId="6AB85E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033" w:hRule="atLeast"/>
        </w:trPr>
        <w:tc>
          <w:tcPr>
            <w:tcW w:w="433" w:type="dxa"/>
            <w:tcBorders>
              <w:right w:val="single" w:color="000000" w:sz="4" w:space="0"/>
            </w:tcBorders>
            <w:vAlign w:val="center"/>
          </w:tcPr>
          <w:p w14:paraId="74A0BDE2">
            <w:pPr>
              <w:spacing w:line="520" w:lineRule="exact"/>
              <w:jc w:val="center"/>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污染物排放控制标准</w:t>
            </w:r>
          </w:p>
        </w:tc>
        <w:tc>
          <w:tcPr>
            <w:tcW w:w="9492" w:type="dxa"/>
            <w:tcBorders>
              <w:left w:val="single" w:color="000000" w:sz="4" w:space="0"/>
            </w:tcBorders>
          </w:tcPr>
          <w:p w14:paraId="3C95B114">
            <w:pPr>
              <w:spacing w:line="360" w:lineRule="auto"/>
              <w:ind w:firstLine="482" w:firstLineChars="200"/>
              <w:rPr>
                <w:rFonts w:ascii="Times New Roman" w:hAnsi="Times New Roman" w:cs="Times New Roman"/>
                <w:lang w:val="en-US"/>
              </w:rPr>
            </w:pPr>
            <w:r>
              <w:rPr>
                <w:rFonts w:ascii="Times New Roman" w:hAnsi="Times New Roman" w:cs="Times New Roman"/>
                <w:b/>
                <w:bCs/>
                <w:sz w:val="24"/>
              </w:rPr>
              <w:t>1、大气污染物排放标准</w:t>
            </w:r>
          </w:p>
          <w:p w14:paraId="63BEB16D">
            <w:pPr>
              <w:spacing w:line="360" w:lineRule="auto"/>
              <w:ind w:firstLine="480" w:firstLineChars="200"/>
              <w:rPr>
                <w:rFonts w:ascii="Times New Roman" w:hAnsi="Times New Roman" w:cs="Times New Roman"/>
                <w:sz w:val="24"/>
              </w:rPr>
            </w:pPr>
            <w:r>
              <w:rPr>
                <w:rFonts w:ascii="Times New Roman" w:hAnsi="Times New Roman" w:cs="Times New Roman"/>
                <w:sz w:val="24"/>
                <w:szCs w:val="24"/>
                <w:lang w:val="en-US"/>
              </w:rPr>
              <w:t>施工期大气污染物满足《大气污染物综合排放标准》（GB16297-1996）表2中无组织排放监控浓度限值；</w:t>
            </w:r>
            <w:r>
              <w:rPr>
                <w:rFonts w:ascii="Times New Roman" w:hAnsi="Times New Roman" w:cs="Times New Roman"/>
                <w:sz w:val="24"/>
              </w:rPr>
              <w:t>具体标准见表3-</w:t>
            </w:r>
            <w:r>
              <w:rPr>
                <w:rFonts w:hint="eastAsia" w:ascii="Times New Roman" w:hAnsi="Times New Roman" w:cs="Times New Roman"/>
                <w:sz w:val="24"/>
                <w:lang w:val="en-US"/>
              </w:rPr>
              <w:t>6</w:t>
            </w:r>
            <w:r>
              <w:rPr>
                <w:rFonts w:ascii="Times New Roman" w:hAnsi="Times New Roman" w:cs="Times New Roman"/>
                <w:sz w:val="24"/>
              </w:rPr>
              <w:t>。</w:t>
            </w:r>
          </w:p>
          <w:p w14:paraId="5AD839E1">
            <w:pPr>
              <w:jc w:val="center"/>
              <w:rPr>
                <w:rFonts w:ascii="Times New Roman" w:hAnsi="Times New Roman" w:cs="Times New Roman"/>
                <w:b/>
                <w:szCs w:val="21"/>
              </w:rPr>
            </w:pPr>
            <w:r>
              <w:rPr>
                <w:rFonts w:ascii="Times New Roman" w:hAnsi="Times New Roman" w:cs="Times New Roman"/>
                <w:b/>
                <w:sz w:val="24"/>
              </w:rPr>
              <w:t>表3-</w:t>
            </w:r>
            <w:r>
              <w:rPr>
                <w:rFonts w:hint="eastAsia" w:ascii="Times New Roman" w:hAnsi="Times New Roman" w:cs="Times New Roman"/>
                <w:b/>
                <w:sz w:val="24"/>
                <w:lang w:val="en-US"/>
              </w:rPr>
              <w:t>6</w:t>
            </w:r>
            <w:r>
              <w:rPr>
                <w:rFonts w:ascii="Times New Roman" w:hAnsi="Times New Roman" w:cs="Times New Roman"/>
                <w:b/>
                <w:sz w:val="24"/>
                <w:lang w:val="en-US"/>
              </w:rPr>
              <w:t xml:space="preserve">  </w:t>
            </w:r>
            <w:r>
              <w:rPr>
                <w:rFonts w:ascii="Times New Roman" w:hAnsi="Times New Roman" w:cs="Times New Roman"/>
                <w:b/>
                <w:sz w:val="24"/>
              </w:rPr>
              <w:t xml:space="preserve">  施工期大气污染物排放标准</w:t>
            </w:r>
          </w:p>
          <w:tbl>
            <w:tblPr>
              <w:tblStyle w:val="28"/>
              <w:tblW w:w="4932" w:type="pct"/>
              <w:jc w:val="center"/>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9"/>
              <w:gridCol w:w="2382"/>
              <w:gridCol w:w="4027"/>
            </w:tblGrid>
            <w:tr w14:paraId="7E5EEE1E">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568" w:type="pct"/>
                  <w:tcBorders>
                    <w:tl2br w:val="nil"/>
                    <w:tr2bl w:val="nil"/>
                  </w:tcBorders>
                  <w:vAlign w:val="center"/>
                </w:tcPr>
                <w:p w14:paraId="38E1777D">
                  <w:pPr>
                    <w:snapToGrid w:val="0"/>
                    <w:jc w:val="center"/>
                    <w:rPr>
                      <w:rFonts w:ascii="Times New Roman" w:hAnsi="Times New Roman" w:cs="Times New Roman"/>
                      <w:sz w:val="21"/>
                      <w:szCs w:val="21"/>
                    </w:rPr>
                  </w:pPr>
                  <w:r>
                    <w:rPr>
                      <w:rFonts w:ascii="Times New Roman" w:hAnsi="Times New Roman" w:cs="Times New Roman"/>
                      <w:sz w:val="21"/>
                      <w:szCs w:val="21"/>
                    </w:rPr>
                    <w:t>标准名称</w:t>
                  </w:r>
                </w:p>
              </w:tc>
              <w:tc>
                <w:tcPr>
                  <w:tcW w:w="3431" w:type="pct"/>
                  <w:gridSpan w:val="2"/>
                  <w:tcBorders>
                    <w:tl2br w:val="nil"/>
                    <w:tr2bl w:val="nil"/>
                  </w:tcBorders>
                  <w:vAlign w:val="center"/>
                </w:tcPr>
                <w:p w14:paraId="1015FB3F">
                  <w:pPr>
                    <w:snapToGrid w:val="0"/>
                    <w:jc w:val="center"/>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相关限值</w:t>
                  </w:r>
                </w:p>
              </w:tc>
            </w:tr>
            <w:tr w14:paraId="22B5241E">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568" w:type="pct"/>
                  <w:vMerge w:val="restart"/>
                  <w:tcBorders>
                    <w:tl2br w:val="nil"/>
                    <w:tr2bl w:val="nil"/>
                  </w:tcBorders>
                  <w:vAlign w:val="center"/>
                </w:tcPr>
                <w:p w14:paraId="5A95B8BE">
                  <w:pPr>
                    <w:snapToGrid w:val="0"/>
                    <w:jc w:val="center"/>
                    <w:rPr>
                      <w:rFonts w:ascii="Times New Roman" w:hAnsi="Times New Roman" w:cs="Times New Roman"/>
                      <w:sz w:val="21"/>
                      <w:szCs w:val="21"/>
                    </w:rPr>
                  </w:pPr>
                  <w:r>
                    <w:rPr>
                      <w:rFonts w:ascii="Times New Roman" w:hAnsi="Times New Roman" w:cs="Times New Roman"/>
                      <w:sz w:val="21"/>
                      <w:szCs w:val="21"/>
                    </w:rPr>
                    <w:t>大气污染物综合排放标准（</w:t>
                  </w:r>
                  <w:r>
                    <w:rPr>
                      <w:rFonts w:ascii="Times New Roman" w:hAnsi="Times New Roman" w:cs="Times New Roman"/>
                      <w:snapToGrid w:val="0"/>
                      <w:spacing w:val="6"/>
                      <w:sz w:val="21"/>
                      <w:szCs w:val="21"/>
                    </w:rPr>
                    <w:t>GB16927-1996</w:t>
                  </w:r>
                  <w:r>
                    <w:rPr>
                      <w:rFonts w:ascii="Times New Roman" w:hAnsi="Times New Roman" w:cs="Times New Roman"/>
                      <w:sz w:val="21"/>
                      <w:szCs w:val="21"/>
                    </w:rPr>
                    <w:t>）</w:t>
                  </w:r>
                </w:p>
              </w:tc>
              <w:tc>
                <w:tcPr>
                  <w:tcW w:w="1275" w:type="pct"/>
                  <w:tcBorders>
                    <w:tl2br w:val="nil"/>
                    <w:tr2bl w:val="nil"/>
                  </w:tcBorders>
                  <w:vAlign w:val="center"/>
                </w:tcPr>
                <w:p w14:paraId="147C79C7">
                  <w:pPr>
                    <w:snapToGrid w:val="0"/>
                    <w:jc w:val="center"/>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类别</w:t>
                  </w:r>
                </w:p>
              </w:tc>
              <w:tc>
                <w:tcPr>
                  <w:tcW w:w="2156" w:type="pct"/>
                  <w:tcBorders>
                    <w:tl2br w:val="nil"/>
                    <w:tr2bl w:val="nil"/>
                  </w:tcBorders>
                  <w:vAlign w:val="center"/>
                </w:tcPr>
                <w:p w14:paraId="0C99E8AA">
                  <w:pPr>
                    <w:snapToGrid w:val="0"/>
                    <w:jc w:val="center"/>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颗粒物周界外浓度最高点mg/m</w:t>
                  </w:r>
                  <w:r>
                    <w:rPr>
                      <w:rFonts w:ascii="Times New Roman" w:hAnsi="Times New Roman" w:cs="Times New Roman"/>
                      <w:snapToGrid w:val="0"/>
                      <w:spacing w:val="6"/>
                      <w:sz w:val="21"/>
                      <w:szCs w:val="21"/>
                      <w:vertAlign w:val="superscript"/>
                    </w:rPr>
                    <w:t>3</w:t>
                  </w:r>
                </w:p>
              </w:tc>
            </w:tr>
            <w:tr w14:paraId="18B41058">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blHeader/>
                <w:jc w:val="center"/>
              </w:trPr>
              <w:tc>
                <w:tcPr>
                  <w:tcW w:w="1568" w:type="pct"/>
                  <w:vMerge w:val="continue"/>
                  <w:tcBorders>
                    <w:tl2br w:val="nil"/>
                    <w:tr2bl w:val="nil"/>
                  </w:tcBorders>
                  <w:vAlign w:val="center"/>
                </w:tcPr>
                <w:p w14:paraId="519E3896">
                  <w:pPr>
                    <w:snapToGrid w:val="0"/>
                    <w:jc w:val="center"/>
                    <w:rPr>
                      <w:rFonts w:ascii="Times New Roman" w:hAnsi="Times New Roman" w:cs="Times New Roman"/>
                      <w:sz w:val="21"/>
                      <w:szCs w:val="21"/>
                    </w:rPr>
                  </w:pPr>
                </w:p>
              </w:tc>
              <w:tc>
                <w:tcPr>
                  <w:tcW w:w="1275" w:type="pct"/>
                  <w:tcBorders>
                    <w:tl2br w:val="nil"/>
                    <w:tr2bl w:val="nil"/>
                  </w:tcBorders>
                  <w:vAlign w:val="center"/>
                </w:tcPr>
                <w:p w14:paraId="221A4DFA">
                  <w:pPr>
                    <w:snapToGrid w:val="0"/>
                    <w:jc w:val="center"/>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颗粒物</w:t>
                  </w:r>
                </w:p>
              </w:tc>
              <w:tc>
                <w:tcPr>
                  <w:tcW w:w="2156" w:type="pct"/>
                  <w:tcBorders>
                    <w:tl2br w:val="nil"/>
                    <w:tr2bl w:val="nil"/>
                  </w:tcBorders>
                  <w:vAlign w:val="center"/>
                </w:tcPr>
                <w:p w14:paraId="1B3A4796">
                  <w:pPr>
                    <w:snapToGrid w:val="0"/>
                    <w:jc w:val="center"/>
                    <w:rPr>
                      <w:rFonts w:ascii="Times New Roman" w:hAnsi="Times New Roman" w:cs="Times New Roman"/>
                      <w:snapToGrid w:val="0"/>
                      <w:spacing w:val="6"/>
                      <w:sz w:val="21"/>
                      <w:szCs w:val="21"/>
                    </w:rPr>
                  </w:pPr>
                  <w:r>
                    <w:rPr>
                      <w:rFonts w:ascii="Times New Roman" w:hAnsi="Times New Roman" w:cs="Times New Roman"/>
                      <w:snapToGrid w:val="0"/>
                      <w:spacing w:val="6"/>
                      <w:sz w:val="21"/>
                      <w:szCs w:val="21"/>
                    </w:rPr>
                    <w:t>1.0</w:t>
                  </w:r>
                </w:p>
              </w:tc>
            </w:tr>
          </w:tbl>
          <w:p w14:paraId="45EE9F59">
            <w:pPr>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运营期</w:t>
            </w:r>
            <w:r>
              <w:rPr>
                <w:rFonts w:hint="eastAsia" w:ascii="Times New Roman" w:hAnsi="Times New Roman" w:cs="Times New Roman"/>
                <w:sz w:val="24"/>
                <w:szCs w:val="24"/>
                <w:lang w:val="en-US" w:eastAsia="zh-CN"/>
              </w:rPr>
              <w:t>含煤尘废气排放</w:t>
            </w:r>
            <w:r>
              <w:rPr>
                <w:rFonts w:ascii="Times New Roman" w:hAnsi="Times New Roman" w:cs="Times New Roman"/>
                <w:sz w:val="24"/>
                <w:szCs w:val="24"/>
                <w:lang w:val="en-US"/>
              </w:rPr>
              <w:t>执</w:t>
            </w:r>
            <w:r>
              <w:rPr>
                <w:rFonts w:hint="eastAsia" w:ascii="Times New Roman" w:hAnsi="Times New Roman" w:cs="Times New Roman"/>
                <w:sz w:val="24"/>
                <w:szCs w:val="24"/>
                <w:lang w:val="en-US" w:eastAsia="zh-CN"/>
              </w:rPr>
              <w:t>行</w:t>
            </w:r>
            <w:r>
              <w:rPr>
                <w:rFonts w:hint="eastAsia" w:ascii="Times New Roman" w:hAnsi="Times New Roman" w:cs="Times New Roman"/>
                <w:sz w:val="24"/>
                <w:szCs w:val="24"/>
                <w:lang w:val="en-US"/>
              </w:rPr>
              <w:t>《</w:t>
            </w:r>
            <w:r>
              <w:rPr>
                <w:rFonts w:hint="eastAsia" w:ascii="Times New Roman" w:hAnsi="Times New Roman" w:cs="Times New Roman"/>
                <w:sz w:val="24"/>
                <w:szCs w:val="24"/>
                <w:lang w:val="en-US" w:eastAsia="zh-CN"/>
              </w:rPr>
              <w:t>煤炭工业污染物</w:t>
            </w:r>
            <w:r>
              <w:rPr>
                <w:rFonts w:hint="eastAsia" w:ascii="Times New Roman" w:hAnsi="Times New Roman" w:cs="Times New Roman"/>
                <w:sz w:val="24"/>
                <w:szCs w:val="24"/>
                <w:lang w:val="en-US"/>
              </w:rPr>
              <w:t>排放标准》（GB</w:t>
            </w:r>
            <w:r>
              <w:rPr>
                <w:rFonts w:hint="eastAsia" w:ascii="Times New Roman" w:hAnsi="Times New Roman" w:cs="Times New Roman"/>
                <w:sz w:val="24"/>
                <w:szCs w:val="24"/>
                <w:lang w:val="en-US" w:eastAsia="zh-CN"/>
              </w:rPr>
              <w:t>20426</w:t>
            </w:r>
            <w:r>
              <w:rPr>
                <w:rFonts w:hint="eastAsia" w:ascii="Times New Roman" w:hAnsi="Times New Roman" w:cs="Times New Roman"/>
                <w:sz w:val="24"/>
                <w:szCs w:val="24"/>
                <w:lang w:val="en-US"/>
              </w:rPr>
              <w:t>-</w:t>
            </w:r>
            <w:r>
              <w:rPr>
                <w:rFonts w:hint="eastAsia" w:ascii="Times New Roman" w:hAnsi="Times New Roman" w:cs="Times New Roman"/>
                <w:sz w:val="24"/>
                <w:szCs w:val="24"/>
                <w:lang w:val="en-US" w:eastAsia="zh-CN"/>
              </w:rPr>
              <w:t>2006</w:t>
            </w:r>
            <w:r>
              <w:rPr>
                <w:rFonts w:hint="eastAsia" w:ascii="Times New Roman" w:hAnsi="Times New Roman" w:cs="Times New Roman"/>
                <w:sz w:val="24"/>
                <w:szCs w:val="24"/>
                <w:lang w:val="en-US"/>
              </w:rPr>
              <w:t>）</w:t>
            </w:r>
            <w:r>
              <w:rPr>
                <w:rFonts w:hint="eastAsia" w:ascii="Times New Roman" w:hAnsi="Times New Roman" w:cs="Times New Roman"/>
                <w:sz w:val="24"/>
                <w:szCs w:val="24"/>
                <w:lang w:val="en-US" w:eastAsia="zh-CN"/>
              </w:rPr>
              <w:t>表5排放</w:t>
            </w:r>
            <w:r>
              <w:rPr>
                <w:rFonts w:hint="eastAsia" w:ascii="Times New Roman" w:hAnsi="Times New Roman" w:cs="Times New Roman"/>
                <w:sz w:val="24"/>
                <w:szCs w:val="24"/>
                <w:lang w:val="en-US"/>
              </w:rPr>
              <w:t>限值</w:t>
            </w:r>
            <w:r>
              <w:rPr>
                <w:rFonts w:ascii="Times New Roman" w:hAnsi="Times New Roman" w:cs="Times New Roman"/>
                <w:sz w:val="24"/>
                <w:szCs w:val="24"/>
                <w:lang w:val="en-US"/>
              </w:rPr>
              <w:t>。</w:t>
            </w:r>
          </w:p>
          <w:p w14:paraId="6C7E429B">
            <w:pPr>
              <w:pStyle w:val="11"/>
              <w:spacing w:line="360" w:lineRule="auto"/>
              <w:ind w:firstLine="482" w:firstLineChars="200"/>
              <w:jc w:val="center"/>
              <w:rPr>
                <w:rFonts w:ascii="Times New Roman" w:hAnsi="Times New Roman" w:cs="Times New Roman"/>
                <w:b/>
                <w:bCs/>
                <w:lang w:val="en-US"/>
              </w:rPr>
            </w:pPr>
            <w:r>
              <w:rPr>
                <w:rFonts w:ascii="Times New Roman" w:hAnsi="Times New Roman" w:cs="Times New Roman"/>
                <w:b/>
                <w:bCs/>
              </w:rPr>
              <w:t>表3-</w:t>
            </w:r>
            <w:r>
              <w:rPr>
                <w:rFonts w:hint="eastAsia" w:ascii="Times New Roman" w:hAnsi="Times New Roman" w:cs="Times New Roman"/>
                <w:b/>
                <w:bCs/>
                <w:lang w:val="en-US"/>
              </w:rPr>
              <w:t>7</w:t>
            </w:r>
            <w:r>
              <w:rPr>
                <w:rFonts w:ascii="Times New Roman" w:hAnsi="Times New Roman" w:cs="Times New Roman"/>
                <w:b/>
                <w:bCs/>
              </w:rPr>
              <w:t xml:space="preserve">  </w:t>
            </w:r>
            <w:r>
              <w:rPr>
                <w:rFonts w:hint="eastAsia" w:ascii="Times New Roman" w:hAnsi="Times New Roman" w:cs="Times New Roman"/>
                <w:b/>
                <w:bCs/>
                <w:lang w:val="en-US" w:eastAsia="zh-CN"/>
              </w:rPr>
              <w:t>煤炭工业污染物</w:t>
            </w:r>
            <w:r>
              <w:rPr>
                <w:rFonts w:ascii="Times New Roman" w:hAnsi="Times New Roman" w:cs="Times New Roman"/>
                <w:b/>
                <w:bCs/>
                <w:lang w:val="en-US"/>
              </w:rPr>
              <w:t>排放标准</w:t>
            </w:r>
            <w:r>
              <w:rPr>
                <w:rFonts w:ascii="Times New Roman" w:hAnsi="Times New Roman" w:cs="Times New Roman"/>
                <w:lang w:val="en-US"/>
              </w:rPr>
              <w:t xml:space="preserve">  </w:t>
            </w:r>
            <w:r>
              <w:rPr>
                <w:rFonts w:ascii="Times New Roman" w:hAnsi="Times New Roman" w:cs="Times New Roman"/>
                <w:b/>
                <w:bCs/>
                <w:lang w:val="en-US"/>
              </w:rPr>
              <w:t>mg/m</w:t>
            </w:r>
            <w:r>
              <w:rPr>
                <w:rFonts w:ascii="Times New Roman" w:hAnsi="Times New Roman" w:cs="Times New Roman"/>
                <w:b/>
                <w:bCs/>
                <w:vertAlign w:val="superscript"/>
                <w:lang w:val="en-US"/>
              </w:rPr>
              <w:t>3</w:t>
            </w:r>
          </w:p>
          <w:tbl>
            <w:tblPr>
              <w:tblStyle w:val="29"/>
              <w:tblW w:w="9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7"/>
              <w:gridCol w:w="1078"/>
              <w:gridCol w:w="1553"/>
              <w:gridCol w:w="2011"/>
              <w:gridCol w:w="3959"/>
            </w:tblGrid>
            <w:tr w14:paraId="6C81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53" w:type="pct"/>
                  <w:tcBorders>
                    <w:top w:val="single" w:color="000000" w:sz="12" w:space="0"/>
                    <w:left w:val="single" w:color="000000" w:sz="12" w:space="0"/>
                    <w:right w:val="single" w:color="000000" w:sz="4" w:space="0"/>
                    <w:tl2br w:val="nil"/>
                  </w:tcBorders>
                  <w:shd w:val="clear" w:color="auto" w:fill="auto"/>
                  <w:vAlign w:val="center"/>
                </w:tcPr>
                <w:p w14:paraId="5E4D03ED">
                  <w:pPr>
                    <w:snapToGrid w:val="0"/>
                    <w:jc w:val="center"/>
                    <w:rPr>
                      <w:rFonts w:hint="eastAsia"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污染物</w:t>
                  </w:r>
                </w:p>
              </w:tc>
              <w:tc>
                <w:tcPr>
                  <w:tcW w:w="2454" w:type="pct"/>
                  <w:gridSpan w:val="3"/>
                  <w:tcBorders>
                    <w:top w:val="single" w:color="000000" w:sz="12" w:space="0"/>
                    <w:left w:val="single" w:color="000000" w:sz="4" w:space="0"/>
                    <w:bottom w:val="single" w:color="000000" w:sz="4" w:space="0"/>
                    <w:right w:val="single" w:color="000000" w:sz="4" w:space="0"/>
                  </w:tcBorders>
                  <w:shd w:val="clear" w:color="auto" w:fill="auto"/>
                  <w:vAlign w:val="center"/>
                </w:tcPr>
                <w:p w14:paraId="371BA1F7">
                  <w:pPr>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具体指标</w:t>
                  </w:r>
                </w:p>
              </w:tc>
              <w:tc>
                <w:tcPr>
                  <w:tcW w:w="2092" w:type="pct"/>
                  <w:tcBorders>
                    <w:top w:val="single" w:color="000000" w:sz="12" w:space="0"/>
                    <w:left w:val="single" w:color="000000" w:sz="4" w:space="0"/>
                    <w:bottom w:val="single" w:color="000000" w:sz="4" w:space="0"/>
                    <w:right w:val="single" w:color="000000" w:sz="12" w:space="0"/>
                  </w:tcBorders>
                  <w:shd w:val="clear" w:color="auto" w:fill="auto"/>
                  <w:vAlign w:val="center"/>
                </w:tcPr>
                <w:p w14:paraId="2247BE5F">
                  <w:pPr>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标准来源</w:t>
                  </w:r>
                </w:p>
              </w:tc>
            </w:tr>
            <w:tr w14:paraId="4AC28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53" w:type="pct"/>
                  <w:vMerge w:val="restart"/>
                  <w:tcBorders>
                    <w:top w:val="single" w:color="000000" w:sz="4" w:space="0"/>
                    <w:left w:val="single" w:color="000000" w:sz="12" w:space="0"/>
                    <w:right w:val="single" w:color="000000" w:sz="4" w:space="0"/>
                  </w:tcBorders>
                  <w:shd w:val="clear" w:color="auto" w:fill="auto"/>
                  <w:vAlign w:val="center"/>
                </w:tcPr>
                <w:p w14:paraId="39467B42">
                  <w:pPr>
                    <w:snapToGrid w:val="0"/>
                    <w:jc w:val="center"/>
                    <w:rPr>
                      <w:rFonts w:hint="eastAsia"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污染物</w:t>
                  </w:r>
                </w:p>
              </w:tc>
              <w:tc>
                <w:tcPr>
                  <w:tcW w:w="570" w:type="pct"/>
                  <w:vMerge w:val="restart"/>
                  <w:tcBorders>
                    <w:top w:val="single" w:color="000000" w:sz="4" w:space="0"/>
                    <w:left w:val="single" w:color="000000" w:sz="4" w:space="0"/>
                    <w:right w:val="single" w:color="000000" w:sz="4" w:space="0"/>
                  </w:tcBorders>
                  <w:shd w:val="clear" w:color="auto" w:fill="auto"/>
                  <w:vAlign w:val="center"/>
                </w:tcPr>
                <w:p w14:paraId="67CC64F8">
                  <w:pPr>
                    <w:snapToGrid w:val="0"/>
                    <w:jc w:val="center"/>
                    <w:rPr>
                      <w:rFonts w:hint="eastAsia"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监控点</w:t>
                  </w:r>
                </w:p>
              </w:tc>
              <w:tc>
                <w:tcPr>
                  <w:tcW w:w="18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6559A8">
                  <w:pPr>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作业场所</w:t>
                  </w:r>
                </w:p>
              </w:tc>
              <w:tc>
                <w:tcPr>
                  <w:tcW w:w="2092" w:type="pct"/>
                  <w:vMerge w:val="restart"/>
                  <w:tcBorders>
                    <w:top w:val="single" w:color="000000" w:sz="4" w:space="0"/>
                    <w:left w:val="single" w:color="000000" w:sz="4" w:space="0"/>
                    <w:right w:val="single" w:color="000000" w:sz="12" w:space="0"/>
                  </w:tcBorders>
                  <w:shd w:val="clear" w:color="auto" w:fill="auto"/>
                  <w:vAlign w:val="center"/>
                </w:tcPr>
                <w:p w14:paraId="559B5BC0">
                  <w:pPr>
                    <w:snapToGrid w:val="0"/>
                    <w:jc w:val="center"/>
                    <w:rPr>
                      <w:rFonts w:ascii="Times New Roman" w:hAnsi="Times New Roman" w:cs="Times New Roman"/>
                      <w:b w:val="0"/>
                      <w:color w:val="auto"/>
                      <w:sz w:val="21"/>
                      <w:szCs w:val="21"/>
                    </w:rPr>
                  </w:pPr>
                  <w:r>
                    <w:rPr>
                      <w:rFonts w:hint="eastAsia" w:ascii="Times New Roman" w:hAnsi="Times New Roman" w:cs="Times New Roman"/>
                      <w:b w:val="0"/>
                      <w:color w:val="auto"/>
                      <w:sz w:val="21"/>
                      <w:szCs w:val="21"/>
                    </w:rPr>
                    <w:t>《煤炭工业污染物排放标准》（GB20426-2006）表</w:t>
                  </w:r>
                  <w:r>
                    <w:rPr>
                      <w:rFonts w:hint="eastAsia" w:ascii="Times New Roman" w:hAnsi="Times New Roman" w:cs="Times New Roman"/>
                      <w:b w:val="0"/>
                      <w:color w:val="auto"/>
                      <w:sz w:val="21"/>
                      <w:szCs w:val="21"/>
                      <w:lang w:val="en-US" w:eastAsia="zh-CN"/>
                    </w:rPr>
                    <w:t>5限值</w:t>
                  </w:r>
                </w:p>
              </w:tc>
            </w:tr>
            <w:tr w14:paraId="30AA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53" w:type="pct"/>
                  <w:vMerge w:val="continue"/>
                  <w:tcBorders>
                    <w:left w:val="single" w:color="000000" w:sz="12" w:space="0"/>
                    <w:right w:val="single" w:color="000000" w:sz="4" w:space="0"/>
                  </w:tcBorders>
                  <w:shd w:val="clear" w:color="auto" w:fill="auto"/>
                  <w:vAlign w:val="center"/>
                </w:tcPr>
                <w:p w14:paraId="7B75BFF1">
                  <w:pPr>
                    <w:snapToGrid w:val="0"/>
                    <w:jc w:val="center"/>
                    <w:rPr>
                      <w:rFonts w:ascii="Times New Roman" w:hAnsi="Times New Roman" w:cs="Times New Roman"/>
                      <w:b w:val="0"/>
                      <w:color w:val="auto"/>
                      <w:sz w:val="21"/>
                      <w:szCs w:val="21"/>
                    </w:rPr>
                  </w:pPr>
                </w:p>
              </w:tc>
              <w:tc>
                <w:tcPr>
                  <w:tcW w:w="570" w:type="pct"/>
                  <w:vMerge w:val="continue"/>
                  <w:tcBorders>
                    <w:left w:val="single" w:color="000000" w:sz="4" w:space="0"/>
                    <w:right w:val="single" w:color="000000" w:sz="4" w:space="0"/>
                  </w:tcBorders>
                  <w:shd w:val="clear" w:color="auto" w:fill="auto"/>
                  <w:vAlign w:val="center"/>
                </w:tcPr>
                <w:p w14:paraId="387B1CC3">
                  <w:pPr>
                    <w:snapToGrid w:val="0"/>
                    <w:jc w:val="center"/>
                    <w:rPr>
                      <w:rFonts w:ascii="Times New Roman" w:hAnsi="Times New Roman" w:cs="Times New Roman"/>
                      <w:b w:val="0"/>
                      <w:color w:val="auto"/>
                      <w:sz w:val="21"/>
                      <w:szCs w:val="21"/>
                    </w:rPr>
                  </w:pP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DDF95">
                  <w:pPr>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煤炭工业所属装卸场所</w:t>
                  </w:r>
                </w:p>
              </w:tc>
              <w:tc>
                <w:tcPr>
                  <w:tcW w:w="10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6F225">
                  <w:pPr>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煤炭贮存场所、煤矸石堆置场</w:t>
                  </w:r>
                </w:p>
              </w:tc>
              <w:tc>
                <w:tcPr>
                  <w:tcW w:w="2092" w:type="pct"/>
                  <w:vMerge w:val="continue"/>
                  <w:tcBorders>
                    <w:left w:val="single" w:color="000000" w:sz="4" w:space="0"/>
                    <w:right w:val="single" w:color="000000" w:sz="12" w:space="0"/>
                  </w:tcBorders>
                  <w:shd w:val="clear" w:color="auto" w:fill="auto"/>
                  <w:vAlign w:val="center"/>
                </w:tcPr>
                <w:p w14:paraId="266A569E">
                  <w:pPr>
                    <w:snapToGrid w:val="0"/>
                    <w:jc w:val="center"/>
                    <w:rPr>
                      <w:rFonts w:ascii="Times New Roman" w:hAnsi="Times New Roman" w:cs="Times New Roman"/>
                      <w:b w:val="0"/>
                      <w:color w:val="auto"/>
                      <w:sz w:val="21"/>
                      <w:szCs w:val="21"/>
                    </w:rPr>
                  </w:pPr>
                </w:p>
              </w:tc>
            </w:tr>
            <w:tr w14:paraId="401F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53" w:type="pct"/>
                  <w:vMerge w:val="continue"/>
                  <w:tcBorders>
                    <w:left w:val="single" w:color="000000" w:sz="12" w:space="0"/>
                    <w:bottom w:val="single" w:color="000000" w:sz="4" w:space="0"/>
                    <w:right w:val="single" w:color="000000" w:sz="4" w:space="0"/>
                  </w:tcBorders>
                  <w:shd w:val="clear" w:color="auto" w:fill="auto"/>
                  <w:vAlign w:val="center"/>
                </w:tcPr>
                <w:p w14:paraId="2ECCED80">
                  <w:pPr>
                    <w:snapToGrid w:val="0"/>
                    <w:jc w:val="center"/>
                    <w:rPr>
                      <w:rFonts w:ascii="Times New Roman" w:hAnsi="Times New Roman" w:cs="Times New Roman"/>
                      <w:b w:val="0"/>
                      <w:color w:val="auto"/>
                      <w:sz w:val="21"/>
                      <w:szCs w:val="21"/>
                    </w:rPr>
                  </w:pPr>
                </w:p>
              </w:tc>
              <w:tc>
                <w:tcPr>
                  <w:tcW w:w="570" w:type="pct"/>
                  <w:vMerge w:val="continue"/>
                  <w:tcBorders>
                    <w:left w:val="single" w:color="000000" w:sz="4" w:space="0"/>
                    <w:bottom w:val="single" w:color="000000" w:sz="4" w:space="0"/>
                    <w:right w:val="single" w:color="000000" w:sz="4" w:space="0"/>
                  </w:tcBorders>
                  <w:shd w:val="clear" w:color="auto" w:fill="auto"/>
                  <w:vAlign w:val="center"/>
                </w:tcPr>
                <w:p w14:paraId="39E69E6E">
                  <w:pPr>
                    <w:snapToGrid w:val="0"/>
                    <w:jc w:val="center"/>
                    <w:rPr>
                      <w:rFonts w:ascii="Times New Roman" w:hAnsi="Times New Roman" w:cs="Times New Roman"/>
                      <w:b w:val="0"/>
                      <w:color w:val="auto"/>
                      <w:sz w:val="21"/>
                      <w:szCs w:val="21"/>
                    </w:rPr>
                  </w:pPr>
                </w:p>
              </w:tc>
              <w:tc>
                <w:tcPr>
                  <w:tcW w:w="18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4DF5C">
                  <w:pPr>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无组织排放限值/（mg/m</w:t>
                  </w:r>
                  <w:r>
                    <w:rPr>
                      <w:rFonts w:hint="eastAsia" w:ascii="Times New Roman" w:hAnsi="Times New Roman" w:cs="Times New Roman"/>
                      <w:b w:val="0"/>
                      <w:color w:val="auto"/>
                      <w:sz w:val="21"/>
                      <w:szCs w:val="21"/>
                      <w:vertAlign w:val="superscript"/>
                      <w:lang w:val="en-US" w:eastAsia="zh-CN"/>
                    </w:rPr>
                    <w:t>3</w:t>
                  </w:r>
                  <w:r>
                    <w:rPr>
                      <w:rFonts w:hint="eastAsia" w:ascii="Times New Roman" w:hAnsi="Times New Roman" w:cs="Times New Roman"/>
                      <w:b w:val="0"/>
                      <w:color w:val="auto"/>
                      <w:sz w:val="21"/>
                      <w:szCs w:val="21"/>
                      <w:lang w:val="en-US" w:eastAsia="zh-CN"/>
                    </w:rPr>
                    <w:t>）</w:t>
                  </w:r>
                </w:p>
              </w:tc>
              <w:tc>
                <w:tcPr>
                  <w:tcW w:w="2092" w:type="pct"/>
                  <w:vMerge w:val="continue"/>
                  <w:tcBorders>
                    <w:left w:val="single" w:color="000000" w:sz="4" w:space="0"/>
                    <w:right w:val="single" w:color="000000" w:sz="12" w:space="0"/>
                  </w:tcBorders>
                  <w:shd w:val="clear" w:color="auto" w:fill="auto"/>
                  <w:vAlign w:val="center"/>
                </w:tcPr>
                <w:p w14:paraId="693C6ED1">
                  <w:pPr>
                    <w:snapToGrid w:val="0"/>
                    <w:jc w:val="center"/>
                    <w:rPr>
                      <w:rFonts w:ascii="Times New Roman" w:hAnsi="Times New Roman" w:cs="Times New Roman"/>
                      <w:b w:val="0"/>
                      <w:color w:val="auto"/>
                      <w:sz w:val="21"/>
                      <w:szCs w:val="21"/>
                    </w:rPr>
                  </w:pPr>
                </w:p>
              </w:tc>
            </w:tr>
            <w:tr w14:paraId="474D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53" w:type="pct"/>
                  <w:tcBorders>
                    <w:top w:val="single" w:color="000000" w:sz="4" w:space="0"/>
                    <w:left w:val="single" w:color="000000" w:sz="12" w:space="0"/>
                    <w:bottom w:val="single" w:color="000000" w:sz="12" w:space="0"/>
                    <w:right w:val="single" w:color="000000" w:sz="4" w:space="0"/>
                  </w:tcBorders>
                  <w:shd w:val="clear" w:color="auto" w:fill="auto"/>
                  <w:vAlign w:val="center"/>
                </w:tcPr>
                <w:p w14:paraId="171BA877">
                  <w:pPr>
                    <w:snapToGrid w:val="0"/>
                    <w:jc w:val="center"/>
                    <w:rPr>
                      <w:rFonts w:hint="eastAsia"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颗粒物</w:t>
                  </w:r>
                </w:p>
              </w:tc>
              <w:tc>
                <w:tcPr>
                  <w:tcW w:w="570"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020DF856">
                  <w:pPr>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周界外浓度最高点</w:t>
                  </w:r>
                </w:p>
              </w:tc>
              <w:tc>
                <w:tcPr>
                  <w:tcW w:w="1883" w:type="pct"/>
                  <w:gridSpan w:val="2"/>
                  <w:tcBorders>
                    <w:top w:val="single" w:color="000000" w:sz="4" w:space="0"/>
                    <w:left w:val="single" w:color="000000" w:sz="4" w:space="0"/>
                    <w:bottom w:val="single" w:color="000000" w:sz="12" w:space="0"/>
                    <w:right w:val="single" w:color="000000" w:sz="4" w:space="0"/>
                  </w:tcBorders>
                  <w:shd w:val="clear" w:color="auto" w:fill="auto"/>
                  <w:vAlign w:val="center"/>
                </w:tcPr>
                <w:p w14:paraId="31C59641">
                  <w:pPr>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cs="Times New Roman"/>
                      <w:b w:val="0"/>
                      <w:color w:val="auto"/>
                      <w:sz w:val="21"/>
                      <w:szCs w:val="21"/>
                      <w:lang w:val="en-US" w:eastAsia="zh-CN"/>
                    </w:rPr>
                    <w:t>1.0</w:t>
                  </w:r>
                </w:p>
              </w:tc>
              <w:tc>
                <w:tcPr>
                  <w:tcW w:w="2092" w:type="pct"/>
                  <w:vMerge w:val="continue"/>
                  <w:tcBorders>
                    <w:left w:val="single" w:color="000000" w:sz="4" w:space="0"/>
                    <w:bottom w:val="single" w:color="000000" w:sz="12" w:space="0"/>
                    <w:right w:val="single" w:color="000000" w:sz="12" w:space="0"/>
                  </w:tcBorders>
                  <w:shd w:val="clear" w:color="auto" w:fill="auto"/>
                  <w:vAlign w:val="center"/>
                </w:tcPr>
                <w:p w14:paraId="34414A3E">
                  <w:pPr>
                    <w:snapToGrid w:val="0"/>
                    <w:jc w:val="center"/>
                    <w:rPr>
                      <w:rFonts w:ascii="Times New Roman" w:hAnsi="Times New Roman" w:cs="Times New Roman"/>
                      <w:b w:val="0"/>
                      <w:color w:val="auto"/>
                      <w:sz w:val="21"/>
                      <w:szCs w:val="21"/>
                    </w:rPr>
                  </w:pPr>
                </w:p>
              </w:tc>
            </w:tr>
          </w:tbl>
          <w:p w14:paraId="71AAFBAE">
            <w:pPr>
              <w:tabs>
                <w:tab w:val="left" w:pos="605"/>
              </w:tabs>
              <w:spacing w:line="520" w:lineRule="exact"/>
              <w:ind w:firstLine="482" w:firstLineChars="200"/>
              <w:rPr>
                <w:rFonts w:ascii="Times New Roman" w:hAnsi="Times New Roman" w:cs="Times New Roman"/>
                <w:b/>
                <w:sz w:val="24"/>
              </w:rPr>
            </w:pPr>
            <w:r>
              <w:rPr>
                <w:rFonts w:ascii="Times New Roman" w:hAnsi="Times New Roman" w:cs="Times New Roman"/>
                <w:b/>
                <w:sz w:val="24"/>
              </w:rPr>
              <w:t>2</w:t>
            </w:r>
            <w:r>
              <w:rPr>
                <w:rFonts w:ascii="Times New Roman" w:hAnsi="Times New Roman" w:cs="Times New Roman"/>
                <w:b/>
                <w:bCs/>
                <w:sz w:val="24"/>
              </w:rPr>
              <w:t>、废水排放标准</w:t>
            </w:r>
          </w:p>
          <w:p w14:paraId="72E941AE">
            <w:pPr>
              <w:keepLines/>
              <w:topLinePunct/>
              <w:autoSpaceDE/>
              <w:autoSpaceDN/>
              <w:spacing w:line="500" w:lineRule="exact"/>
              <w:ind w:firstLine="480" w:firstLineChars="200"/>
              <w:jc w:val="both"/>
              <w:rPr>
                <w:rFonts w:ascii="Times New Roman" w:hAnsi="Times New Roman" w:cs="Times New Roman"/>
                <w:sz w:val="24"/>
                <w:lang w:val="en-US"/>
              </w:rPr>
            </w:pPr>
            <w:r>
              <w:rPr>
                <w:rFonts w:hint="eastAsia" w:ascii="Times New Roman" w:hAnsi="Times New Roman" w:cs="Times New Roman"/>
                <w:sz w:val="24"/>
                <w:lang w:val="en-US"/>
              </w:rPr>
              <w:t>本项目施工期及运营期生活污水及其他排水执行《污水综合排放标准》（GB8978-1996）三级标准及污水处理厂接管标准。</w:t>
            </w:r>
          </w:p>
          <w:p w14:paraId="24DF499E">
            <w:pPr>
              <w:pStyle w:val="11"/>
              <w:spacing w:line="360" w:lineRule="auto"/>
              <w:jc w:val="center"/>
              <w:rPr>
                <w:rFonts w:ascii="Times New Roman" w:hAnsi="Times New Roman" w:cs="Times New Roman"/>
                <w:b/>
                <w:bCs/>
                <w:lang w:val="en-US"/>
              </w:rPr>
            </w:pPr>
            <w:r>
              <w:rPr>
                <w:rFonts w:hint="eastAsia" w:ascii="Times New Roman" w:hAnsi="Times New Roman" w:cs="Times New Roman"/>
                <w:b/>
                <w:bCs/>
                <w:lang w:val="en-US"/>
              </w:rPr>
              <w:t>表3-9  项目水污染物标准限值 单位：mg/L（除pH外）</w:t>
            </w:r>
          </w:p>
          <w:tbl>
            <w:tblPr>
              <w:tblStyle w:val="28"/>
              <w:tblW w:w="494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520"/>
              <w:gridCol w:w="1877"/>
              <w:gridCol w:w="4940"/>
            </w:tblGrid>
            <w:tr w14:paraId="64C027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1349" w:type="pct"/>
                  <w:tcBorders>
                    <w:top w:val="single" w:color="000000" w:sz="4" w:space="0"/>
                    <w:left w:val="nil"/>
                    <w:bottom w:val="single" w:color="000000" w:sz="4" w:space="0"/>
                    <w:right w:val="single" w:color="000000" w:sz="4" w:space="0"/>
                    <w:tl2br w:val="nil"/>
                  </w:tcBorders>
                  <w:shd w:val="clear" w:color="auto" w:fill="auto"/>
                  <w:vAlign w:val="center"/>
                </w:tcPr>
                <w:p w14:paraId="22D7B7E5">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项目</w:t>
                  </w: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7F88D">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执行标准</w:t>
                  </w:r>
                </w:p>
              </w:tc>
              <w:tc>
                <w:tcPr>
                  <w:tcW w:w="2645" w:type="pct"/>
                  <w:tcBorders>
                    <w:top w:val="single" w:color="000000" w:sz="4" w:space="0"/>
                    <w:left w:val="single" w:color="000000" w:sz="4" w:space="0"/>
                    <w:bottom w:val="single" w:color="000000" w:sz="4" w:space="0"/>
                    <w:right w:val="nil"/>
                  </w:tcBorders>
                  <w:shd w:val="clear" w:color="auto" w:fill="auto"/>
                  <w:vAlign w:val="center"/>
                </w:tcPr>
                <w:p w14:paraId="1EDAB072">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依据</w:t>
                  </w:r>
                </w:p>
              </w:tc>
            </w:tr>
            <w:tr w14:paraId="169CD2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1349" w:type="pct"/>
                  <w:tcBorders>
                    <w:top w:val="single" w:color="000000" w:sz="4" w:space="0"/>
                    <w:left w:val="nil"/>
                    <w:bottom w:val="single" w:color="000000" w:sz="4" w:space="0"/>
                    <w:right w:val="single" w:color="000000" w:sz="4" w:space="0"/>
                  </w:tcBorders>
                  <w:shd w:val="clear" w:color="auto" w:fill="auto"/>
                  <w:vAlign w:val="center"/>
                </w:tcPr>
                <w:p w14:paraId="44781827">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pH</w:t>
                  </w: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3E6EE">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6.0～9</w:t>
                  </w:r>
                </w:p>
              </w:tc>
              <w:tc>
                <w:tcPr>
                  <w:tcW w:w="2645" w:type="pct"/>
                  <w:vMerge w:val="restart"/>
                  <w:tcBorders>
                    <w:top w:val="single" w:color="000000" w:sz="4" w:space="0"/>
                    <w:left w:val="single" w:color="000000" w:sz="4" w:space="0"/>
                    <w:bottom w:val="single" w:color="000000" w:sz="4" w:space="0"/>
                    <w:right w:val="nil"/>
                  </w:tcBorders>
                  <w:shd w:val="clear" w:color="auto" w:fill="auto"/>
                  <w:vAlign w:val="center"/>
                </w:tcPr>
                <w:p w14:paraId="64D4DB16">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《污水综合排放标准》</w:t>
                  </w:r>
                </w:p>
                <w:p w14:paraId="1B38DA2B">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（GB8978-1996）三级标准</w:t>
                  </w:r>
                </w:p>
              </w:tc>
            </w:tr>
            <w:tr w14:paraId="15D8B1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1349" w:type="pct"/>
                  <w:tcBorders>
                    <w:top w:val="single" w:color="000000" w:sz="4" w:space="0"/>
                    <w:left w:val="nil"/>
                    <w:bottom w:val="single" w:color="000000" w:sz="4" w:space="0"/>
                    <w:right w:val="single" w:color="000000" w:sz="4" w:space="0"/>
                  </w:tcBorders>
                  <w:shd w:val="clear" w:color="auto" w:fill="auto"/>
                  <w:vAlign w:val="center"/>
                </w:tcPr>
                <w:p w14:paraId="38DCAEFE">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CODCr</w:t>
                  </w: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1871F">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500</w:t>
                  </w:r>
                </w:p>
              </w:tc>
              <w:tc>
                <w:tcPr>
                  <w:tcW w:w="2645" w:type="pct"/>
                  <w:vMerge w:val="continue"/>
                  <w:tcBorders>
                    <w:top w:val="single" w:color="000000" w:sz="4" w:space="0"/>
                    <w:left w:val="single" w:color="000000" w:sz="4" w:space="0"/>
                    <w:bottom w:val="single" w:color="000000" w:sz="4" w:space="0"/>
                    <w:right w:val="nil"/>
                  </w:tcBorders>
                  <w:shd w:val="clear" w:color="auto" w:fill="auto"/>
                  <w:vAlign w:val="center"/>
                </w:tcPr>
                <w:p w14:paraId="38589A20">
                  <w:pPr>
                    <w:jc w:val="center"/>
                    <w:rPr>
                      <w:rFonts w:ascii="Times New Roman" w:hAnsi="Times New Roman" w:cs="Times New Roman"/>
                      <w:color w:val="000000"/>
                      <w:sz w:val="21"/>
                      <w:szCs w:val="21"/>
                      <w:lang w:val="en-US"/>
                    </w:rPr>
                  </w:pPr>
                </w:p>
              </w:tc>
            </w:tr>
            <w:tr w14:paraId="5AAAEE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 w:hRule="atLeast"/>
                <w:jc w:val="center"/>
              </w:trPr>
              <w:tc>
                <w:tcPr>
                  <w:tcW w:w="1349" w:type="pct"/>
                  <w:tcBorders>
                    <w:top w:val="single" w:color="000000" w:sz="4" w:space="0"/>
                    <w:left w:val="nil"/>
                    <w:bottom w:val="single" w:color="000000" w:sz="4" w:space="0"/>
                    <w:right w:val="single" w:color="000000" w:sz="4" w:space="0"/>
                  </w:tcBorders>
                  <w:shd w:val="clear" w:color="auto" w:fill="auto"/>
                  <w:vAlign w:val="center"/>
                </w:tcPr>
                <w:p w14:paraId="0323B085">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BOD5</w:t>
                  </w: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7FDEF">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300</w:t>
                  </w:r>
                </w:p>
              </w:tc>
              <w:tc>
                <w:tcPr>
                  <w:tcW w:w="2645" w:type="pct"/>
                  <w:vMerge w:val="continue"/>
                  <w:tcBorders>
                    <w:top w:val="single" w:color="000000" w:sz="4" w:space="0"/>
                    <w:left w:val="single" w:color="000000" w:sz="4" w:space="0"/>
                    <w:bottom w:val="single" w:color="000000" w:sz="4" w:space="0"/>
                    <w:right w:val="nil"/>
                  </w:tcBorders>
                  <w:shd w:val="clear" w:color="auto" w:fill="auto"/>
                  <w:vAlign w:val="center"/>
                </w:tcPr>
                <w:p w14:paraId="1066BF9A">
                  <w:pPr>
                    <w:jc w:val="center"/>
                    <w:rPr>
                      <w:rFonts w:ascii="Times New Roman" w:hAnsi="Times New Roman" w:cs="Times New Roman"/>
                      <w:color w:val="000000"/>
                      <w:sz w:val="21"/>
                      <w:szCs w:val="21"/>
                      <w:lang w:val="en-US"/>
                    </w:rPr>
                  </w:pPr>
                </w:p>
              </w:tc>
            </w:tr>
            <w:tr w14:paraId="0CFB33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 w:hRule="atLeast"/>
                <w:jc w:val="center"/>
              </w:trPr>
              <w:tc>
                <w:tcPr>
                  <w:tcW w:w="1349" w:type="pct"/>
                  <w:tcBorders>
                    <w:top w:val="single" w:color="000000" w:sz="4" w:space="0"/>
                    <w:left w:val="nil"/>
                    <w:bottom w:val="single" w:color="000000" w:sz="4" w:space="0"/>
                    <w:right w:val="single" w:color="000000" w:sz="4" w:space="0"/>
                  </w:tcBorders>
                  <w:shd w:val="clear" w:color="auto" w:fill="auto"/>
                  <w:vAlign w:val="center"/>
                </w:tcPr>
                <w:p w14:paraId="0F5EA3C5">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SS</w:t>
                  </w:r>
                </w:p>
              </w:tc>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0B42A">
                  <w:pPr>
                    <w:jc w:val="center"/>
                    <w:rPr>
                      <w:rFonts w:ascii="Times New Roman" w:hAnsi="Times New Roman" w:cs="Times New Roman"/>
                      <w:color w:val="000000"/>
                      <w:sz w:val="21"/>
                      <w:szCs w:val="21"/>
                      <w:lang w:val="en-US"/>
                    </w:rPr>
                  </w:pPr>
                  <w:r>
                    <w:rPr>
                      <w:rFonts w:ascii="Times New Roman" w:hAnsi="Times New Roman" w:cs="Times New Roman"/>
                      <w:color w:val="000000"/>
                      <w:sz w:val="21"/>
                      <w:szCs w:val="21"/>
                      <w:lang w:val="en-US"/>
                    </w:rPr>
                    <w:t>400</w:t>
                  </w:r>
                </w:p>
              </w:tc>
              <w:tc>
                <w:tcPr>
                  <w:tcW w:w="2645" w:type="pct"/>
                  <w:vMerge w:val="continue"/>
                  <w:tcBorders>
                    <w:top w:val="single" w:color="000000" w:sz="4" w:space="0"/>
                    <w:left w:val="single" w:color="000000" w:sz="4" w:space="0"/>
                    <w:bottom w:val="single" w:color="000000" w:sz="4" w:space="0"/>
                    <w:right w:val="nil"/>
                  </w:tcBorders>
                  <w:shd w:val="clear" w:color="auto" w:fill="auto"/>
                  <w:vAlign w:val="center"/>
                </w:tcPr>
                <w:p w14:paraId="62B582DB">
                  <w:pPr>
                    <w:jc w:val="center"/>
                    <w:rPr>
                      <w:rFonts w:ascii="Times New Roman" w:hAnsi="Times New Roman" w:cs="Times New Roman"/>
                      <w:color w:val="000000"/>
                      <w:sz w:val="21"/>
                      <w:szCs w:val="21"/>
                      <w:lang w:val="en-US"/>
                    </w:rPr>
                  </w:pPr>
                </w:p>
              </w:tc>
            </w:tr>
          </w:tbl>
          <w:p w14:paraId="23CEE06E">
            <w:pPr>
              <w:tabs>
                <w:tab w:val="left" w:pos="605"/>
              </w:tabs>
              <w:spacing w:line="520" w:lineRule="exact"/>
              <w:ind w:firstLine="482" w:firstLineChars="200"/>
              <w:rPr>
                <w:rFonts w:ascii="Times New Roman" w:hAnsi="Times New Roman" w:cs="Times New Roman"/>
                <w:b/>
                <w:bCs/>
                <w:sz w:val="24"/>
              </w:rPr>
            </w:pPr>
            <w:r>
              <w:rPr>
                <w:rFonts w:hint="eastAsia" w:ascii="Times New Roman" w:hAnsi="Times New Roman" w:cs="Times New Roman"/>
                <w:b/>
                <w:bCs/>
                <w:sz w:val="24"/>
                <w:lang w:val="en-US"/>
              </w:rPr>
              <w:t>3</w:t>
            </w:r>
            <w:r>
              <w:rPr>
                <w:rFonts w:ascii="Times New Roman" w:hAnsi="Times New Roman" w:cs="Times New Roman"/>
                <w:b/>
                <w:bCs/>
                <w:sz w:val="24"/>
              </w:rPr>
              <w:t>、噪声排放标准</w:t>
            </w:r>
          </w:p>
          <w:p w14:paraId="0BA8926F">
            <w:pPr>
              <w:keepLines/>
              <w:topLinePunct/>
              <w:autoSpaceDE/>
              <w:autoSpaceDN/>
              <w:spacing w:line="500" w:lineRule="exact"/>
              <w:ind w:firstLine="480" w:firstLineChars="200"/>
              <w:jc w:val="both"/>
              <w:rPr>
                <w:rFonts w:ascii="Times New Roman" w:hAnsi="Times New Roman" w:cs="Times New Roman"/>
                <w:sz w:val="24"/>
              </w:rPr>
            </w:pPr>
            <w:r>
              <w:rPr>
                <w:rFonts w:ascii="Times New Roman" w:hAnsi="Times New Roman" w:cs="Times New Roman"/>
                <w:sz w:val="24"/>
              </w:rPr>
              <w:t>施工噪声执行《建筑施工场界环境噪声排放标准》（GB12523-2011）；运营期厂界噪声《工业企业厂界环境噪声排放标准》（GB12348-2008）中</w:t>
            </w:r>
            <w:r>
              <w:rPr>
                <w:rFonts w:hint="eastAsia" w:ascii="Times New Roman" w:hAnsi="Times New Roman" w:cs="Times New Roman"/>
                <w:color w:val="auto"/>
                <w:sz w:val="24"/>
                <w:lang w:val="en-US" w:eastAsia="zh-CN"/>
              </w:rPr>
              <w:t>2</w:t>
            </w:r>
            <w:r>
              <w:rPr>
                <w:rFonts w:ascii="Times New Roman" w:hAnsi="Times New Roman" w:cs="Times New Roman"/>
                <w:color w:val="auto"/>
                <w:sz w:val="24"/>
              </w:rPr>
              <w:t>类标</w:t>
            </w:r>
            <w:r>
              <w:rPr>
                <w:rFonts w:ascii="Times New Roman" w:hAnsi="Times New Roman" w:cs="Times New Roman"/>
                <w:sz w:val="24"/>
              </w:rPr>
              <w:t>准限值，具体指标见表3-</w:t>
            </w:r>
            <w:r>
              <w:rPr>
                <w:rFonts w:hint="eastAsia" w:ascii="Times New Roman" w:hAnsi="Times New Roman" w:cs="Times New Roman"/>
                <w:sz w:val="24"/>
                <w:lang w:val="en-US"/>
              </w:rPr>
              <w:t>10</w:t>
            </w:r>
            <w:r>
              <w:rPr>
                <w:rFonts w:ascii="Times New Roman" w:hAnsi="Times New Roman" w:cs="Times New Roman"/>
                <w:sz w:val="24"/>
              </w:rPr>
              <w:t>。</w:t>
            </w:r>
          </w:p>
          <w:p w14:paraId="273E3725">
            <w:pPr>
              <w:keepLines/>
              <w:topLinePunct/>
              <w:autoSpaceDE/>
              <w:autoSpaceDN/>
              <w:spacing w:line="500" w:lineRule="exact"/>
              <w:ind w:firstLine="480" w:firstLineChars="200"/>
              <w:jc w:val="both"/>
              <w:rPr>
                <w:rFonts w:ascii="Times New Roman" w:hAnsi="Times New Roman" w:cs="Times New Roman"/>
                <w:sz w:val="24"/>
              </w:rPr>
            </w:pPr>
          </w:p>
          <w:p w14:paraId="4FC9191F">
            <w:pPr>
              <w:keepLines/>
              <w:topLinePunct/>
              <w:autoSpaceDE/>
              <w:autoSpaceDN/>
              <w:spacing w:line="500" w:lineRule="exact"/>
              <w:ind w:firstLine="480" w:firstLineChars="200"/>
              <w:jc w:val="both"/>
              <w:rPr>
                <w:rFonts w:ascii="Times New Roman" w:hAnsi="Times New Roman" w:cs="Times New Roman"/>
                <w:sz w:val="24"/>
              </w:rPr>
            </w:pPr>
          </w:p>
          <w:p w14:paraId="5D291797">
            <w:pPr>
              <w:ind w:firstLine="200"/>
              <w:jc w:val="center"/>
              <w:rPr>
                <w:rFonts w:ascii="Times New Roman" w:hAnsi="Times New Roman" w:cs="Times New Roman"/>
                <w:b/>
                <w:bCs/>
                <w:sz w:val="24"/>
              </w:rPr>
            </w:pPr>
            <w:r>
              <w:rPr>
                <w:rFonts w:ascii="Times New Roman" w:hAnsi="Times New Roman" w:cs="Times New Roman"/>
                <w:b/>
                <w:bCs/>
                <w:sz w:val="24"/>
              </w:rPr>
              <w:t>表3-</w:t>
            </w:r>
            <w:r>
              <w:rPr>
                <w:rFonts w:ascii="Times New Roman" w:hAnsi="Times New Roman" w:cs="Times New Roman"/>
                <w:b/>
                <w:bCs/>
                <w:sz w:val="24"/>
                <w:lang w:val="en-US"/>
              </w:rPr>
              <w:t>1</w:t>
            </w:r>
            <w:r>
              <w:rPr>
                <w:rFonts w:hint="eastAsia" w:ascii="Times New Roman" w:hAnsi="Times New Roman" w:cs="Times New Roman"/>
                <w:b/>
                <w:bCs/>
                <w:sz w:val="24"/>
                <w:lang w:val="en-US"/>
              </w:rPr>
              <w:t>0</w:t>
            </w:r>
            <w:r>
              <w:rPr>
                <w:rFonts w:ascii="Times New Roman" w:hAnsi="Times New Roman" w:cs="Times New Roman"/>
                <w:b/>
                <w:bCs/>
                <w:sz w:val="24"/>
                <w:lang w:val="en-US"/>
              </w:rPr>
              <w:t xml:space="preserve"> </w:t>
            </w:r>
            <w:r>
              <w:rPr>
                <w:rFonts w:ascii="Times New Roman" w:hAnsi="Times New Roman" w:cs="Times New Roman"/>
                <w:b/>
                <w:bCs/>
                <w:sz w:val="24"/>
              </w:rPr>
              <w:t xml:space="preserve">   噪声排放标准一览表</w:t>
            </w:r>
          </w:p>
          <w:tbl>
            <w:tblPr>
              <w:tblStyle w:val="28"/>
              <w:tblW w:w="4953" w:type="pct"/>
              <w:jc w:val="center"/>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762"/>
              <w:gridCol w:w="1698"/>
              <w:gridCol w:w="4594"/>
            </w:tblGrid>
            <w:tr w14:paraId="5FF245C9">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706" w:type="pct"/>
                  <w:vMerge w:val="restart"/>
                  <w:tcBorders>
                    <w:tl2br w:val="nil"/>
                    <w:tr2bl w:val="nil"/>
                  </w:tcBorders>
                  <w:vAlign w:val="center"/>
                </w:tcPr>
                <w:p w14:paraId="4B2E8454">
                  <w:pPr>
                    <w:widowControl/>
                    <w:spacing w:line="240" w:lineRule="exact"/>
                    <w:jc w:val="center"/>
                    <w:rPr>
                      <w:rFonts w:ascii="Times New Roman" w:hAnsi="Times New Roman" w:cs="Times New Roman"/>
                      <w:sz w:val="21"/>
                      <w:szCs w:val="21"/>
                    </w:rPr>
                  </w:pPr>
                  <w:r>
                    <w:rPr>
                      <w:rFonts w:ascii="Times New Roman" w:hAnsi="Times New Roman" w:cs="Times New Roman"/>
                      <w:sz w:val="21"/>
                      <w:szCs w:val="21"/>
                    </w:rPr>
                    <w:t>时期</w:t>
                  </w:r>
                </w:p>
              </w:tc>
              <w:tc>
                <w:tcPr>
                  <w:tcW w:w="1844" w:type="pct"/>
                  <w:gridSpan w:val="2"/>
                  <w:tcBorders>
                    <w:tl2br w:val="nil"/>
                    <w:tr2bl w:val="nil"/>
                  </w:tcBorders>
                  <w:vAlign w:val="center"/>
                </w:tcPr>
                <w:p w14:paraId="5642A7D6">
                  <w:pPr>
                    <w:spacing w:line="240" w:lineRule="exact"/>
                    <w:jc w:val="center"/>
                    <w:rPr>
                      <w:rFonts w:ascii="Times New Roman" w:hAnsi="Times New Roman" w:cs="Times New Roman"/>
                      <w:sz w:val="21"/>
                      <w:szCs w:val="21"/>
                    </w:rPr>
                  </w:pPr>
                  <w:r>
                    <w:rPr>
                      <w:rFonts w:ascii="Times New Roman" w:hAnsi="Times New Roman" w:cs="Times New Roman"/>
                      <w:sz w:val="21"/>
                      <w:szCs w:val="21"/>
                    </w:rPr>
                    <w:t>噪声限值Leq [dB（A）]</w:t>
                  </w:r>
                </w:p>
              </w:tc>
              <w:tc>
                <w:tcPr>
                  <w:tcW w:w="2449" w:type="pct"/>
                  <w:vMerge w:val="restart"/>
                  <w:tcBorders>
                    <w:tl2br w:val="nil"/>
                    <w:tr2bl w:val="nil"/>
                  </w:tcBorders>
                  <w:vAlign w:val="center"/>
                </w:tcPr>
                <w:p w14:paraId="2BD71570">
                  <w:pPr>
                    <w:widowControl/>
                    <w:spacing w:line="240" w:lineRule="exact"/>
                    <w:jc w:val="center"/>
                    <w:rPr>
                      <w:rFonts w:ascii="Times New Roman" w:hAnsi="Times New Roman" w:cs="Times New Roman"/>
                      <w:sz w:val="21"/>
                      <w:szCs w:val="21"/>
                    </w:rPr>
                  </w:pPr>
                  <w:r>
                    <w:rPr>
                      <w:rFonts w:ascii="Times New Roman" w:hAnsi="Times New Roman" w:cs="Times New Roman"/>
                      <w:sz w:val="21"/>
                      <w:szCs w:val="21"/>
                    </w:rPr>
                    <w:t>标准来源</w:t>
                  </w:r>
                </w:p>
              </w:tc>
            </w:tr>
            <w:tr w14:paraId="6BDF78CA">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06" w:type="pct"/>
                  <w:vMerge w:val="continue"/>
                  <w:tcBorders>
                    <w:tl2br w:val="nil"/>
                    <w:tr2bl w:val="nil"/>
                  </w:tcBorders>
                  <w:vAlign w:val="center"/>
                </w:tcPr>
                <w:p w14:paraId="7D8A6928">
                  <w:pPr>
                    <w:widowControl/>
                    <w:spacing w:line="240" w:lineRule="exact"/>
                    <w:jc w:val="center"/>
                    <w:rPr>
                      <w:rFonts w:ascii="Times New Roman" w:hAnsi="Times New Roman" w:cs="Times New Roman"/>
                      <w:sz w:val="21"/>
                      <w:szCs w:val="21"/>
                    </w:rPr>
                  </w:pPr>
                </w:p>
              </w:tc>
              <w:tc>
                <w:tcPr>
                  <w:tcW w:w="939" w:type="pct"/>
                  <w:tcBorders>
                    <w:tl2br w:val="nil"/>
                    <w:tr2bl w:val="nil"/>
                  </w:tcBorders>
                  <w:vAlign w:val="center"/>
                </w:tcPr>
                <w:p w14:paraId="11997E7B">
                  <w:pPr>
                    <w:spacing w:line="240" w:lineRule="exact"/>
                    <w:jc w:val="center"/>
                    <w:rPr>
                      <w:rFonts w:ascii="Times New Roman" w:hAnsi="Times New Roman" w:cs="Times New Roman"/>
                      <w:sz w:val="21"/>
                      <w:szCs w:val="21"/>
                    </w:rPr>
                  </w:pPr>
                  <w:r>
                    <w:rPr>
                      <w:rFonts w:ascii="Times New Roman" w:hAnsi="Times New Roman" w:cs="Times New Roman"/>
                      <w:sz w:val="21"/>
                      <w:szCs w:val="21"/>
                    </w:rPr>
                    <w:t>昼间</w:t>
                  </w:r>
                </w:p>
              </w:tc>
              <w:tc>
                <w:tcPr>
                  <w:tcW w:w="904" w:type="pct"/>
                  <w:tcBorders>
                    <w:tl2br w:val="nil"/>
                    <w:tr2bl w:val="nil"/>
                  </w:tcBorders>
                  <w:vAlign w:val="center"/>
                </w:tcPr>
                <w:p w14:paraId="16315F3A">
                  <w:pPr>
                    <w:widowControl/>
                    <w:spacing w:line="240" w:lineRule="exact"/>
                    <w:jc w:val="center"/>
                    <w:rPr>
                      <w:rFonts w:ascii="Times New Roman" w:hAnsi="Times New Roman" w:cs="Times New Roman"/>
                      <w:sz w:val="21"/>
                      <w:szCs w:val="21"/>
                    </w:rPr>
                  </w:pPr>
                  <w:r>
                    <w:rPr>
                      <w:rFonts w:ascii="Times New Roman" w:hAnsi="Times New Roman" w:cs="Times New Roman"/>
                      <w:sz w:val="21"/>
                      <w:szCs w:val="21"/>
                    </w:rPr>
                    <w:t>夜间</w:t>
                  </w:r>
                </w:p>
              </w:tc>
              <w:tc>
                <w:tcPr>
                  <w:tcW w:w="2449" w:type="pct"/>
                  <w:vMerge w:val="continue"/>
                  <w:tcBorders>
                    <w:tl2br w:val="nil"/>
                    <w:tr2bl w:val="nil"/>
                  </w:tcBorders>
                  <w:vAlign w:val="center"/>
                </w:tcPr>
                <w:p w14:paraId="75410A46">
                  <w:pPr>
                    <w:widowControl/>
                    <w:spacing w:line="240" w:lineRule="exact"/>
                    <w:jc w:val="center"/>
                    <w:rPr>
                      <w:rFonts w:ascii="Times New Roman" w:hAnsi="Times New Roman" w:cs="Times New Roman"/>
                      <w:sz w:val="21"/>
                      <w:szCs w:val="21"/>
                    </w:rPr>
                  </w:pPr>
                </w:p>
              </w:tc>
            </w:tr>
            <w:tr w14:paraId="3A7E9D08">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06" w:type="pct"/>
                  <w:tcBorders>
                    <w:tl2br w:val="nil"/>
                    <w:tr2bl w:val="nil"/>
                  </w:tcBorders>
                  <w:vAlign w:val="center"/>
                </w:tcPr>
                <w:p w14:paraId="0F8DF75E">
                  <w:pPr>
                    <w:widowControl/>
                    <w:spacing w:line="240" w:lineRule="exact"/>
                    <w:jc w:val="center"/>
                    <w:rPr>
                      <w:rFonts w:ascii="Times New Roman" w:hAnsi="Times New Roman" w:cs="Times New Roman"/>
                      <w:sz w:val="21"/>
                      <w:szCs w:val="21"/>
                    </w:rPr>
                  </w:pPr>
                  <w:r>
                    <w:rPr>
                      <w:rFonts w:ascii="Times New Roman" w:hAnsi="Times New Roman" w:cs="Times New Roman"/>
                      <w:sz w:val="21"/>
                      <w:szCs w:val="21"/>
                    </w:rPr>
                    <w:t>施工期</w:t>
                  </w:r>
                </w:p>
              </w:tc>
              <w:tc>
                <w:tcPr>
                  <w:tcW w:w="939" w:type="pct"/>
                  <w:tcBorders>
                    <w:tl2br w:val="nil"/>
                    <w:tr2bl w:val="nil"/>
                  </w:tcBorders>
                  <w:vAlign w:val="center"/>
                </w:tcPr>
                <w:p w14:paraId="13942E89">
                  <w:pPr>
                    <w:spacing w:line="240" w:lineRule="exact"/>
                    <w:jc w:val="center"/>
                    <w:rPr>
                      <w:rFonts w:ascii="Times New Roman" w:hAnsi="Times New Roman" w:cs="Times New Roman"/>
                      <w:sz w:val="21"/>
                      <w:szCs w:val="21"/>
                    </w:rPr>
                  </w:pPr>
                  <w:r>
                    <w:rPr>
                      <w:rFonts w:ascii="Times New Roman" w:hAnsi="Times New Roman" w:cs="Times New Roman"/>
                      <w:sz w:val="21"/>
                      <w:szCs w:val="21"/>
                    </w:rPr>
                    <w:t>70</w:t>
                  </w:r>
                </w:p>
              </w:tc>
              <w:tc>
                <w:tcPr>
                  <w:tcW w:w="904" w:type="pct"/>
                  <w:tcBorders>
                    <w:tl2br w:val="nil"/>
                    <w:tr2bl w:val="nil"/>
                  </w:tcBorders>
                  <w:vAlign w:val="center"/>
                </w:tcPr>
                <w:p w14:paraId="5FF69138">
                  <w:pPr>
                    <w:widowControl/>
                    <w:spacing w:line="240" w:lineRule="exact"/>
                    <w:jc w:val="center"/>
                    <w:rPr>
                      <w:rFonts w:ascii="Times New Roman" w:hAnsi="Times New Roman" w:cs="Times New Roman"/>
                      <w:sz w:val="21"/>
                      <w:szCs w:val="21"/>
                    </w:rPr>
                  </w:pPr>
                  <w:r>
                    <w:rPr>
                      <w:rFonts w:ascii="Times New Roman" w:hAnsi="Times New Roman" w:cs="Times New Roman"/>
                      <w:sz w:val="21"/>
                      <w:szCs w:val="21"/>
                    </w:rPr>
                    <w:t>55</w:t>
                  </w:r>
                </w:p>
              </w:tc>
              <w:tc>
                <w:tcPr>
                  <w:tcW w:w="2449" w:type="pct"/>
                  <w:tcBorders>
                    <w:tl2br w:val="nil"/>
                    <w:tr2bl w:val="nil"/>
                  </w:tcBorders>
                  <w:vAlign w:val="center"/>
                </w:tcPr>
                <w:p w14:paraId="66743B3F">
                  <w:pPr>
                    <w:widowControl/>
                    <w:spacing w:line="240" w:lineRule="exact"/>
                    <w:jc w:val="center"/>
                    <w:rPr>
                      <w:rFonts w:ascii="Times New Roman" w:hAnsi="Times New Roman" w:cs="Times New Roman"/>
                      <w:sz w:val="21"/>
                      <w:szCs w:val="21"/>
                    </w:rPr>
                  </w:pPr>
                  <w:r>
                    <w:rPr>
                      <w:rFonts w:ascii="Times New Roman" w:hAnsi="Times New Roman" w:cs="Times New Roman"/>
                      <w:sz w:val="21"/>
                      <w:szCs w:val="21"/>
                    </w:rPr>
                    <w:t>《建筑施工场界环境噪声排放标准》（GB12523-2011）的标准限值</w:t>
                  </w:r>
                </w:p>
              </w:tc>
            </w:tr>
            <w:tr w14:paraId="4843F6AB">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6" w:type="pct"/>
                  <w:tcBorders>
                    <w:tl2br w:val="nil"/>
                    <w:tr2bl w:val="nil"/>
                  </w:tcBorders>
                  <w:vAlign w:val="center"/>
                </w:tcPr>
                <w:p w14:paraId="73BB46E4">
                  <w:pPr>
                    <w:spacing w:line="240" w:lineRule="exact"/>
                    <w:jc w:val="center"/>
                    <w:rPr>
                      <w:rFonts w:ascii="Times New Roman" w:hAnsi="Times New Roman" w:cs="Times New Roman"/>
                      <w:sz w:val="21"/>
                      <w:szCs w:val="21"/>
                    </w:rPr>
                  </w:pPr>
                  <w:r>
                    <w:rPr>
                      <w:rFonts w:ascii="Times New Roman" w:hAnsi="Times New Roman" w:cs="Times New Roman"/>
                      <w:sz w:val="21"/>
                      <w:szCs w:val="21"/>
                    </w:rPr>
                    <w:t>运营期</w:t>
                  </w:r>
                </w:p>
              </w:tc>
              <w:tc>
                <w:tcPr>
                  <w:tcW w:w="939" w:type="pct"/>
                  <w:tcBorders>
                    <w:tl2br w:val="nil"/>
                    <w:tr2bl w:val="nil"/>
                  </w:tcBorders>
                  <w:vAlign w:val="center"/>
                </w:tcPr>
                <w:p w14:paraId="49575CE5">
                  <w:pPr>
                    <w:spacing w:line="24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60</w:t>
                  </w:r>
                </w:p>
              </w:tc>
              <w:tc>
                <w:tcPr>
                  <w:tcW w:w="904" w:type="pct"/>
                  <w:tcBorders>
                    <w:tl2br w:val="nil"/>
                    <w:tr2bl w:val="nil"/>
                  </w:tcBorders>
                  <w:vAlign w:val="center"/>
                </w:tcPr>
                <w:p w14:paraId="3746B876">
                  <w:pPr>
                    <w:spacing w:line="240" w:lineRule="exact"/>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50</w:t>
                  </w:r>
                </w:p>
              </w:tc>
              <w:tc>
                <w:tcPr>
                  <w:tcW w:w="2449" w:type="pct"/>
                  <w:tcBorders>
                    <w:tl2br w:val="nil"/>
                    <w:tr2bl w:val="nil"/>
                  </w:tcBorders>
                  <w:vAlign w:val="center"/>
                </w:tcPr>
                <w:p w14:paraId="0E71FD93">
                  <w:pPr>
                    <w:spacing w:line="240" w:lineRule="exact"/>
                    <w:jc w:val="center"/>
                    <w:rPr>
                      <w:rFonts w:ascii="Times New Roman" w:hAnsi="Times New Roman" w:cs="Times New Roman"/>
                      <w:sz w:val="21"/>
                      <w:szCs w:val="21"/>
                    </w:rPr>
                  </w:pPr>
                  <w:r>
                    <w:rPr>
                      <w:rFonts w:ascii="Times New Roman" w:hAnsi="Times New Roman" w:cs="Times New Roman"/>
                      <w:sz w:val="21"/>
                      <w:szCs w:val="21"/>
                    </w:rPr>
                    <w:t>《工业企业厂界环境噪声排放标准》（GB12348-2008中</w:t>
                  </w:r>
                  <w:r>
                    <w:rPr>
                      <w:rFonts w:hint="eastAsia" w:ascii="Times New Roman" w:hAnsi="Times New Roman" w:cs="Times New Roman"/>
                      <w:sz w:val="21"/>
                      <w:szCs w:val="21"/>
                      <w:lang w:val="en-US" w:eastAsia="zh-CN"/>
                    </w:rPr>
                    <w:t>2</w:t>
                  </w:r>
                  <w:r>
                    <w:rPr>
                      <w:rFonts w:ascii="Times New Roman" w:hAnsi="Times New Roman" w:cs="Times New Roman"/>
                      <w:sz w:val="21"/>
                      <w:szCs w:val="21"/>
                    </w:rPr>
                    <w:t>类标准限值）</w:t>
                  </w:r>
                </w:p>
              </w:tc>
            </w:tr>
          </w:tbl>
          <w:p w14:paraId="77263D4A">
            <w:pPr>
              <w:tabs>
                <w:tab w:val="left" w:pos="605"/>
              </w:tabs>
              <w:spacing w:line="520" w:lineRule="exact"/>
              <w:ind w:firstLine="482" w:firstLineChars="200"/>
              <w:rPr>
                <w:rFonts w:ascii="Times New Roman" w:hAnsi="Times New Roman" w:cs="Times New Roman"/>
                <w:b/>
                <w:sz w:val="24"/>
              </w:rPr>
            </w:pPr>
            <w:r>
              <w:rPr>
                <w:rFonts w:hint="eastAsia" w:ascii="Times New Roman" w:hAnsi="Times New Roman" w:cs="Times New Roman"/>
                <w:b/>
                <w:sz w:val="24"/>
                <w:lang w:val="en-US"/>
              </w:rPr>
              <w:t>4</w:t>
            </w:r>
            <w:r>
              <w:rPr>
                <w:rFonts w:ascii="Times New Roman" w:hAnsi="Times New Roman" w:cs="Times New Roman"/>
                <w:b/>
                <w:sz w:val="24"/>
              </w:rPr>
              <w:t>、固体废物排放</w:t>
            </w:r>
          </w:p>
          <w:p w14:paraId="0F6BEBDF">
            <w:pPr>
              <w:keepLines/>
              <w:topLinePunct/>
              <w:autoSpaceDE/>
              <w:autoSpaceDN/>
              <w:spacing w:line="500" w:lineRule="exact"/>
              <w:ind w:firstLine="480" w:firstLineChars="200"/>
              <w:jc w:val="both"/>
              <w:rPr>
                <w:rFonts w:ascii="Times New Roman" w:hAnsi="Times New Roman" w:cs="Times New Roman"/>
              </w:rPr>
            </w:pPr>
            <w:r>
              <w:rPr>
                <w:rFonts w:ascii="Times New Roman" w:hAnsi="Times New Roman" w:cs="Times New Roman"/>
                <w:sz w:val="24"/>
                <w:lang w:val="en-US"/>
              </w:rPr>
              <w:t>一般工业</w:t>
            </w:r>
            <w:r>
              <w:rPr>
                <w:rFonts w:ascii="Times New Roman" w:hAnsi="Times New Roman" w:cs="Times New Roman"/>
                <w:sz w:val="24"/>
              </w:rPr>
              <w:t>固体废物执行《一般工业固体废弃物贮存和填埋污染控制标准》（GB18599-2020）；危险废物执行《危险废物贮存污染控制标准》（GB18597-20</w:t>
            </w:r>
            <w:r>
              <w:rPr>
                <w:rFonts w:ascii="Times New Roman" w:hAnsi="Times New Roman" w:cs="Times New Roman"/>
                <w:sz w:val="24"/>
                <w:lang w:val="en-US"/>
              </w:rPr>
              <w:t>23</w:t>
            </w:r>
            <w:r>
              <w:rPr>
                <w:rFonts w:ascii="Times New Roman" w:hAnsi="Times New Roman" w:cs="Times New Roman"/>
                <w:sz w:val="24"/>
              </w:rPr>
              <w:t>）。</w:t>
            </w:r>
          </w:p>
        </w:tc>
      </w:tr>
      <w:tr w14:paraId="088C61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39" w:hRule="atLeast"/>
        </w:trPr>
        <w:tc>
          <w:tcPr>
            <w:tcW w:w="433" w:type="dxa"/>
            <w:tcBorders>
              <w:right w:val="single" w:color="000000" w:sz="4" w:space="0"/>
            </w:tcBorders>
            <w:vAlign w:val="center"/>
          </w:tcPr>
          <w:p w14:paraId="31D8895D">
            <w:pPr>
              <w:spacing w:line="520" w:lineRule="exact"/>
              <w:jc w:val="center"/>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总量控制指标</w:t>
            </w:r>
          </w:p>
        </w:tc>
        <w:tc>
          <w:tcPr>
            <w:tcW w:w="9492" w:type="dxa"/>
            <w:tcBorders>
              <w:left w:val="single" w:color="000000" w:sz="4" w:space="0"/>
              <w:bottom w:val="single" w:color="000000" w:sz="4" w:space="0"/>
            </w:tcBorders>
            <w:vAlign w:val="center"/>
          </w:tcPr>
          <w:p w14:paraId="52B5B430">
            <w:pPr>
              <w:spacing w:line="520" w:lineRule="exact"/>
              <w:jc w:val="center"/>
              <w:rPr>
                <w:rFonts w:hint="eastAsia"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无</w:t>
            </w:r>
          </w:p>
        </w:tc>
      </w:tr>
    </w:tbl>
    <w:p w14:paraId="7ACF71E1">
      <w:pPr>
        <w:pStyle w:val="26"/>
        <w:ind w:firstLine="0" w:firstLineChars="0"/>
        <w:rPr>
          <w:rFonts w:ascii="Times New Roman" w:hAnsi="Times New Roman" w:cs="Times New Roman"/>
          <w:lang w:val="en-US"/>
        </w:rPr>
        <w:sectPr>
          <w:pgSz w:w="11910" w:h="16840"/>
          <w:pgMar w:top="1440" w:right="879" w:bottom="1219" w:left="901" w:header="720" w:footer="1043" w:gutter="0"/>
          <w:cols w:space="0" w:num="1"/>
        </w:sectPr>
      </w:pPr>
    </w:p>
    <w:p w14:paraId="273DDE74">
      <w:pPr>
        <w:pStyle w:val="3"/>
        <w:keepNext/>
        <w:pageBreakBefore/>
        <w:spacing w:before="122"/>
        <w:ind w:left="391" w:right="414"/>
        <w:rPr>
          <w:rFonts w:ascii="Times New Roman" w:hAnsi="Times New Roman" w:cs="Times New Roman"/>
          <w:sz w:val="22"/>
        </w:rPr>
      </w:pPr>
      <w:bookmarkStart w:id="15" w:name="三、区域环境质量现状、环境保护目标及评价标准"/>
      <w:bookmarkEnd w:id="15"/>
      <w:bookmarkStart w:id="16" w:name="2、地表水环境质量标准"/>
      <w:bookmarkEnd w:id="16"/>
      <w:bookmarkStart w:id="17" w:name="_Toc6208"/>
      <w:bookmarkStart w:id="18" w:name="_Toc25416"/>
      <w:r>
        <w:rPr>
          <w:rFonts w:ascii="Times New Roman" w:hAnsi="Times New Roman" w:cs="Times New Roman"/>
        </w:rPr>
        <w:t>四、主要环境影响和保护措施</w:t>
      </w:r>
      <w:bookmarkEnd w:id="17"/>
      <w:bookmarkEnd w:id="18"/>
    </w:p>
    <w:tbl>
      <w:tblPr>
        <w:tblStyle w:val="2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478"/>
        <w:gridCol w:w="9450"/>
      </w:tblGrid>
      <w:tr w14:paraId="116278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0" w:hRule="atLeast"/>
          <w:jc w:val="center"/>
        </w:trPr>
        <w:tc>
          <w:tcPr>
            <w:tcW w:w="478" w:type="dxa"/>
            <w:tcBorders>
              <w:right w:val="single" w:color="000000" w:sz="4" w:space="0"/>
            </w:tcBorders>
            <w:vAlign w:val="center"/>
          </w:tcPr>
          <w:p w14:paraId="3C710BE4">
            <w:pPr>
              <w:keepNext/>
              <w:spacing w:line="520" w:lineRule="exact"/>
              <w:jc w:val="center"/>
              <w:rPr>
                <w:rFonts w:ascii="Times New Roman" w:hAnsi="Times New Roman" w:cs="Times New Roman"/>
                <w:color w:val="auto"/>
                <w:sz w:val="21"/>
              </w:rPr>
            </w:pPr>
            <w:r>
              <w:rPr>
                <w:rFonts w:ascii="Times New Roman" w:hAnsi="Times New Roman" w:cs="Times New Roman"/>
                <w:color w:val="auto"/>
                <w:sz w:val="24"/>
                <w:szCs w:val="28"/>
              </w:rPr>
              <w:t>施工期环境保护措施</w:t>
            </w:r>
          </w:p>
        </w:tc>
        <w:tc>
          <w:tcPr>
            <w:tcW w:w="9450" w:type="dxa"/>
            <w:tcBorders>
              <w:left w:val="single" w:color="000000" w:sz="4" w:space="0"/>
            </w:tcBorders>
            <w:vAlign w:val="center"/>
          </w:tcPr>
          <w:p w14:paraId="3433892B">
            <w:pPr>
              <w:keepNext/>
              <w:keepLines/>
              <w:autoSpaceDE/>
              <w:autoSpaceDN/>
              <w:spacing w:line="520" w:lineRule="exact"/>
              <w:ind w:firstLine="482" w:firstLineChars="200"/>
              <w:jc w:val="both"/>
              <w:rPr>
                <w:rFonts w:ascii="Times New Roman" w:hAnsi="Times New Roman" w:cs="Times New Roman"/>
                <w:b/>
                <w:bCs/>
                <w:color w:val="auto"/>
                <w:sz w:val="24"/>
                <w:lang w:val="en-US"/>
              </w:rPr>
            </w:pPr>
            <w:r>
              <w:rPr>
                <w:rFonts w:hint="eastAsia" w:ascii="Times New Roman" w:hAnsi="Times New Roman" w:cs="Times New Roman"/>
                <w:b/>
                <w:bCs/>
                <w:color w:val="auto"/>
                <w:sz w:val="24"/>
                <w:lang w:val="en-US"/>
              </w:rPr>
              <w:t>由于项目已建成，属于未批先建，施工期影响已结束，本次评价只回顾分析施工期</w:t>
            </w:r>
            <w:r>
              <w:rPr>
                <w:rFonts w:hint="eastAsia" w:ascii="Times New Roman" w:hAnsi="Times New Roman" w:cs="Times New Roman"/>
                <w:b/>
                <w:bCs/>
                <w:color w:val="auto"/>
                <w:sz w:val="24"/>
                <w:lang w:val="en-US" w:eastAsia="zh-CN"/>
              </w:rPr>
              <w:t>对各环境要素</w:t>
            </w:r>
            <w:r>
              <w:rPr>
                <w:rFonts w:hint="eastAsia" w:ascii="Times New Roman" w:hAnsi="Times New Roman" w:cs="Times New Roman"/>
                <w:b/>
                <w:bCs/>
                <w:color w:val="auto"/>
                <w:sz w:val="24"/>
                <w:lang w:val="en-US"/>
              </w:rPr>
              <w:t>采取的</w:t>
            </w:r>
            <w:r>
              <w:rPr>
                <w:rFonts w:hint="eastAsia" w:ascii="Times New Roman" w:hAnsi="Times New Roman" w:cs="Times New Roman"/>
                <w:b/>
                <w:bCs/>
                <w:color w:val="auto"/>
                <w:sz w:val="24"/>
                <w:lang w:val="en-US" w:eastAsia="zh-CN"/>
              </w:rPr>
              <w:t>环保</w:t>
            </w:r>
            <w:r>
              <w:rPr>
                <w:rFonts w:hint="eastAsia" w:ascii="Times New Roman" w:hAnsi="Times New Roman" w:cs="Times New Roman"/>
                <w:b/>
                <w:bCs/>
                <w:color w:val="auto"/>
                <w:sz w:val="24"/>
                <w:lang w:val="en-US"/>
              </w:rPr>
              <w:t>措施。</w:t>
            </w:r>
          </w:p>
          <w:p w14:paraId="351E984E">
            <w:pPr>
              <w:keepNext/>
              <w:keepLines/>
              <w:autoSpaceDE/>
              <w:autoSpaceDN/>
              <w:spacing w:line="520" w:lineRule="exact"/>
              <w:ind w:firstLine="482" w:firstLineChars="200"/>
              <w:jc w:val="both"/>
              <w:rPr>
                <w:rFonts w:ascii="Times New Roman" w:hAnsi="Times New Roman" w:cs="Times New Roman"/>
                <w:b/>
                <w:bCs/>
                <w:color w:val="auto"/>
                <w:sz w:val="24"/>
                <w:lang w:val="en-US"/>
              </w:rPr>
            </w:pPr>
            <w:r>
              <w:rPr>
                <w:rFonts w:ascii="Times New Roman" w:hAnsi="Times New Roman" w:cs="Times New Roman"/>
                <w:b/>
                <w:bCs/>
                <w:color w:val="auto"/>
                <w:sz w:val="24"/>
                <w:lang w:val="en-US"/>
              </w:rPr>
              <w:t>1、大气环境</w:t>
            </w:r>
            <w:r>
              <w:rPr>
                <w:rFonts w:hint="eastAsia" w:ascii="Times New Roman" w:hAnsi="Times New Roman" w:cs="Times New Roman"/>
                <w:b/>
                <w:bCs/>
                <w:color w:val="auto"/>
                <w:sz w:val="24"/>
                <w:lang w:val="en-US"/>
              </w:rPr>
              <w:t>保护措施</w:t>
            </w:r>
          </w:p>
          <w:p w14:paraId="1089C7D6">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ascii="Times New Roman" w:hAnsi="Times New Roman" w:cs="Times New Roman"/>
                <w:color w:val="auto"/>
                <w:sz w:val="24"/>
                <w:lang w:val="en-US"/>
              </w:rPr>
              <w:t>施工废气主要为施工扬尘。①施工期基础工程的开挖、临时堆放产生的扬尘。②建筑材料在装卸、堆放和使用过</w:t>
            </w:r>
            <w:r>
              <w:rPr>
                <w:rFonts w:hint="eastAsia" w:ascii="Times New Roman" w:hAnsi="Times New Roman" w:cs="Times New Roman"/>
                <w:color w:val="auto"/>
                <w:sz w:val="24"/>
                <w:lang w:val="en-US" w:eastAsia="zh-CN"/>
              </w:rPr>
              <w:t>程中</w:t>
            </w:r>
            <w:r>
              <w:rPr>
                <w:rFonts w:ascii="Times New Roman" w:hAnsi="Times New Roman" w:cs="Times New Roman"/>
                <w:color w:val="auto"/>
                <w:sz w:val="24"/>
                <w:lang w:val="en-US"/>
              </w:rPr>
              <w:t>会产生扬尘。③施工期车辆洒落的尘土一次扬尘污染和车辆运行时产生的二次扬尘污染均会对环境产生明显不利影响。扬尘的产生量及扬尘污染程度与车辆的运输方式、路面状况、天气条件等因素关系密切。</w:t>
            </w:r>
          </w:p>
          <w:p w14:paraId="09B401F8">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ascii="Times New Roman" w:hAnsi="Times New Roman" w:cs="Times New Roman"/>
                <w:color w:val="auto"/>
                <w:sz w:val="24"/>
                <w:lang w:val="en-US"/>
              </w:rPr>
              <w:t>为控制扬尘的影响，建设单位严格采取以下施工污染控制对策：</w:t>
            </w:r>
          </w:p>
          <w:p w14:paraId="651203AB">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ascii="Times New Roman" w:hAnsi="Times New Roman" w:cs="Times New Roman"/>
                <w:color w:val="auto"/>
                <w:sz w:val="24"/>
                <w:lang w:val="en-US"/>
              </w:rPr>
              <w:t>（1）工程建设期间，在施工区四周设置</w:t>
            </w:r>
            <w:r>
              <w:rPr>
                <w:rFonts w:hint="eastAsia" w:ascii="Times New Roman" w:hAnsi="Times New Roman" w:cs="Times New Roman"/>
                <w:color w:val="auto"/>
                <w:sz w:val="24"/>
                <w:lang w:val="en-US"/>
              </w:rPr>
              <w:t>1.8</w:t>
            </w:r>
            <w:r>
              <w:rPr>
                <w:rFonts w:ascii="Times New Roman" w:hAnsi="Times New Roman" w:cs="Times New Roman"/>
                <w:color w:val="auto"/>
                <w:sz w:val="24"/>
                <w:lang w:val="en-US"/>
              </w:rPr>
              <w:t>m以上的高围挡。</w:t>
            </w:r>
          </w:p>
          <w:p w14:paraId="69C287DC">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ascii="Times New Roman" w:hAnsi="Times New Roman" w:cs="Times New Roman"/>
                <w:color w:val="auto"/>
                <w:sz w:val="24"/>
                <w:lang w:val="en-US"/>
              </w:rPr>
              <w:t>（2）工程建设期间，其所使用的建筑材料主要是水泥、砂土等易起尘物料在装卸、堆放和使用过程会产生扬尘，全部入库贮存或者覆盖防尘布或防尘网，配合定期喷洒粉尘抑制剂等措施，防止风蚀起尘。</w:t>
            </w:r>
          </w:p>
          <w:p w14:paraId="09B4BEA5">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ascii="Times New Roman" w:hAnsi="Times New Roman" w:cs="Times New Roman"/>
                <w:color w:val="auto"/>
                <w:sz w:val="24"/>
                <w:lang w:val="en-US"/>
              </w:rPr>
              <w:t>（3）运输车辆道路扬尘强度除了与风速、湿度等因素有关，还与路面状况有关。施工单位加强管理，采用密封车辆、加盖</w:t>
            </w:r>
            <w:r>
              <w:rPr>
                <w:rFonts w:hint="eastAsia" w:ascii="Times New Roman" w:hAnsi="Times New Roman" w:cs="Times New Roman"/>
                <w:color w:val="auto"/>
                <w:sz w:val="24"/>
                <w:lang w:val="en-US" w:eastAsia="zh-CN"/>
              </w:rPr>
              <w:t>篷布</w:t>
            </w:r>
            <w:r>
              <w:rPr>
                <w:rFonts w:ascii="Times New Roman" w:hAnsi="Times New Roman" w:cs="Times New Roman"/>
                <w:color w:val="auto"/>
                <w:sz w:val="24"/>
                <w:lang w:val="en-US"/>
              </w:rPr>
              <w:t>防止泥土洒落地面和采取车辆冲洗及地面洒水等防范措施，以减少道路扬尘对环境的污染影响。</w:t>
            </w:r>
          </w:p>
          <w:p w14:paraId="19EF77D4">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ascii="Times New Roman" w:hAnsi="Times New Roman" w:cs="Times New Roman"/>
                <w:color w:val="auto"/>
                <w:sz w:val="24"/>
                <w:lang w:val="en-US"/>
              </w:rPr>
              <w:t>（4）施工期产生的弃土、弃渣在施工场地内临时堆放时，采用覆盖防尘网、防尘布，配合定期喷洒粉尘抑制剂等措施，防止风蚀起尘。</w:t>
            </w:r>
          </w:p>
          <w:p w14:paraId="72A30C57">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ascii="Times New Roman" w:hAnsi="Times New Roman" w:cs="Times New Roman"/>
                <w:color w:val="auto"/>
                <w:sz w:val="24"/>
                <w:lang w:val="en-US"/>
              </w:rPr>
              <w:t>工程施工期环境空气污染具有随时间变化程度大，漂移距离近、影响距离和范围小等特点，其影响只限于施工期，随建设期的结束而停止，不会产生累积的污染影响。</w:t>
            </w:r>
          </w:p>
          <w:p w14:paraId="733D0B42">
            <w:pPr>
              <w:keepNext/>
              <w:keepLines/>
              <w:autoSpaceDE/>
              <w:autoSpaceDN/>
              <w:spacing w:line="520" w:lineRule="exact"/>
              <w:ind w:firstLine="482" w:firstLineChars="200"/>
              <w:jc w:val="both"/>
              <w:rPr>
                <w:rFonts w:ascii="Times New Roman" w:hAnsi="Times New Roman" w:cs="Times New Roman"/>
                <w:b/>
                <w:bCs/>
                <w:color w:val="auto"/>
                <w:sz w:val="24"/>
                <w:lang w:val="en-US"/>
              </w:rPr>
            </w:pPr>
            <w:r>
              <w:rPr>
                <w:rFonts w:ascii="Times New Roman" w:hAnsi="Times New Roman" w:cs="Times New Roman"/>
                <w:b/>
                <w:bCs/>
                <w:color w:val="auto"/>
                <w:sz w:val="24"/>
                <w:lang w:val="en-US"/>
              </w:rPr>
              <w:t>2、水环境</w:t>
            </w:r>
            <w:r>
              <w:rPr>
                <w:rFonts w:hint="eastAsia" w:ascii="Times New Roman" w:hAnsi="Times New Roman" w:cs="Times New Roman"/>
                <w:b/>
                <w:bCs/>
                <w:color w:val="auto"/>
                <w:sz w:val="24"/>
                <w:lang w:val="en-US"/>
              </w:rPr>
              <w:t>保护措施</w:t>
            </w:r>
          </w:p>
          <w:p w14:paraId="0E37AFD7">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ascii="Times New Roman" w:hAnsi="Times New Roman" w:cs="Times New Roman"/>
                <w:color w:val="auto"/>
                <w:sz w:val="24"/>
                <w:lang w:val="en-US"/>
              </w:rPr>
              <w:t>项目施工期废水主要为施工废水和施工人员产生的生活污水。施工废水包括砂石冲洗水、养护水、场地冲洗水以及机械设备运转的冷却水和洗涤水、混凝土搅拌机及输送系统冲洗废水，施工废水经沉沙池沉淀处理后回收利用。</w:t>
            </w:r>
            <w:r>
              <w:rPr>
                <w:rFonts w:hint="eastAsia" w:ascii="Times New Roman" w:hAnsi="Times New Roman" w:cs="Times New Roman"/>
                <w:color w:val="auto"/>
                <w:sz w:val="24"/>
                <w:lang w:val="en-US"/>
              </w:rPr>
              <w:t>场地设有化粪池，项目施工期生活污水经化粪池收集预处理后，拉运处理，不外排</w:t>
            </w:r>
            <w:r>
              <w:rPr>
                <w:rFonts w:ascii="Times New Roman" w:hAnsi="Times New Roman" w:cs="Times New Roman"/>
                <w:color w:val="auto"/>
                <w:sz w:val="24"/>
                <w:lang w:val="en-US"/>
              </w:rPr>
              <w:t>。</w:t>
            </w:r>
          </w:p>
          <w:p w14:paraId="4BECAE2D">
            <w:pPr>
              <w:keepNext/>
              <w:keepLines/>
              <w:autoSpaceDE/>
              <w:autoSpaceDN/>
              <w:spacing w:line="520" w:lineRule="exact"/>
              <w:ind w:firstLine="482" w:firstLineChars="200"/>
              <w:jc w:val="both"/>
              <w:rPr>
                <w:rFonts w:ascii="Times New Roman" w:hAnsi="Times New Roman" w:cs="Times New Roman"/>
                <w:b/>
                <w:bCs/>
                <w:color w:val="auto"/>
                <w:sz w:val="24"/>
                <w:lang w:val="en-US"/>
              </w:rPr>
            </w:pPr>
            <w:r>
              <w:rPr>
                <w:rFonts w:ascii="Times New Roman" w:hAnsi="Times New Roman" w:cs="Times New Roman"/>
                <w:b/>
                <w:bCs/>
                <w:color w:val="auto"/>
                <w:sz w:val="24"/>
                <w:lang w:val="en-US"/>
              </w:rPr>
              <w:t>3、声环境</w:t>
            </w:r>
            <w:r>
              <w:rPr>
                <w:rFonts w:hint="eastAsia" w:ascii="Times New Roman" w:hAnsi="Times New Roman" w:cs="Times New Roman"/>
                <w:b/>
                <w:bCs/>
                <w:color w:val="auto"/>
                <w:sz w:val="24"/>
                <w:lang w:val="en-US"/>
              </w:rPr>
              <w:t>保护措施</w:t>
            </w:r>
          </w:p>
          <w:p w14:paraId="4A8EB57F">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ascii="Times New Roman" w:hAnsi="Times New Roman" w:cs="Times New Roman"/>
                <w:color w:val="auto"/>
                <w:sz w:val="24"/>
                <w:lang w:val="en-US"/>
              </w:rPr>
              <w:t>施工现场噪声主要是施工机械的设备噪声。</w:t>
            </w:r>
            <w:r>
              <w:rPr>
                <w:rFonts w:hint="eastAsia" w:ascii="Times New Roman" w:hAnsi="Times New Roman" w:cs="Times New Roman"/>
                <w:color w:val="auto"/>
                <w:sz w:val="24"/>
                <w:lang w:val="en-US" w:eastAsia="zh-CN"/>
              </w:rPr>
              <w:t>项目</w:t>
            </w:r>
            <w:r>
              <w:rPr>
                <w:rFonts w:ascii="Times New Roman" w:hAnsi="Times New Roman" w:cs="Times New Roman"/>
                <w:color w:val="auto"/>
                <w:sz w:val="24"/>
                <w:lang w:val="en-US"/>
              </w:rPr>
              <w:t>采取选用低噪声施工设备和技术；合理安排施工时间和施工进度等措施，施工期的噪声影响是暂时的，随着施工的结束而结束。</w:t>
            </w:r>
          </w:p>
          <w:p w14:paraId="0B469B99">
            <w:pPr>
              <w:keepNext/>
              <w:keepLines/>
              <w:autoSpaceDE/>
              <w:autoSpaceDN/>
              <w:spacing w:line="520" w:lineRule="exact"/>
              <w:ind w:firstLine="482" w:firstLineChars="200"/>
              <w:jc w:val="both"/>
              <w:rPr>
                <w:rFonts w:ascii="Times New Roman" w:hAnsi="Times New Roman" w:cs="Times New Roman"/>
                <w:b/>
                <w:bCs/>
                <w:color w:val="auto"/>
                <w:sz w:val="24"/>
                <w:lang w:val="en-US"/>
              </w:rPr>
            </w:pPr>
            <w:r>
              <w:rPr>
                <w:rFonts w:ascii="Times New Roman" w:hAnsi="Times New Roman" w:cs="Times New Roman"/>
                <w:b/>
                <w:bCs/>
                <w:color w:val="auto"/>
                <w:sz w:val="24"/>
                <w:lang w:val="en-US"/>
              </w:rPr>
              <w:t>4、固体废物</w:t>
            </w:r>
            <w:r>
              <w:rPr>
                <w:rFonts w:hint="eastAsia" w:ascii="Times New Roman" w:hAnsi="Times New Roman" w:cs="Times New Roman"/>
                <w:b/>
                <w:bCs/>
                <w:color w:val="auto"/>
                <w:sz w:val="24"/>
                <w:lang w:val="en-US"/>
              </w:rPr>
              <w:t>环境保护措施</w:t>
            </w:r>
          </w:p>
          <w:p w14:paraId="089D1A68">
            <w:pPr>
              <w:pStyle w:val="41"/>
              <w:adjustRightInd w:val="0"/>
              <w:snapToGrid w:val="0"/>
              <w:spacing w:line="520" w:lineRule="exact"/>
              <w:ind w:firstLine="480"/>
              <w:rPr>
                <w:rFonts w:ascii="Times New Roman" w:hAnsi="Times New Roman" w:eastAsia="宋体" w:cs="Times New Roman"/>
                <w:color w:val="auto"/>
                <w:szCs w:val="20"/>
              </w:rPr>
            </w:pPr>
            <w:r>
              <w:rPr>
                <w:rFonts w:ascii="Times New Roman" w:hAnsi="Times New Roman" w:eastAsia="宋体" w:cs="Times New Roman"/>
                <w:color w:val="auto"/>
                <w:szCs w:val="20"/>
              </w:rPr>
              <w:t>项目施工期固废主要为</w:t>
            </w:r>
            <w:r>
              <w:rPr>
                <w:rFonts w:ascii="Times New Roman" w:hAnsi="Times New Roman" w:eastAsia="宋体" w:cs="Times New Roman"/>
                <w:bCs/>
                <w:color w:val="auto"/>
                <w:szCs w:val="20"/>
              </w:rPr>
              <w:t>建筑垃圾、弃土</w:t>
            </w:r>
            <w:r>
              <w:rPr>
                <w:rFonts w:ascii="Times New Roman" w:hAnsi="Times New Roman" w:eastAsia="宋体" w:cs="Times New Roman"/>
                <w:color w:val="auto"/>
                <w:szCs w:val="20"/>
              </w:rPr>
              <w:t>和生活垃圾。对固体废物进行分类收集，建筑垃圾送市政部门指定地点填埋；弃土用于场地周边平整；生活垃圾</w:t>
            </w:r>
            <w:r>
              <w:rPr>
                <w:rFonts w:ascii="Times New Roman" w:hAnsi="Times New Roman" w:eastAsia="宋体" w:cs="Times New Roman"/>
                <w:bCs/>
                <w:color w:val="auto"/>
                <w:szCs w:val="20"/>
              </w:rPr>
              <w:t>由环卫部门接收，送垃圾填埋场填埋</w:t>
            </w:r>
            <w:r>
              <w:rPr>
                <w:rFonts w:ascii="Times New Roman" w:hAnsi="Times New Roman" w:eastAsia="宋体" w:cs="Times New Roman"/>
                <w:color w:val="auto"/>
                <w:szCs w:val="20"/>
              </w:rPr>
              <w:t>。</w:t>
            </w:r>
          </w:p>
          <w:p w14:paraId="13215A83">
            <w:pPr>
              <w:keepNext/>
              <w:keepLines/>
              <w:autoSpaceDE/>
              <w:autoSpaceDN/>
              <w:spacing w:line="520" w:lineRule="exact"/>
              <w:ind w:firstLine="482" w:firstLineChars="200"/>
              <w:jc w:val="both"/>
              <w:rPr>
                <w:rFonts w:ascii="Times New Roman" w:hAnsi="Times New Roman" w:cs="Times New Roman"/>
                <w:b/>
                <w:bCs/>
                <w:color w:val="auto"/>
                <w:sz w:val="24"/>
                <w:lang w:val="en-US"/>
              </w:rPr>
            </w:pPr>
            <w:r>
              <w:rPr>
                <w:rFonts w:ascii="Times New Roman" w:hAnsi="Times New Roman" w:cs="Times New Roman"/>
                <w:b/>
                <w:bCs/>
                <w:color w:val="auto"/>
                <w:sz w:val="24"/>
                <w:lang w:val="en-US"/>
              </w:rPr>
              <w:t>5、生态影响分析</w:t>
            </w:r>
          </w:p>
          <w:p w14:paraId="507A5C1C">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hint="eastAsia" w:ascii="Times New Roman" w:hAnsi="Times New Roman" w:cs="Times New Roman"/>
                <w:color w:val="auto"/>
                <w:sz w:val="24"/>
                <w:lang w:val="en-US"/>
              </w:rPr>
              <w:t>项目施工期生态影响主要是植被破坏与土壤流失。采取的生态保护措施主要有：</w:t>
            </w:r>
          </w:p>
          <w:p w14:paraId="25CF3709">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hint="eastAsia" w:ascii="Times New Roman" w:hAnsi="Times New Roman" w:cs="Times New Roman"/>
                <w:color w:val="auto"/>
                <w:sz w:val="24"/>
                <w:lang w:val="en-US"/>
              </w:rPr>
              <w:t>（1）加强管理，划定施工范围，施工区控制在项目红线范围内，减少施工用地，禁止车辆、机械随意扩大施工范围。</w:t>
            </w:r>
          </w:p>
          <w:p w14:paraId="0809949D">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hint="eastAsia" w:ascii="Times New Roman" w:hAnsi="Times New Roman" w:cs="Times New Roman"/>
                <w:color w:val="auto"/>
                <w:sz w:val="24"/>
                <w:lang w:val="en-US"/>
              </w:rPr>
              <w:t>（2）为降低施工对植被的影响，在工程施工区设置警示牌，标明施工活动区，严令禁止到非施工区域活动。</w:t>
            </w:r>
          </w:p>
          <w:p w14:paraId="39A7B25B">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hint="eastAsia" w:ascii="Times New Roman" w:hAnsi="Times New Roman" w:cs="Times New Roman"/>
                <w:color w:val="auto"/>
                <w:sz w:val="24"/>
                <w:lang w:val="en-US"/>
              </w:rPr>
              <w:t>（3）尽量缩短施工期，避开雨季，减少土地裸露，防止水土流失。</w:t>
            </w:r>
          </w:p>
          <w:p w14:paraId="071FCD4F">
            <w:pPr>
              <w:keepNext/>
              <w:keepLines/>
              <w:autoSpaceDE/>
              <w:autoSpaceDN/>
              <w:spacing w:line="520" w:lineRule="exact"/>
              <w:ind w:firstLine="480" w:firstLineChars="200"/>
              <w:jc w:val="both"/>
              <w:rPr>
                <w:rFonts w:ascii="Times New Roman" w:hAnsi="Times New Roman" w:cs="Times New Roman"/>
                <w:color w:val="auto"/>
                <w:sz w:val="24"/>
                <w:lang w:val="en-US"/>
              </w:rPr>
            </w:pPr>
            <w:r>
              <w:rPr>
                <w:rFonts w:hint="eastAsia" w:ascii="Times New Roman" w:hAnsi="Times New Roman" w:cs="Times New Roman"/>
                <w:color w:val="auto"/>
                <w:sz w:val="24"/>
                <w:lang w:val="en-US"/>
              </w:rPr>
              <w:t>（4）施工过程产生的土方，应堆放至合理临时堆放点，并采取防尘网苫盖、洒水抑尘等措施，施工完成后及时回填。合理调配挖方段和填方段的作业时间，避免挖出的土方长期闲置暴露。</w:t>
            </w:r>
          </w:p>
        </w:tc>
      </w:tr>
      <w:tr w14:paraId="505373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0" w:hRule="atLeast"/>
          <w:jc w:val="center"/>
        </w:trPr>
        <w:tc>
          <w:tcPr>
            <w:tcW w:w="478" w:type="dxa"/>
            <w:tcBorders>
              <w:right w:val="single" w:color="000000" w:sz="4" w:space="0"/>
            </w:tcBorders>
            <w:vAlign w:val="center"/>
          </w:tcPr>
          <w:p w14:paraId="19B0F588">
            <w:pPr>
              <w:spacing w:line="520" w:lineRule="exact"/>
              <w:jc w:val="center"/>
              <w:rPr>
                <w:rFonts w:ascii="Times New Roman" w:hAnsi="Times New Roman" w:cs="Times New Roman"/>
                <w:color w:val="auto"/>
                <w:sz w:val="24"/>
                <w:szCs w:val="24"/>
              </w:rPr>
            </w:pPr>
            <w:r>
              <w:rPr>
                <w:rFonts w:ascii="Times New Roman" w:hAnsi="Times New Roman" w:cs="Times New Roman"/>
                <w:color w:val="auto"/>
                <w:sz w:val="24"/>
                <w:szCs w:val="28"/>
              </w:rPr>
              <w:t>运营期环境影响和保护措施</w:t>
            </w:r>
          </w:p>
        </w:tc>
        <w:tc>
          <w:tcPr>
            <w:tcW w:w="9450" w:type="dxa"/>
            <w:tcBorders>
              <w:left w:val="single" w:color="000000" w:sz="4" w:space="0"/>
            </w:tcBorders>
            <w:vAlign w:val="center"/>
          </w:tcPr>
          <w:p w14:paraId="44F1C9F0">
            <w:pPr>
              <w:pStyle w:val="6"/>
              <w:spacing w:line="360" w:lineRule="auto"/>
              <w:rPr>
                <w:rFonts w:hint="eastAsia" w:ascii="Times New Roman" w:hAnsi="Times New Roman" w:eastAsia="宋体" w:cs="Times New Roman"/>
                <w:color w:val="auto"/>
                <w:kern w:val="21"/>
                <w:sz w:val="24"/>
                <w:szCs w:val="22"/>
                <w:lang w:val="zh-CN" w:eastAsia="zh-CN" w:bidi="zh-CN"/>
              </w:rPr>
            </w:pPr>
            <w:r>
              <w:rPr>
                <w:rFonts w:hint="eastAsia" w:ascii="Times New Roman" w:hAnsi="Times New Roman" w:eastAsia="宋体" w:cs="Times New Roman"/>
                <w:color w:val="auto"/>
                <w:kern w:val="21"/>
                <w:sz w:val="24"/>
                <w:szCs w:val="22"/>
                <w:lang w:val="zh-CN" w:eastAsia="zh-CN" w:bidi="zh-CN"/>
              </w:rPr>
              <w:t>1、</w:t>
            </w:r>
            <w:r>
              <w:rPr>
                <w:rFonts w:hint="eastAsia" w:ascii="Times New Roman" w:hAnsi="Times New Roman" w:cs="Times New Roman"/>
                <w:color w:val="auto"/>
                <w:kern w:val="21"/>
                <w:sz w:val="24"/>
                <w:szCs w:val="22"/>
                <w:lang w:val="en-US" w:eastAsia="zh-CN" w:bidi="zh-CN"/>
              </w:rPr>
              <w:t>大气环境影响分析</w:t>
            </w:r>
            <w:r>
              <w:rPr>
                <w:rFonts w:hint="eastAsia" w:ascii="Times New Roman" w:hAnsi="Times New Roman" w:eastAsia="宋体" w:cs="Times New Roman"/>
                <w:color w:val="auto"/>
                <w:kern w:val="21"/>
                <w:sz w:val="24"/>
                <w:szCs w:val="22"/>
                <w:lang w:val="en-US" w:eastAsia="zh-CN" w:bidi="zh-CN"/>
              </w:rPr>
              <w:t xml:space="preserve"> </w:t>
            </w:r>
          </w:p>
          <w:p w14:paraId="1254F381">
            <w:pPr>
              <w:spacing w:line="440" w:lineRule="exact"/>
              <w:ind w:firstLine="480" w:firstLineChars="200"/>
              <w:rPr>
                <w:color w:val="auto"/>
                <w:kern w:val="0"/>
                <w:sz w:val="24"/>
                <w:szCs w:val="22"/>
              </w:rPr>
            </w:pPr>
            <w:r>
              <w:rPr>
                <w:rFonts w:hint="eastAsia"/>
                <w:color w:val="auto"/>
                <w:kern w:val="0"/>
                <w:sz w:val="24"/>
                <w:szCs w:val="22"/>
                <w:lang w:val="en-US" w:eastAsia="zh-CN"/>
              </w:rPr>
              <w:t>原项目洗选生产设施及生产工艺全部不变，因洗煤工艺及设备均未改变，洗煤工序的粉尘源强不变，</w:t>
            </w:r>
            <w:r>
              <w:rPr>
                <w:rFonts w:hint="eastAsia"/>
                <w:color w:val="auto"/>
                <w:kern w:val="0"/>
                <w:sz w:val="24"/>
                <w:szCs w:val="22"/>
              </w:rPr>
              <w:t>本次煤棚未批先建部分与原环评批复部分无法单独区分计算煤炭储存量，故本次评价</w:t>
            </w:r>
            <w:r>
              <w:rPr>
                <w:rFonts w:hint="eastAsia"/>
                <w:color w:val="auto"/>
                <w:kern w:val="0"/>
                <w:sz w:val="24"/>
                <w:szCs w:val="22"/>
                <w:lang w:val="en-US" w:eastAsia="zh-CN"/>
              </w:rPr>
              <w:t>只针对</w:t>
            </w:r>
            <w:r>
              <w:rPr>
                <w:rFonts w:hint="eastAsia"/>
                <w:color w:val="auto"/>
                <w:kern w:val="0"/>
                <w:sz w:val="24"/>
                <w:szCs w:val="22"/>
              </w:rPr>
              <w:t>全厂洗选煤炭120万吨/年产能核算其储存、装载、运输过程废气</w:t>
            </w:r>
            <w:r>
              <w:rPr>
                <w:rFonts w:hint="eastAsia"/>
                <w:color w:val="auto"/>
                <w:kern w:val="0"/>
                <w:sz w:val="24"/>
                <w:szCs w:val="22"/>
                <w:lang w:eastAsia="zh-CN"/>
              </w:rPr>
              <w:t>。</w:t>
            </w:r>
            <w:r>
              <w:rPr>
                <w:rFonts w:hint="eastAsia"/>
                <w:color w:val="auto"/>
                <w:kern w:val="0"/>
                <w:sz w:val="24"/>
                <w:szCs w:val="22"/>
              </w:rPr>
              <w:t>按最大产能核算后若粉尘无组织排放达标，则未批先建部分涉及各股废气粉尘亦可达标排放。</w:t>
            </w:r>
          </w:p>
          <w:p w14:paraId="06E740EF">
            <w:pPr>
              <w:spacing w:line="440" w:lineRule="exact"/>
              <w:ind w:firstLine="480" w:firstLineChars="200"/>
              <w:rPr>
                <w:color w:val="auto"/>
                <w:kern w:val="0"/>
                <w:sz w:val="24"/>
                <w:szCs w:val="22"/>
              </w:rPr>
            </w:pPr>
            <w:r>
              <w:rPr>
                <w:color w:val="auto"/>
                <w:kern w:val="0"/>
                <w:sz w:val="24"/>
                <w:szCs w:val="22"/>
              </w:rPr>
              <w:t>（1）储存堆放、装载粉尘</w:t>
            </w:r>
          </w:p>
          <w:p w14:paraId="70B2C9C4">
            <w:pPr>
              <w:spacing w:line="440" w:lineRule="exact"/>
              <w:ind w:firstLine="480" w:firstLineChars="200"/>
              <w:rPr>
                <w:color w:val="auto"/>
                <w:kern w:val="0"/>
                <w:sz w:val="24"/>
                <w:szCs w:val="22"/>
              </w:rPr>
            </w:pPr>
            <w:r>
              <w:rPr>
                <w:rFonts w:hint="eastAsia" w:ascii="宋体" w:hAnsi="宋体"/>
                <w:color w:val="auto"/>
                <w:kern w:val="0"/>
                <w:sz w:val="24"/>
                <w:szCs w:val="22"/>
              </w:rPr>
              <w:t>①</w:t>
            </w:r>
            <w:r>
              <w:rPr>
                <w:rFonts w:hint="eastAsia"/>
                <w:color w:val="auto"/>
                <w:kern w:val="0"/>
                <w:sz w:val="24"/>
                <w:szCs w:val="22"/>
              </w:rPr>
              <w:t>颗粒物产生量核算</w:t>
            </w:r>
          </w:p>
          <w:p w14:paraId="15F36635">
            <w:pPr>
              <w:spacing w:line="440" w:lineRule="exact"/>
              <w:ind w:firstLine="480" w:firstLineChars="200"/>
              <w:rPr>
                <w:color w:val="auto"/>
                <w:kern w:val="0"/>
                <w:sz w:val="24"/>
                <w:szCs w:val="22"/>
              </w:rPr>
            </w:pPr>
            <w:r>
              <w:rPr>
                <w:rFonts w:hint="eastAsia"/>
                <w:color w:val="auto"/>
                <w:kern w:val="0"/>
                <w:sz w:val="24"/>
                <w:szCs w:val="22"/>
              </w:rPr>
              <w:t>根据《排放源统计调查产排污核算方法和系数手册》 附表2工业源固体物料堆场颗粒物核算系数手册，“工业企业固体物料堆存颗粒物包括装卸</w:t>
            </w:r>
            <w:r>
              <w:rPr>
                <w:rFonts w:hint="eastAsia"/>
                <w:color w:val="auto"/>
                <w:kern w:val="0"/>
                <w:sz w:val="24"/>
                <w:szCs w:val="22"/>
                <w:lang w:eastAsia="zh-CN"/>
              </w:rPr>
              <w:t>扬</w:t>
            </w:r>
            <w:r>
              <w:rPr>
                <w:rFonts w:hint="eastAsia"/>
                <w:color w:val="auto"/>
                <w:kern w:val="0"/>
                <w:sz w:val="24"/>
                <w:szCs w:val="22"/>
              </w:rPr>
              <w:t>尘和风蚀扬尘”，工业固体物料堆放装卸和堆存引起的扬尘量如下：</w:t>
            </w:r>
          </w:p>
          <w:p w14:paraId="3A435882">
            <w:pPr>
              <w:spacing w:line="440" w:lineRule="exact"/>
              <w:ind w:firstLine="480" w:firstLineChars="200"/>
              <w:rPr>
                <w:rFonts w:hint="default" w:ascii="Times New Roman" w:hAnsi="Times New Roman" w:eastAsia="宋体" w:cs="Times New Roman"/>
                <w:color w:val="auto"/>
                <w:kern w:val="0"/>
                <w:sz w:val="24"/>
                <w:szCs w:val="22"/>
                <w:lang w:val="en-US" w:eastAsia="zh-CN"/>
              </w:rPr>
            </w:pPr>
            <w:r>
              <w:rPr>
                <w:rFonts w:ascii="Cambria Math" w:hAnsi="Cambria Math" w:cs="Cambria Math"/>
                <w:color w:val="auto"/>
                <w:kern w:val="0"/>
                <w:sz w:val="24"/>
                <w:szCs w:val="22"/>
              </w:rPr>
              <w:t>𝑃</w:t>
            </w:r>
            <w:r>
              <w:rPr>
                <w:color w:val="auto"/>
                <w:kern w:val="0"/>
                <w:sz w:val="24"/>
                <w:szCs w:val="22"/>
              </w:rPr>
              <w:t xml:space="preserve"> = </w:t>
            </w:r>
            <w:r>
              <w:rPr>
                <w:rFonts w:ascii="Cambria Math" w:hAnsi="Cambria Math" w:cs="Cambria Math"/>
                <w:color w:val="auto"/>
                <w:kern w:val="0"/>
                <w:sz w:val="24"/>
                <w:szCs w:val="22"/>
              </w:rPr>
              <w:t>𝑍𝐶</w:t>
            </w:r>
            <w:r>
              <w:rPr>
                <w:rFonts w:ascii="Cambria Math" w:hAnsi="Cambria Math" w:cs="Cambria Math"/>
                <w:color w:val="auto"/>
                <w:kern w:val="0"/>
                <w:sz w:val="24"/>
                <w:szCs w:val="22"/>
                <w:vertAlign w:val="subscript"/>
              </w:rPr>
              <w:t>𝑦</w:t>
            </w:r>
            <w:r>
              <w:rPr>
                <w:color w:val="auto"/>
                <w:kern w:val="0"/>
                <w:sz w:val="24"/>
                <w:szCs w:val="22"/>
              </w:rPr>
              <w:t xml:space="preserve"> + </w:t>
            </w:r>
            <w:r>
              <w:rPr>
                <w:rFonts w:ascii="Cambria Math" w:hAnsi="Cambria Math" w:cs="Cambria Math"/>
                <w:color w:val="auto"/>
                <w:kern w:val="0"/>
                <w:sz w:val="24"/>
                <w:szCs w:val="22"/>
              </w:rPr>
              <w:t>𝐹𝐶</w:t>
            </w:r>
            <w:r>
              <w:rPr>
                <w:rFonts w:ascii="Cambria Math" w:hAnsi="Cambria Math" w:cs="Cambria Math"/>
                <w:color w:val="auto"/>
                <w:kern w:val="0"/>
                <w:sz w:val="24"/>
                <w:szCs w:val="22"/>
                <w:vertAlign w:val="subscript"/>
              </w:rPr>
              <w:t>𝑦</w:t>
            </w:r>
            <w:r>
              <w:rPr>
                <w:color w:val="auto"/>
                <w:kern w:val="0"/>
                <w:sz w:val="24"/>
                <w:szCs w:val="22"/>
              </w:rPr>
              <w:t xml:space="preserve"> = {</w:t>
            </w:r>
            <w:r>
              <w:rPr>
                <w:rFonts w:ascii="Cambria Math" w:hAnsi="Cambria Math" w:cs="Cambria Math"/>
                <w:color w:val="auto"/>
                <w:kern w:val="0"/>
                <w:sz w:val="24"/>
                <w:szCs w:val="22"/>
              </w:rPr>
              <w:t>𝑁</w:t>
            </w:r>
            <w:r>
              <w:rPr>
                <w:rFonts w:ascii="Cambria Math" w:hAnsi="Cambria Math" w:cs="Cambria Math"/>
                <w:color w:val="auto"/>
                <w:kern w:val="0"/>
                <w:sz w:val="24"/>
                <w:szCs w:val="22"/>
                <w:vertAlign w:val="subscript"/>
              </w:rPr>
              <w:t>𝐶</w:t>
            </w:r>
            <w:r>
              <w:rPr>
                <w:color w:val="auto"/>
                <w:kern w:val="0"/>
                <w:sz w:val="24"/>
                <w:szCs w:val="22"/>
              </w:rPr>
              <w:t xml:space="preserve"> × </w:t>
            </w:r>
            <w:r>
              <w:rPr>
                <w:rFonts w:ascii="Cambria Math" w:hAnsi="Cambria Math" w:cs="Cambria Math"/>
                <w:color w:val="auto"/>
                <w:kern w:val="0"/>
                <w:sz w:val="24"/>
                <w:szCs w:val="22"/>
              </w:rPr>
              <w:t>𝐷</w:t>
            </w:r>
            <w:r>
              <w:rPr>
                <w:color w:val="auto"/>
                <w:kern w:val="0"/>
                <w:sz w:val="24"/>
                <w:szCs w:val="22"/>
              </w:rPr>
              <w:t xml:space="preserve"> × (</w:t>
            </w:r>
            <w:r>
              <w:rPr>
                <w:rFonts w:ascii="Cambria Math" w:hAnsi="Cambria Math" w:cs="Cambria Math"/>
                <w:color w:val="auto"/>
                <w:kern w:val="0"/>
                <w:sz w:val="24"/>
                <w:szCs w:val="22"/>
              </w:rPr>
              <w:t>𝑎</w:t>
            </w:r>
            <w:r>
              <w:rPr>
                <w:color w:val="auto"/>
                <w:kern w:val="0"/>
                <w:sz w:val="24"/>
                <w:szCs w:val="22"/>
              </w:rPr>
              <w:t>⁄</w:t>
            </w:r>
            <w:r>
              <w:rPr>
                <w:rFonts w:ascii="Cambria Math" w:hAnsi="Cambria Math" w:cs="Cambria Math"/>
                <w:color w:val="auto"/>
                <w:kern w:val="0"/>
                <w:sz w:val="24"/>
                <w:szCs w:val="22"/>
              </w:rPr>
              <w:t>𝑏</w:t>
            </w:r>
            <w:r>
              <w:rPr>
                <w:color w:val="auto"/>
                <w:kern w:val="0"/>
                <w:sz w:val="24"/>
                <w:szCs w:val="22"/>
              </w:rPr>
              <w:t>) + 2 × E</w:t>
            </w:r>
            <w:r>
              <w:rPr>
                <w:rFonts w:ascii="Cambria Math" w:hAnsi="Cambria Math" w:cs="Cambria Math"/>
                <w:color w:val="auto"/>
                <w:kern w:val="0"/>
                <w:sz w:val="24"/>
                <w:szCs w:val="22"/>
                <w:vertAlign w:val="subscript"/>
              </w:rPr>
              <w:t>𝑓</w:t>
            </w:r>
            <w:r>
              <w:rPr>
                <w:color w:val="auto"/>
                <w:kern w:val="0"/>
                <w:sz w:val="24"/>
                <w:szCs w:val="22"/>
              </w:rPr>
              <w:t xml:space="preserve"> × </w:t>
            </w:r>
            <w:r>
              <w:rPr>
                <w:rFonts w:ascii="Cambria Math" w:hAnsi="Cambria Math" w:cs="Cambria Math"/>
                <w:color w:val="auto"/>
                <w:kern w:val="0"/>
                <w:sz w:val="24"/>
                <w:szCs w:val="22"/>
              </w:rPr>
              <w:t>𝑆</w:t>
            </w:r>
            <w:r>
              <w:rPr>
                <w:color w:val="auto"/>
                <w:kern w:val="0"/>
                <w:sz w:val="24"/>
                <w:szCs w:val="22"/>
              </w:rPr>
              <w:t>}</w:t>
            </w:r>
            <w:r>
              <w:rPr>
                <w:rFonts w:hint="default" w:ascii="Times New Roman" w:hAnsi="Times New Roman" w:cs="Times New Roman"/>
                <w:color w:val="auto"/>
                <w:kern w:val="0"/>
                <w:sz w:val="24"/>
                <w:szCs w:val="22"/>
              </w:rPr>
              <w:t xml:space="preserve"> × 10</w:t>
            </w:r>
            <w:r>
              <w:rPr>
                <w:rFonts w:hint="default" w:ascii="Times New Roman" w:hAnsi="Times New Roman" w:cs="Times New Roman"/>
                <w:color w:val="auto"/>
                <w:kern w:val="0"/>
                <w:sz w:val="24"/>
                <w:szCs w:val="22"/>
                <w:vertAlign w:val="superscript"/>
                <w:lang w:val="en-US" w:eastAsia="zh-CN"/>
              </w:rPr>
              <w:t>-3</w:t>
            </w:r>
          </w:p>
          <w:p w14:paraId="0B43F7C8">
            <w:pPr>
              <w:spacing w:line="440" w:lineRule="exact"/>
              <w:ind w:firstLine="480" w:firstLineChars="200"/>
              <w:rPr>
                <w:color w:val="auto"/>
                <w:kern w:val="0"/>
                <w:sz w:val="24"/>
                <w:szCs w:val="22"/>
              </w:rPr>
            </w:pPr>
            <w:r>
              <w:rPr>
                <w:rFonts w:hint="eastAsia"/>
                <w:color w:val="auto"/>
                <w:kern w:val="0"/>
                <w:sz w:val="24"/>
                <w:szCs w:val="22"/>
              </w:rPr>
              <w:t>式中： P 指颗粒物产生量（t）；</w:t>
            </w:r>
          </w:p>
          <w:p w14:paraId="49856063">
            <w:pPr>
              <w:spacing w:line="440" w:lineRule="exact"/>
              <w:ind w:firstLine="480" w:firstLineChars="200"/>
              <w:rPr>
                <w:color w:val="auto"/>
                <w:kern w:val="0"/>
                <w:sz w:val="24"/>
                <w:szCs w:val="22"/>
              </w:rPr>
            </w:pPr>
            <w:r>
              <w:rPr>
                <w:rFonts w:ascii="Cambria Math" w:hAnsi="Cambria Math" w:cs="Cambria Math"/>
                <w:color w:val="auto"/>
                <w:kern w:val="0"/>
                <w:sz w:val="24"/>
                <w:szCs w:val="22"/>
              </w:rPr>
              <w:t>𝑍𝐶</w:t>
            </w:r>
            <w:r>
              <w:rPr>
                <w:rFonts w:ascii="Cambria Math" w:hAnsi="Cambria Math" w:cs="Cambria Math"/>
                <w:color w:val="auto"/>
                <w:kern w:val="0"/>
                <w:sz w:val="24"/>
                <w:szCs w:val="22"/>
                <w:vertAlign w:val="subscript"/>
              </w:rPr>
              <w:t>𝑦</w:t>
            </w:r>
            <w:r>
              <w:rPr>
                <w:rFonts w:hint="eastAsia"/>
                <w:color w:val="auto"/>
                <w:kern w:val="0"/>
                <w:sz w:val="24"/>
                <w:szCs w:val="22"/>
              </w:rPr>
              <w:t>指装卸扬尘产生量（t） ；</w:t>
            </w:r>
          </w:p>
          <w:p w14:paraId="1CCFA0AA">
            <w:pPr>
              <w:spacing w:line="440" w:lineRule="exact"/>
              <w:ind w:firstLine="480" w:firstLineChars="200"/>
              <w:rPr>
                <w:color w:val="auto"/>
                <w:kern w:val="0"/>
                <w:sz w:val="24"/>
                <w:szCs w:val="22"/>
              </w:rPr>
            </w:pPr>
            <w:r>
              <w:rPr>
                <w:rFonts w:ascii="Cambria Math" w:hAnsi="Cambria Math" w:cs="Cambria Math"/>
                <w:color w:val="auto"/>
                <w:kern w:val="0"/>
                <w:sz w:val="24"/>
                <w:szCs w:val="22"/>
              </w:rPr>
              <w:t>𝐹𝐶</w:t>
            </w:r>
            <w:r>
              <w:rPr>
                <w:rFonts w:ascii="Cambria Math" w:hAnsi="Cambria Math" w:cs="Cambria Math"/>
                <w:color w:val="auto"/>
                <w:kern w:val="0"/>
                <w:sz w:val="24"/>
                <w:szCs w:val="22"/>
                <w:vertAlign w:val="subscript"/>
              </w:rPr>
              <w:t>𝑦</w:t>
            </w:r>
            <w:r>
              <w:rPr>
                <w:rFonts w:hint="eastAsia"/>
                <w:color w:val="auto"/>
                <w:kern w:val="0"/>
                <w:sz w:val="24"/>
                <w:szCs w:val="22"/>
              </w:rPr>
              <w:t>指风蚀扬尘产生量（t） ；</w:t>
            </w:r>
          </w:p>
          <w:p w14:paraId="64536668">
            <w:pPr>
              <w:spacing w:line="440" w:lineRule="exact"/>
              <w:ind w:firstLine="480" w:firstLineChars="200"/>
              <w:rPr>
                <w:color w:val="auto"/>
                <w:kern w:val="0"/>
                <w:sz w:val="24"/>
                <w:szCs w:val="22"/>
              </w:rPr>
            </w:pPr>
            <w:r>
              <w:rPr>
                <w:rFonts w:ascii="Cambria Math" w:hAnsi="Cambria Math" w:cs="Cambria Math"/>
                <w:color w:val="auto"/>
                <w:kern w:val="0"/>
                <w:sz w:val="24"/>
                <w:szCs w:val="22"/>
              </w:rPr>
              <w:t>𝑁</w:t>
            </w:r>
            <w:r>
              <w:rPr>
                <w:rFonts w:ascii="Cambria Math" w:hAnsi="Cambria Math" w:cs="Cambria Math"/>
                <w:color w:val="auto"/>
                <w:kern w:val="0"/>
                <w:sz w:val="24"/>
                <w:szCs w:val="22"/>
                <w:vertAlign w:val="subscript"/>
              </w:rPr>
              <w:t>𝐶</w:t>
            </w:r>
            <w:r>
              <w:rPr>
                <w:rFonts w:hint="eastAsia"/>
                <w:color w:val="auto"/>
                <w:kern w:val="0"/>
                <w:sz w:val="24"/>
                <w:szCs w:val="22"/>
              </w:rPr>
              <w:t>指年物料运载车次（车），项目汽车运输采用40t自卸汽车，年</w:t>
            </w:r>
            <w:r>
              <w:rPr>
                <w:rFonts w:hint="eastAsia"/>
                <w:color w:val="auto"/>
                <w:kern w:val="0"/>
                <w:sz w:val="24"/>
                <w:szCs w:val="22"/>
                <w:lang w:val="en-US" w:eastAsia="zh-CN"/>
              </w:rPr>
              <w:t>装卸运输240</w:t>
            </w:r>
            <w:r>
              <w:rPr>
                <w:rFonts w:hint="eastAsia"/>
                <w:color w:val="auto"/>
                <w:kern w:val="0"/>
                <w:sz w:val="24"/>
                <w:szCs w:val="22"/>
              </w:rPr>
              <w:t>万t煤炭，进出场需拉运60000车次；</w:t>
            </w:r>
          </w:p>
          <w:p w14:paraId="6E8C9D03">
            <w:pPr>
              <w:spacing w:line="440" w:lineRule="exact"/>
              <w:ind w:firstLine="480" w:firstLineChars="200"/>
              <w:rPr>
                <w:color w:val="auto"/>
                <w:kern w:val="0"/>
                <w:sz w:val="24"/>
                <w:szCs w:val="22"/>
              </w:rPr>
            </w:pPr>
            <w:r>
              <w:rPr>
                <w:rFonts w:hint="eastAsia"/>
                <w:color w:val="auto"/>
                <w:kern w:val="0"/>
                <w:sz w:val="24"/>
                <w:szCs w:val="22"/>
              </w:rPr>
              <w:t>D 指单车平均运载量（t/车），40t/车；</w:t>
            </w:r>
          </w:p>
          <w:p w14:paraId="23707840">
            <w:pPr>
              <w:spacing w:line="440" w:lineRule="exact"/>
              <w:ind w:firstLine="480" w:firstLineChars="200"/>
              <w:rPr>
                <w:rFonts w:hint="default" w:ascii="Times New Roman" w:hAnsi="Times New Roman" w:cs="Times New Roman"/>
                <w:color w:val="auto"/>
                <w:kern w:val="0"/>
                <w:sz w:val="24"/>
                <w:szCs w:val="22"/>
              </w:rPr>
            </w:pPr>
            <w:r>
              <w:rPr>
                <w:color w:val="auto"/>
                <w:kern w:val="0"/>
                <w:sz w:val="24"/>
                <w:szCs w:val="22"/>
              </w:rPr>
              <w:t>(</w:t>
            </w:r>
            <w:r>
              <w:rPr>
                <w:rFonts w:ascii="Cambria Math" w:hAnsi="Cambria Math" w:cs="Cambria Math"/>
                <w:color w:val="auto"/>
                <w:kern w:val="0"/>
                <w:sz w:val="24"/>
                <w:szCs w:val="22"/>
              </w:rPr>
              <w:t>𝑎</w:t>
            </w:r>
            <w:r>
              <w:rPr>
                <w:color w:val="auto"/>
                <w:kern w:val="0"/>
                <w:sz w:val="24"/>
                <w:szCs w:val="22"/>
              </w:rPr>
              <w:t>⁄</w:t>
            </w:r>
            <w:r>
              <w:rPr>
                <w:rFonts w:ascii="Cambria Math" w:hAnsi="Cambria Math" w:cs="Cambria Math"/>
                <w:color w:val="auto"/>
                <w:kern w:val="0"/>
                <w:sz w:val="24"/>
                <w:szCs w:val="22"/>
              </w:rPr>
              <w:t>𝑏</w:t>
            </w:r>
            <w:r>
              <w:rPr>
                <w:color w:val="auto"/>
                <w:kern w:val="0"/>
                <w:sz w:val="24"/>
                <w:szCs w:val="22"/>
              </w:rPr>
              <w:t>)</w:t>
            </w:r>
            <w:r>
              <w:rPr>
                <w:rFonts w:hint="eastAsia"/>
                <w:color w:val="auto"/>
                <w:kern w:val="0"/>
                <w:sz w:val="24"/>
                <w:szCs w:val="22"/>
              </w:rPr>
              <w:t>指装卸扬尘概化系数</w:t>
            </w:r>
            <w:r>
              <w:rPr>
                <w:rFonts w:hint="default" w:ascii="Times New Roman" w:hAnsi="Times New Roman" w:cs="Times New Roman"/>
                <w:color w:val="auto"/>
                <w:kern w:val="0"/>
                <w:sz w:val="24"/>
                <w:szCs w:val="22"/>
              </w:rPr>
              <w:t>（kg/t），a指各省风速概化系数，见附录 1，项目位于内蒙古自治区鄂尔多斯市伊金霍洛旗，平均风速2.91m/s，概化系数0.0017；b 指物料含水率概化系数 ，项目堆存原煤来源于周边煤矿提供，属于非褐煤，根据附录2，概化系数取0.0054；</w:t>
            </w:r>
          </w:p>
          <w:p w14:paraId="2CC1E1FA">
            <w:pPr>
              <w:spacing w:line="440" w:lineRule="exact"/>
              <w:ind w:firstLine="480" w:firstLineChars="200"/>
              <w:rPr>
                <w:rFonts w:hint="default" w:ascii="Times New Roman" w:hAnsi="Times New Roman" w:cs="Times New Roman"/>
                <w:color w:val="auto"/>
                <w:kern w:val="0"/>
                <w:sz w:val="24"/>
                <w:szCs w:val="22"/>
              </w:rPr>
            </w:pPr>
            <w:r>
              <w:rPr>
                <w:rFonts w:hint="default" w:ascii="Times New Roman" w:hAnsi="Times New Roman" w:cs="Times New Roman"/>
                <w:color w:val="auto"/>
                <w:kern w:val="0"/>
                <w:sz w:val="24"/>
                <w:szCs w:val="22"/>
              </w:rPr>
              <w:t>E</w:t>
            </w:r>
            <w:r>
              <w:rPr>
                <w:rFonts w:hint="default" w:ascii="Times New Roman" w:hAnsi="Times New Roman" w:cs="Times New Roman"/>
                <w:color w:val="auto"/>
                <w:kern w:val="0"/>
                <w:sz w:val="24"/>
                <w:szCs w:val="22"/>
                <w:vertAlign w:val="subscript"/>
              </w:rPr>
              <w:t>𝑓</w:t>
            </w:r>
            <w:r>
              <w:rPr>
                <w:rFonts w:hint="default" w:ascii="Times New Roman" w:hAnsi="Times New Roman" w:cs="Times New Roman"/>
                <w:color w:val="auto"/>
                <w:kern w:val="0"/>
                <w:sz w:val="24"/>
                <w:szCs w:val="22"/>
              </w:rPr>
              <w:t>指堆场风蚀扬尘概化系数，见附录 3（kg /m</w:t>
            </w:r>
            <w:r>
              <w:rPr>
                <w:rFonts w:hint="default" w:ascii="Times New Roman" w:hAnsi="Times New Roman" w:cs="Times New Roman"/>
                <w:color w:val="auto"/>
                <w:kern w:val="0"/>
                <w:sz w:val="24"/>
                <w:szCs w:val="22"/>
                <w:vertAlign w:val="superscript"/>
              </w:rPr>
              <w:t>2</w:t>
            </w:r>
            <w:r>
              <w:rPr>
                <w:rFonts w:hint="default" w:ascii="Times New Roman" w:hAnsi="Times New Roman" w:cs="Times New Roman"/>
                <w:color w:val="auto"/>
                <w:kern w:val="0"/>
                <w:sz w:val="24"/>
                <w:szCs w:val="22"/>
              </w:rPr>
              <w:t>），项目取31.1418；</w:t>
            </w:r>
          </w:p>
          <w:p w14:paraId="25070C8A">
            <w:pPr>
              <w:spacing w:line="440" w:lineRule="exact"/>
              <w:ind w:firstLine="480" w:firstLineChars="200"/>
              <w:rPr>
                <w:color w:val="auto"/>
                <w:kern w:val="0"/>
                <w:sz w:val="24"/>
                <w:szCs w:val="22"/>
              </w:rPr>
            </w:pPr>
            <w:r>
              <w:rPr>
                <w:rFonts w:hint="default" w:ascii="Times New Roman" w:hAnsi="Times New Roman" w:cs="Times New Roman"/>
                <w:color w:val="auto"/>
                <w:kern w:val="0"/>
                <w:sz w:val="24"/>
                <w:szCs w:val="22"/>
              </w:rPr>
              <w:t>S 指堆场占地面积（m</w:t>
            </w:r>
            <w:r>
              <w:rPr>
                <w:rFonts w:hint="default" w:ascii="Times New Roman" w:hAnsi="Times New Roman" w:cs="Times New Roman"/>
                <w:color w:val="auto"/>
                <w:kern w:val="0"/>
                <w:sz w:val="24"/>
                <w:szCs w:val="22"/>
                <w:vertAlign w:val="superscript"/>
              </w:rPr>
              <w:t>2</w:t>
            </w:r>
            <w:r>
              <w:rPr>
                <w:rFonts w:hint="default" w:ascii="Times New Roman" w:hAnsi="Times New Roman" w:cs="Times New Roman"/>
                <w:color w:val="auto"/>
                <w:kern w:val="0"/>
                <w:sz w:val="24"/>
                <w:szCs w:val="22"/>
              </w:rPr>
              <w:t>），项目全厂储煤棚面积</w:t>
            </w:r>
            <w:r>
              <w:rPr>
                <w:rFonts w:hint="default" w:ascii="Times New Roman" w:hAnsi="Times New Roman" w:cs="Times New Roman"/>
                <w:color w:val="auto"/>
                <w:kern w:val="0"/>
                <w:sz w:val="24"/>
                <w:lang w:val="en-US" w:eastAsia="zh-CN"/>
              </w:rPr>
              <w:t>27069.8</w:t>
            </w:r>
            <w:r>
              <w:rPr>
                <w:rFonts w:hint="default" w:ascii="Times New Roman" w:hAnsi="Times New Roman" w:cs="Times New Roman"/>
                <w:color w:val="auto"/>
                <w:kern w:val="0"/>
                <w:sz w:val="24"/>
              </w:rPr>
              <w:t>m</w:t>
            </w:r>
            <w:r>
              <w:rPr>
                <w:rFonts w:hint="default" w:ascii="Times New Roman" w:hAnsi="Times New Roman" w:cs="Times New Roman"/>
                <w:color w:val="auto"/>
                <w:kern w:val="0"/>
                <w:sz w:val="24"/>
                <w:vertAlign w:val="superscript"/>
                <w:lang w:val="en-US" w:eastAsia="zh-CN"/>
              </w:rPr>
              <w:t>2</w:t>
            </w:r>
            <w:r>
              <w:rPr>
                <w:rFonts w:hint="eastAsia"/>
                <w:color w:val="auto"/>
                <w:kern w:val="0"/>
                <w:sz w:val="24"/>
              </w:rPr>
              <w:t>。</w:t>
            </w:r>
          </w:p>
          <w:p w14:paraId="1A78C002">
            <w:pPr>
              <w:spacing w:line="440" w:lineRule="exact"/>
              <w:ind w:firstLine="480" w:firstLineChars="200"/>
              <w:rPr>
                <w:rFonts w:hint="default" w:ascii="Times New Roman" w:hAnsi="Times New Roman" w:cs="Times New Roman"/>
                <w:color w:val="auto"/>
                <w:kern w:val="0"/>
                <w:sz w:val="24"/>
                <w:szCs w:val="22"/>
              </w:rPr>
            </w:pPr>
            <w:r>
              <w:rPr>
                <w:rFonts w:hint="eastAsia"/>
                <w:color w:val="auto"/>
                <w:kern w:val="0"/>
                <w:sz w:val="24"/>
                <w:szCs w:val="22"/>
              </w:rPr>
              <w:t>则，</w:t>
            </w:r>
            <w:r>
              <w:rPr>
                <w:rFonts w:ascii="Cambria Math" w:hAnsi="Cambria Math" w:cs="Cambria Math"/>
                <w:color w:val="auto"/>
                <w:kern w:val="0"/>
                <w:sz w:val="24"/>
                <w:szCs w:val="22"/>
              </w:rPr>
              <w:t>𝑃</w:t>
            </w:r>
            <w:r>
              <w:rPr>
                <w:rFonts w:hint="eastAsia" w:ascii="Cambria Math" w:hAnsi="Cambria Math" w:cs="Cambria Math"/>
                <w:color w:val="auto"/>
                <w:kern w:val="0"/>
                <w:sz w:val="24"/>
                <w:szCs w:val="22"/>
              </w:rPr>
              <w:t>=</w:t>
            </w:r>
            <w:r>
              <w:rPr>
                <w:rFonts w:hint="default" w:ascii="Times New Roman" w:hAnsi="Times New Roman" w:cs="Times New Roman"/>
                <w:color w:val="auto"/>
                <w:kern w:val="0"/>
                <w:sz w:val="24"/>
                <w:szCs w:val="22"/>
              </w:rPr>
              <w:t>{60000×40×（0.0017/0.005</w:t>
            </w:r>
            <w:r>
              <w:rPr>
                <w:rFonts w:hint="eastAsia" w:ascii="Times New Roman" w:hAnsi="Times New Roman" w:cs="Times New Roman"/>
                <w:color w:val="auto"/>
                <w:kern w:val="0"/>
                <w:sz w:val="24"/>
                <w:szCs w:val="22"/>
                <w:lang w:val="en-US" w:eastAsia="zh-CN"/>
              </w:rPr>
              <w:t>4</w:t>
            </w:r>
            <w:r>
              <w:rPr>
                <w:rFonts w:hint="default" w:ascii="Times New Roman" w:hAnsi="Times New Roman" w:cs="Times New Roman"/>
                <w:color w:val="auto"/>
                <w:kern w:val="0"/>
                <w:sz w:val="24"/>
                <w:szCs w:val="22"/>
              </w:rPr>
              <w:t>）+2×31.1418×</w:t>
            </w:r>
            <w:r>
              <w:rPr>
                <w:rFonts w:hint="default" w:ascii="Times New Roman" w:hAnsi="Times New Roman" w:cs="Times New Roman"/>
                <w:color w:val="auto"/>
                <w:kern w:val="0"/>
                <w:sz w:val="24"/>
                <w:szCs w:val="22"/>
                <w:lang w:val="en-US" w:eastAsia="zh-CN"/>
              </w:rPr>
              <w:t>27069.8</w:t>
            </w:r>
            <w:r>
              <w:rPr>
                <w:rFonts w:hint="default" w:ascii="Times New Roman" w:hAnsi="Times New Roman" w:cs="Times New Roman"/>
                <w:color w:val="auto"/>
                <w:kern w:val="0"/>
                <w:sz w:val="24"/>
                <w:szCs w:val="22"/>
              </w:rPr>
              <w:t>}×10</w:t>
            </w:r>
            <w:r>
              <w:rPr>
                <w:rFonts w:hint="default" w:ascii="Times New Roman" w:hAnsi="Times New Roman" w:cs="Times New Roman"/>
                <w:color w:val="auto"/>
                <w:kern w:val="0"/>
                <w:sz w:val="24"/>
                <w:szCs w:val="22"/>
                <w:vertAlign w:val="superscript"/>
              </w:rPr>
              <w:t>−3</w:t>
            </w:r>
            <w:r>
              <w:rPr>
                <w:rFonts w:hint="default" w:ascii="Times New Roman" w:hAnsi="Times New Roman" w:cs="Times New Roman"/>
                <w:color w:val="auto"/>
                <w:kern w:val="0"/>
                <w:sz w:val="24"/>
                <w:szCs w:val="22"/>
              </w:rPr>
              <w:t>=</w:t>
            </w:r>
            <w:r>
              <w:rPr>
                <w:rFonts w:hint="default" w:ascii="Times New Roman" w:hAnsi="Times New Roman" w:cs="Times New Roman"/>
                <w:color w:val="auto"/>
                <w:kern w:val="0"/>
                <w:sz w:val="24"/>
                <w:szCs w:val="22"/>
                <w:lang w:val="en-US" w:eastAsia="zh-CN"/>
              </w:rPr>
              <w:t>24</w:t>
            </w:r>
            <w:r>
              <w:rPr>
                <w:rFonts w:hint="eastAsia" w:ascii="Times New Roman" w:hAnsi="Times New Roman" w:cs="Times New Roman"/>
                <w:color w:val="auto"/>
                <w:kern w:val="0"/>
                <w:sz w:val="24"/>
                <w:szCs w:val="22"/>
                <w:lang w:val="en-US" w:eastAsia="zh-CN"/>
              </w:rPr>
              <w:t>41.56</w:t>
            </w:r>
            <w:r>
              <w:rPr>
                <w:rFonts w:hint="default" w:ascii="Times New Roman" w:hAnsi="Times New Roman" w:cs="Times New Roman"/>
                <w:color w:val="auto"/>
                <w:kern w:val="0"/>
                <w:sz w:val="24"/>
                <w:szCs w:val="22"/>
              </w:rPr>
              <w:t>t</w:t>
            </w:r>
          </w:p>
          <w:p w14:paraId="256AD735">
            <w:pPr>
              <w:spacing w:line="440" w:lineRule="exact"/>
              <w:ind w:firstLine="480" w:firstLineChars="200"/>
              <w:rPr>
                <w:color w:val="auto"/>
                <w:kern w:val="0"/>
                <w:sz w:val="24"/>
                <w:szCs w:val="22"/>
              </w:rPr>
            </w:pPr>
            <w:r>
              <w:rPr>
                <w:rFonts w:hint="eastAsia" w:ascii="宋体" w:hAnsi="宋体"/>
                <w:color w:val="auto"/>
                <w:kern w:val="0"/>
                <w:sz w:val="24"/>
                <w:szCs w:val="22"/>
              </w:rPr>
              <w:t>②颗粒物排放量核算</w:t>
            </w:r>
          </w:p>
          <w:p w14:paraId="0ECED4DD">
            <w:pPr>
              <w:spacing w:line="440" w:lineRule="exact"/>
              <w:ind w:firstLine="480" w:firstLineChars="200"/>
              <w:rPr>
                <w:color w:val="auto"/>
                <w:kern w:val="0"/>
                <w:sz w:val="24"/>
                <w:szCs w:val="22"/>
              </w:rPr>
            </w:pPr>
            <w:r>
              <w:rPr>
                <w:rFonts w:hint="eastAsia"/>
                <w:color w:val="auto"/>
                <w:kern w:val="0"/>
                <w:sz w:val="24"/>
                <w:szCs w:val="22"/>
              </w:rPr>
              <w:t>工业企业固体物料堆场颗粒物排放量核算公式如下：</w:t>
            </w:r>
          </w:p>
          <w:p w14:paraId="2FC8D623">
            <w:pPr>
              <w:spacing w:line="440" w:lineRule="exact"/>
              <w:ind w:firstLine="480" w:firstLineChars="200"/>
              <w:rPr>
                <w:color w:val="auto"/>
                <w:kern w:val="0"/>
                <w:sz w:val="24"/>
              </w:rPr>
            </w:pPr>
            <w:r>
              <w:rPr>
                <w:rFonts w:ascii="Cambria Math" w:hAnsi="Cambria Math" w:cs="Cambria Math"/>
                <w:color w:val="auto"/>
                <w:kern w:val="0"/>
                <w:sz w:val="24"/>
              </w:rPr>
              <w:t>𝑈𝑐</w:t>
            </w:r>
            <w:r>
              <w:rPr>
                <w:color w:val="auto"/>
                <w:kern w:val="0"/>
                <w:sz w:val="24"/>
              </w:rPr>
              <w:t xml:space="preserve"> = </w:t>
            </w:r>
            <w:r>
              <w:rPr>
                <w:rFonts w:ascii="Cambria Math" w:hAnsi="Cambria Math" w:cs="Cambria Math"/>
                <w:color w:val="auto"/>
                <w:kern w:val="0"/>
                <w:sz w:val="24"/>
              </w:rPr>
              <w:t>𝑃</w:t>
            </w:r>
            <w:r>
              <w:rPr>
                <w:color w:val="auto"/>
                <w:kern w:val="0"/>
                <w:sz w:val="24"/>
              </w:rPr>
              <w:t xml:space="preserve"> × (1 − </w:t>
            </w:r>
            <w:r>
              <w:rPr>
                <w:rFonts w:ascii="Cambria Math" w:hAnsi="Cambria Math" w:cs="Cambria Math"/>
                <w:color w:val="auto"/>
                <w:kern w:val="0"/>
                <w:sz w:val="24"/>
              </w:rPr>
              <w:t>𝐶</w:t>
            </w:r>
            <w:r>
              <w:rPr>
                <w:rFonts w:ascii="Cambria Math" w:hAnsi="Cambria Math" w:cs="Cambria Math"/>
                <w:color w:val="auto"/>
                <w:kern w:val="0"/>
                <w:sz w:val="24"/>
                <w:vertAlign w:val="subscript"/>
              </w:rPr>
              <w:t>𝑚</w:t>
            </w:r>
            <w:r>
              <w:rPr>
                <w:color w:val="auto"/>
                <w:kern w:val="0"/>
                <w:sz w:val="24"/>
              </w:rPr>
              <w:t xml:space="preserve">) × (1 − </w:t>
            </w:r>
            <w:r>
              <w:rPr>
                <w:rFonts w:ascii="Cambria Math" w:hAnsi="Cambria Math" w:cs="Cambria Math"/>
                <w:color w:val="auto"/>
                <w:kern w:val="0"/>
                <w:sz w:val="24"/>
              </w:rPr>
              <w:t>𝑇</w:t>
            </w:r>
            <w:r>
              <w:rPr>
                <w:rFonts w:ascii="Cambria Math" w:hAnsi="Cambria Math" w:cs="Cambria Math"/>
                <w:color w:val="auto"/>
                <w:kern w:val="0"/>
                <w:sz w:val="24"/>
                <w:vertAlign w:val="subscript"/>
              </w:rPr>
              <w:t>𝑚</w:t>
            </w:r>
            <w:r>
              <w:rPr>
                <w:color w:val="auto"/>
                <w:kern w:val="0"/>
                <w:sz w:val="24"/>
              </w:rPr>
              <w:t>)</w:t>
            </w:r>
          </w:p>
          <w:p w14:paraId="46CBCADD">
            <w:pPr>
              <w:spacing w:line="440" w:lineRule="exact"/>
              <w:ind w:firstLine="480" w:firstLineChars="200"/>
              <w:rPr>
                <w:color w:val="auto"/>
                <w:kern w:val="0"/>
                <w:sz w:val="24"/>
                <w:szCs w:val="22"/>
              </w:rPr>
            </w:pPr>
            <w:r>
              <w:rPr>
                <w:rFonts w:hint="eastAsia"/>
                <w:color w:val="auto"/>
                <w:kern w:val="0"/>
                <w:sz w:val="24"/>
                <w:szCs w:val="22"/>
              </w:rPr>
              <w:t>式中： P 指颗粒物产生量（t）；</w:t>
            </w:r>
          </w:p>
          <w:p w14:paraId="13326B70">
            <w:pPr>
              <w:spacing w:line="440" w:lineRule="exact"/>
              <w:ind w:firstLine="480" w:firstLineChars="200"/>
              <w:rPr>
                <w:color w:val="auto"/>
                <w:kern w:val="0"/>
                <w:sz w:val="24"/>
                <w:szCs w:val="22"/>
              </w:rPr>
            </w:pPr>
            <w:r>
              <w:rPr>
                <w:rFonts w:hint="default" w:ascii="Times New Roman" w:hAnsi="Times New Roman" w:cs="Times New Roman"/>
                <w:color w:val="auto"/>
                <w:kern w:val="0"/>
                <w:sz w:val="24"/>
                <w:szCs w:val="22"/>
              </w:rPr>
              <w:t>Uc指颗粒物排放量（t）</w:t>
            </w:r>
            <w:r>
              <w:rPr>
                <w:rFonts w:hint="eastAsia"/>
                <w:color w:val="auto"/>
                <w:kern w:val="0"/>
                <w:sz w:val="24"/>
                <w:szCs w:val="22"/>
              </w:rPr>
              <w:t xml:space="preserve"> ；</w:t>
            </w:r>
          </w:p>
          <w:p w14:paraId="1050516D">
            <w:pPr>
              <w:spacing w:line="440" w:lineRule="exact"/>
              <w:ind w:firstLine="480" w:firstLineChars="200"/>
              <w:rPr>
                <w:rFonts w:hint="default" w:ascii="Times New Roman" w:hAnsi="Times New Roman" w:cs="Times New Roman"/>
                <w:color w:val="auto"/>
                <w:kern w:val="0"/>
                <w:sz w:val="24"/>
                <w:szCs w:val="22"/>
              </w:rPr>
            </w:pPr>
            <w:r>
              <w:rPr>
                <w:rFonts w:hint="default" w:ascii="Times New Roman" w:hAnsi="Times New Roman" w:cs="Times New Roman"/>
                <w:color w:val="auto"/>
                <w:kern w:val="0"/>
                <w:sz w:val="24"/>
                <w:szCs w:val="22"/>
              </w:rPr>
              <w:t>Cm指颗粒物控制措施控制效率（%），见附录4，项目煤棚厂区配备洒水车，控制效率为74%；</w:t>
            </w:r>
          </w:p>
          <w:p w14:paraId="74507CBD">
            <w:pPr>
              <w:spacing w:line="440" w:lineRule="exact"/>
              <w:ind w:firstLine="480" w:firstLineChars="200"/>
              <w:rPr>
                <w:color w:val="auto"/>
                <w:kern w:val="0"/>
                <w:sz w:val="24"/>
                <w:szCs w:val="22"/>
              </w:rPr>
            </w:pPr>
            <w:r>
              <w:rPr>
                <w:rFonts w:hint="default" w:ascii="Times New Roman" w:hAnsi="Times New Roman" w:cs="Times New Roman"/>
                <w:color w:val="auto"/>
                <w:kern w:val="0"/>
                <w:sz w:val="24"/>
                <w:szCs w:val="22"/>
              </w:rPr>
              <w:t>Tm指堆场类型控制效率（%），见附录 5，项目设置密闭式厂房，洒水降尘，控制效率99%。</w:t>
            </w:r>
          </w:p>
          <w:p w14:paraId="4ECE5D10">
            <w:pPr>
              <w:spacing w:line="440" w:lineRule="exact"/>
              <w:ind w:firstLine="480" w:firstLineChars="200"/>
              <w:rPr>
                <w:color w:val="auto"/>
                <w:kern w:val="0"/>
                <w:sz w:val="24"/>
                <w:szCs w:val="22"/>
              </w:rPr>
            </w:pPr>
            <w:r>
              <w:rPr>
                <w:rFonts w:hint="eastAsia"/>
                <w:color w:val="auto"/>
                <w:kern w:val="0"/>
                <w:sz w:val="24"/>
                <w:szCs w:val="22"/>
              </w:rPr>
              <w:t>则，Uc</w:t>
            </w:r>
            <w:r>
              <w:rPr>
                <w:rFonts w:hint="eastAsia" w:ascii="Cambria Math" w:hAnsi="Cambria Math" w:cs="Cambria Math"/>
                <w:color w:val="auto"/>
                <w:kern w:val="0"/>
                <w:sz w:val="24"/>
                <w:szCs w:val="22"/>
              </w:rPr>
              <w:t>=</w:t>
            </w:r>
            <w:r>
              <w:rPr>
                <w:rFonts w:hint="default" w:ascii="Times New Roman" w:hAnsi="Times New Roman" w:cs="Times New Roman"/>
                <w:color w:val="auto"/>
                <w:kern w:val="0"/>
                <w:sz w:val="24"/>
                <w:szCs w:val="22"/>
                <w:lang w:val="en-US" w:eastAsia="zh-CN"/>
              </w:rPr>
              <w:t>24</w:t>
            </w:r>
            <w:r>
              <w:rPr>
                <w:rFonts w:hint="eastAsia" w:ascii="Times New Roman" w:hAnsi="Times New Roman" w:cs="Times New Roman"/>
                <w:color w:val="auto"/>
                <w:kern w:val="0"/>
                <w:sz w:val="24"/>
                <w:szCs w:val="22"/>
                <w:lang w:val="en-US" w:eastAsia="zh-CN"/>
              </w:rPr>
              <w:t>41.56</w:t>
            </w:r>
            <w:r>
              <w:rPr>
                <w:rFonts w:hint="default" w:ascii="Times New Roman" w:hAnsi="Times New Roman" w:cs="Times New Roman"/>
                <w:color w:val="auto"/>
                <w:kern w:val="0"/>
                <w:sz w:val="24"/>
                <w:szCs w:val="22"/>
              </w:rPr>
              <w:t>×（1-0.74）×（1-0.99）=</w:t>
            </w:r>
            <w:r>
              <w:rPr>
                <w:rFonts w:hint="eastAsia" w:ascii="Times New Roman" w:hAnsi="Times New Roman" w:cs="Times New Roman"/>
                <w:color w:val="auto"/>
                <w:kern w:val="0"/>
                <w:sz w:val="24"/>
                <w:szCs w:val="22"/>
                <w:lang w:val="en-US" w:eastAsia="zh-CN"/>
              </w:rPr>
              <w:t>6.348</w:t>
            </w:r>
            <w:r>
              <w:rPr>
                <w:rFonts w:hint="default" w:ascii="Times New Roman" w:hAnsi="Times New Roman" w:cs="Times New Roman"/>
                <w:color w:val="auto"/>
                <w:kern w:val="0"/>
                <w:sz w:val="24"/>
                <w:szCs w:val="22"/>
              </w:rPr>
              <w:t>t</w:t>
            </w:r>
            <w:r>
              <w:rPr>
                <w:rFonts w:hint="eastAsia"/>
                <w:color w:val="auto"/>
                <w:kern w:val="0"/>
                <w:sz w:val="24"/>
                <w:szCs w:val="22"/>
              </w:rPr>
              <w:t>。</w:t>
            </w:r>
          </w:p>
          <w:p w14:paraId="58791EF9">
            <w:pPr>
              <w:spacing w:line="440" w:lineRule="exact"/>
              <w:ind w:firstLine="480" w:firstLineChars="200"/>
              <w:rPr>
                <w:rFonts w:hint="default" w:ascii="Times New Roman" w:hAnsi="Times New Roman" w:cs="Times New Roman"/>
                <w:color w:val="auto"/>
                <w:kern w:val="0"/>
                <w:sz w:val="24"/>
                <w:szCs w:val="22"/>
              </w:rPr>
            </w:pPr>
            <w:r>
              <w:rPr>
                <w:rFonts w:hint="default" w:ascii="Times New Roman" w:hAnsi="Times New Roman" w:cs="Times New Roman"/>
                <w:color w:val="auto"/>
                <w:kern w:val="0"/>
                <w:sz w:val="24"/>
                <w:szCs w:val="22"/>
              </w:rPr>
              <w:t>经计算，项目煤炭装卸、堆存引起的扬尘产生量为</w:t>
            </w:r>
            <w:r>
              <w:rPr>
                <w:rFonts w:hint="eastAsia" w:ascii="Times New Roman" w:hAnsi="Times New Roman" w:cs="Times New Roman"/>
                <w:color w:val="auto"/>
                <w:kern w:val="0"/>
                <w:sz w:val="24"/>
                <w:szCs w:val="22"/>
                <w:lang w:val="en-US" w:eastAsia="zh-CN"/>
              </w:rPr>
              <w:t>2441.56</w:t>
            </w:r>
            <w:r>
              <w:rPr>
                <w:rFonts w:hint="default" w:ascii="Times New Roman" w:hAnsi="Times New Roman" w:cs="Times New Roman"/>
                <w:color w:val="auto"/>
                <w:kern w:val="0"/>
                <w:sz w:val="24"/>
                <w:szCs w:val="22"/>
              </w:rPr>
              <w:t xml:space="preserve">t/a， </w:t>
            </w:r>
            <w:r>
              <w:rPr>
                <w:rFonts w:hint="eastAsia" w:ascii="Times New Roman" w:hAnsi="Times New Roman" w:cs="Times New Roman"/>
                <w:color w:val="auto"/>
                <w:kern w:val="0"/>
                <w:sz w:val="24"/>
                <w:szCs w:val="22"/>
                <w:lang w:val="en-US" w:eastAsia="zh-CN"/>
              </w:rPr>
              <w:t>308.28</w:t>
            </w:r>
            <w:r>
              <w:rPr>
                <w:rFonts w:hint="default" w:ascii="Times New Roman" w:hAnsi="Times New Roman" w:cs="Times New Roman"/>
                <w:color w:val="auto"/>
                <w:kern w:val="0"/>
                <w:sz w:val="24"/>
                <w:szCs w:val="22"/>
              </w:rPr>
              <w:t>kg/h，经全封闭煤棚阻隔，</w:t>
            </w:r>
            <w:r>
              <w:rPr>
                <w:rFonts w:hint="eastAsia" w:ascii="Times New Roman" w:hAnsi="Times New Roman" w:cs="Times New Roman"/>
                <w:color w:val="auto"/>
                <w:kern w:val="0"/>
                <w:sz w:val="24"/>
                <w:szCs w:val="22"/>
                <w:lang w:val="en-US" w:eastAsia="zh-CN"/>
              </w:rPr>
              <w:t>洒水</w:t>
            </w:r>
            <w:r>
              <w:rPr>
                <w:rFonts w:hint="default" w:ascii="Times New Roman" w:hAnsi="Times New Roman" w:cs="Times New Roman"/>
                <w:color w:val="auto"/>
                <w:kern w:val="0"/>
                <w:sz w:val="24"/>
                <w:szCs w:val="22"/>
              </w:rPr>
              <w:t>降尘后，颗粒物无组织逸散量为</w:t>
            </w:r>
            <w:r>
              <w:rPr>
                <w:rFonts w:hint="eastAsia" w:ascii="Times New Roman" w:hAnsi="Times New Roman" w:cs="Times New Roman"/>
                <w:color w:val="auto"/>
                <w:kern w:val="0"/>
                <w:sz w:val="24"/>
                <w:szCs w:val="22"/>
                <w:lang w:val="en-US" w:eastAsia="zh-CN"/>
              </w:rPr>
              <w:t>6.348</w:t>
            </w:r>
            <w:r>
              <w:rPr>
                <w:rFonts w:hint="default" w:ascii="Times New Roman" w:hAnsi="Times New Roman" w:cs="Times New Roman"/>
                <w:color w:val="auto"/>
                <w:kern w:val="0"/>
                <w:sz w:val="24"/>
                <w:szCs w:val="22"/>
              </w:rPr>
              <w:t>t/a，排放速率为</w:t>
            </w:r>
            <w:r>
              <w:rPr>
                <w:rFonts w:hint="eastAsia" w:ascii="Times New Roman" w:hAnsi="Times New Roman" w:cs="Times New Roman"/>
                <w:color w:val="auto"/>
                <w:kern w:val="0"/>
                <w:sz w:val="24"/>
                <w:szCs w:val="22"/>
                <w:lang w:val="en-US" w:eastAsia="zh-CN"/>
              </w:rPr>
              <w:t>0.8</w:t>
            </w:r>
            <w:r>
              <w:rPr>
                <w:rFonts w:hint="default" w:ascii="Times New Roman" w:hAnsi="Times New Roman" w:cs="Times New Roman"/>
                <w:color w:val="auto"/>
                <w:kern w:val="0"/>
                <w:sz w:val="24"/>
                <w:szCs w:val="22"/>
              </w:rPr>
              <w:t>kg/h，排放浓度＜1.0</w:t>
            </w:r>
            <w:r>
              <w:rPr>
                <w:rFonts w:hint="default" w:ascii="Times New Roman" w:hAnsi="Times New Roman" w:cs="Times New Roman"/>
                <w:color w:val="auto"/>
                <w:szCs w:val="21"/>
              </w:rPr>
              <w:t xml:space="preserve"> </w:t>
            </w:r>
            <w:r>
              <w:rPr>
                <w:rFonts w:hint="default" w:ascii="Times New Roman" w:hAnsi="Times New Roman" w:cs="Times New Roman"/>
                <w:color w:val="auto"/>
                <w:kern w:val="0"/>
                <w:sz w:val="24"/>
                <w:szCs w:val="22"/>
              </w:rPr>
              <w:t>mg/m</w:t>
            </w:r>
            <w:r>
              <w:rPr>
                <w:rFonts w:hint="default" w:ascii="Times New Roman" w:hAnsi="Times New Roman" w:cs="Times New Roman"/>
                <w:color w:val="auto"/>
                <w:kern w:val="0"/>
                <w:sz w:val="24"/>
                <w:szCs w:val="22"/>
                <w:vertAlign w:val="superscript"/>
              </w:rPr>
              <w:t>3</w:t>
            </w:r>
            <w:r>
              <w:rPr>
                <w:rFonts w:hint="default" w:ascii="Times New Roman" w:hAnsi="Times New Roman" w:cs="Times New Roman"/>
                <w:color w:val="auto"/>
                <w:kern w:val="0"/>
                <w:sz w:val="24"/>
                <w:szCs w:val="22"/>
              </w:rPr>
              <w:t>，满足《煤炭工业污染物排放标准》（GB20426-2006）表 5 煤炭工业无组织排放限值要求。</w:t>
            </w:r>
          </w:p>
          <w:p w14:paraId="433A6463">
            <w:pPr>
              <w:spacing w:line="440" w:lineRule="exact"/>
              <w:ind w:firstLine="480" w:firstLineChars="200"/>
              <w:rPr>
                <w:rFonts w:hint="default" w:ascii="Times New Roman" w:hAnsi="Times New Roman" w:cs="Times New Roman"/>
                <w:color w:val="auto"/>
                <w:kern w:val="0"/>
                <w:sz w:val="24"/>
                <w:szCs w:val="22"/>
              </w:rPr>
            </w:pPr>
            <w:r>
              <w:rPr>
                <w:rFonts w:hint="default" w:ascii="Times New Roman" w:hAnsi="Times New Roman" w:cs="Times New Roman"/>
                <w:color w:val="auto"/>
                <w:kern w:val="0"/>
                <w:sz w:val="24"/>
                <w:szCs w:val="22"/>
              </w:rPr>
              <w:t>（2）厂区道路运输扬尘</w:t>
            </w:r>
          </w:p>
          <w:p w14:paraId="247431AD">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道路扬尘主要为路面表层干化浮土在车轮的冲击、碾压和尾气排气筒的冲击下激起的二次扬尘。污染物以颗粒物（TSP）计。项目汽车运输采用40t自卸汽车，场内运输道路为沥青混凝土路面，行驶路程约为300m，车速小于15km/h。 项目运营期汽车运输总量为240万t，运输车次约6.0万辆·次/年。</w:t>
            </w:r>
          </w:p>
          <w:p w14:paraId="00015978">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根据《扬尘颗粒物排放清单编制技术指南（试行） 》（ 环保部公告 2014 年第 92 号），道路扬尘量根据下列公式计算：</w:t>
            </w:r>
          </w:p>
          <w:p w14:paraId="42F3AF49">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W</w:t>
            </w:r>
            <w:r>
              <w:rPr>
                <w:rFonts w:hint="default" w:ascii="Times New Roman" w:hAnsi="Times New Roman" w:cs="Times New Roman"/>
                <w:bCs/>
                <w:color w:val="auto"/>
                <w:sz w:val="24"/>
                <w:vertAlign w:val="subscript"/>
              </w:rPr>
              <w:t>Ri</w:t>
            </w:r>
            <w:r>
              <w:rPr>
                <w:rFonts w:hint="default" w:ascii="Times New Roman" w:hAnsi="Times New Roman" w:cs="Times New Roman"/>
                <w:bCs/>
                <w:color w:val="auto"/>
                <w:sz w:val="24"/>
              </w:rPr>
              <w:t>=E</w:t>
            </w:r>
            <w:r>
              <w:rPr>
                <w:rFonts w:hint="default" w:ascii="Times New Roman" w:hAnsi="Times New Roman" w:cs="Times New Roman"/>
                <w:bCs/>
                <w:color w:val="auto"/>
                <w:sz w:val="24"/>
                <w:vertAlign w:val="subscript"/>
              </w:rPr>
              <w:t>Ri</w:t>
            </w:r>
            <w:r>
              <w:rPr>
                <w:rFonts w:hint="default" w:ascii="Times New Roman" w:hAnsi="Times New Roman" w:cs="Times New Roman"/>
                <w:bCs/>
                <w:color w:val="auto"/>
                <w:sz w:val="24"/>
              </w:rPr>
              <w:t>×L</w:t>
            </w:r>
            <w:r>
              <w:rPr>
                <w:rFonts w:hint="default" w:ascii="Times New Roman" w:hAnsi="Times New Roman" w:cs="Times New Roman"/>
                <w:bCs/>
                <w:color w:val="auto"/>
                <w:sz w:val="24"/>
                <w:vertAlign w:val="subscript"/>
              </w:rPr>
              <w:t>R</w:t>
            </w:r>
            <w:r>
              <w:rPr>
                <w:rFonts w:hint="default" w:ascii="Times New Roman" w:hAnsi="Times New Roman" w:cs="Times New Roman"/>
                <w:bCs/>
                <w:color w:val="auto"/>
                <w:sz w:val="24"/>
              </w:rPr>
              <w:t>×N</w:t>
            </w:r>
            <w:r>
              <w:rPr>
                <w:rFonts w:hint="default" w:ascii="Times New Roman" w:hAnsi="Times New Roman" w:cs="Times New Roman"/>
                <w:bCs/>
                <w:color w:val="auto"/>
                <w:sz w:val="24"/>
                <w:vertAlign w:val="subscript"/>
              </w:rPr>
              <w:t>R</w:t>
            </w:r>
            <w:r>
              <w:rPr>
                <w:rFonts w:hint="default" w:ascii="Times New Roman" w:hAnsi="Times New Roman" w:cs="Times New Roman"/>
                <w:bCs/>
                <w:color w:val="auto"/>
                <w:sz w:val="24"/>
              </w:rPr>
              <w:t>×（1-</w:t>
            </w:r>
            <w:r>
              <w:rPr>
                <w:rFonts w:hint="default" w:ascii="Times New Roman" w:hAnsi="Times New Roman" w:cs="Times New Roman"/>
                <w:bCs/>
                <w:color w:val="auto"/>
                <w:sz w:val="32"/>
                <w:szCs w:val="32"/>
              </w:rPr>
              <w:t>n</w:t>
            </w:r>
            <w:r>
              <w:rPr>
                <w:rFonts w:hint="default" w:ascii="Times New Roman" w:hAnsi="Times New Roman" w:cs="Times New Roman"/>
                <w:bCs/>
                <w:color w:val="auto"/>
                <w:sz w:val="32"/>
                <w:szCs w:val="32"/>
                <w:vertAlign w:val="subscript"/>
              </w:rPr>
              <w:t>r</w:t>
            </w:r>
            <w:r>
              <w:rPr>
                <w:rFonts w:hint="default" w:ascii="Times New Roman" w:hAnsi="Times New Roman" w:cs="Times New Roman"/>
                <w:bCs/>
                <w:color w:val="auto"/>
                <w:sz w:val="24"/>
              </w:rPr>
              <w:t>/365）×10</w:t>
            </w:r>
            <w:r>
              <w:rPr>
                <w:rFonts w:hint="default" w:ascii="Times New Roman" w:hAnsi="Times New Roman" w:cs="Times New Roman"/>
                <w:bCs/>
                <w:color w:val="auto"/>
                <w:sz w:val="24"/>
                <w:vertAlign w:val="superscript"/>
              </w:rPr>
              <w:t>-6</w:t>
            </w:r>
          </w:p>
          <w:p w14:paraId="4464CF6D">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式中：</w:t>
            </w:r>
          </w:p>
          <w:p w14:paraId="54455878">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W</w:t>
            </w:r>
            <w:r>
              <w:rPr>
                <w:rFonts w:hint="default" w:ascii="Times New Roman" w:hAnsi="Times New Roman" w:cs="Times New Roman"/>
                <w:bCs/>
                <w:color w:val="auto"/>
                <w:sz w:val="24"/>
                <w:vertAlign w:val="subscript"/>
              </w:rPr>
              <w:t>Ri</w:t>
            </w:r>
            <w:r>
              <w:rPr>
                <w:rFonts w:hint="default" w:ascii="Times New Roman" w:hAnsi="Times New Roman" w:cs="Times New Roman"/>
                <w:bCs/>
                <w:color w:val="auto"/>
                <w:sz w:val="24"/>
              </w:rPr>
              <w:t>：道路扬尘源中颗粒物 P</w:t>
            </w:r>
            <w:r>
              <w:rPr>
                <w:rFonts w:hint="default" w:ascii="Times New Roman" w:hAnsi="Times New Roman" w:cs="Times New Roman"/>
                <w:bCs/>
                <w:color w:val="auto"/>
                <w:sz w:val="24"/>
                <w:vertAlign w:val="subscript"/>
              </w:rPr>
              <w:t>Mi</w:t>
            </w:r>
            <w:r>
              <w:rPr>
                <w:rFonts w:hint="default" w:ascii="Times New Roman" w:hAnsi="Times New Roman" w:cs="Times New Roman"/>
                <w:bCs/>
                <w:color w:val="auto"/>
                <w:sz w:val="24"/>
              </w:rPr>
              <w:t xml:space="preserve"> 的总排放量， t/a。</w:t>
            </w:r>
          </w:p>
          <w:p w14:paraId="69955932">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E</w:t>
            </w:r>
            <w:r>
              <w:rPr>
                <w:rFonts w:hint="default" w:ascii="Times New Roman" w:hAnsi="Times New Roman" w:cs="Times New Roman"/>
                <w:bCs/>
                <w:color w:val="auto"/>
                <w:sz w:val="24"/>
                <w:vertAlign w:val="subscript"/>
              </w:rPr>
              <w:t>Ri</w:t>
            </w:r>
            <w:r>
              <w:rPr>
                <w:rFonts w:hint="default" w:ascii="Times New Roman" w:hAnsi="Times New Roman" w:cs="Times New Roman"/>
                <w:bCs/>
                <w:color w:val="auto"/>
                <w:sz w:val="24"/>
              </w:rPr>
              <w:t>：道路扬尘源中颗粒物 P</w:t>
            </w:r>
            <w:r>
              <w:rPr>
                <w:rFonts w:hint="default" w:ascii="Times New Roman" w:hAnsi="Times New Roman" w:cs="Times New Roman"/>
                <w:bCs/>
                <w:color w:val="auto"/>
                <w:sz w:val="24"/>
                <w:vertAlign w:val="subscript"/>
              </w:rPr>
              <w:t>Mi</w:t>
            </w:r>
            <w:r>
              <w:rPr>
                <w:rFonts w:hint="default" w:ascii="Times New Roman" w:hAnsi="Times New Roman" w:cs="Times New Roman"/>
                <w:bCs/>
                <w:color w:val="auto"/>
                <w:sz w:val="24"/>
              </w:rPr>
              <w:t xml:space="preserve"> 平均排放系数，g/km·辆。</w:t>
            </w:r>
          </w:p>
          <w:p w14:paraId="6C58912D">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L</w:t>
            </w:r>
            <w:r>
              <w:rPr>
                <w:rFonts w:hint="default" w:ascii="Times New Roman" w:hAnsi="Times New Roman" w:cs="Times New Roman"/>
                <w:bCs/>
                <w:color w:val="auto"/>
                <w:sz w:val="24"/>
                <w:vertAlign w:val="subscript"/>
              </w:rPr>
              <w:t>R</w:t>
            </w:r>
            <w:r>
              <w:rPr>
                <w:rFonts w:hint="default" w:ascii="Times New Roman" w:hAnsi="Times New Roman" w:cs="Times New Roman"/>
                <w:bCs/>
                <w:color w:val="auto"/>
                <w:sz w:val="24"/>
              </w:rPr>
              <w:t>：道路长度，取均值0.3km。</w:t>
            </w:r>
          </w:p>
          <w:p w14:paraId="7842EB5A">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N</w:t>
            </w:r>
            <w:r>
              <w:rPr>
                <w:rFonts w:hint="default" w:ascii="Times New Roman" w:hAnsi="Times New Roman" w:cs="Times New Roman"/>
                <w:bCs/>
                <w:color w:val="auto"/>
                <w:sz w:val="24"/>
                <w:vertAlign w:val="subscript"/>
              </w:rPr>
              <w:t>R</w:t>
            </w:r>
            <w:r>
              <w:rPr>
                <w:rFonts w:hint="default" w:ascii="Times New Roman" w:hAnsi="Times New Roman" w:cs="Times New Roman"/>
                <w:bCs/>
                <w:color w:val="auto"/>
                <w:sz w:val="24"/>
              </w:rPr>
              <w:t>：一定时期内车辆在该段道路上的平均车流量，取12万辆·次/a（含往返） 。</w:t>
            </w:r>
          </w:p>
          <w:p w14:paraId="374C12A0">
            <w:pPr>
              <w:pStyle w:val="80"/>
              <w:adjustRightInd w:val="0"/>
              <w:snapToGrid w:val="0"/>
              <w:spacing w:line="440" w:lineRule="exact"/>
              <w:rPr>
                <w:rFonts w:hint="default" w:ascii="Times New Roman" w:hAnsi="Times New Roman" w:cs="Times New Roman"/>
                <w:bCs/>
                <w:color w:val="auto"/>
                <w:sz w:val="24"/>
              </w:rPr>
            </w:pPr>
            <w:r>
              <w:rPr>
                <w:rFonts w:hint="default" w:ascii="Times New Roman" w:hAnsi="Times New Roman" w:cs="Times New Roman"/>
                <w:bCs/>
                <w:color w:val="auto"/>
                <w:sz w:val="32"/>
                <w:szCs w:val="32"/>
              </w:rPr>
              <w:t>n</w:t>
            </w:r>
            <w:r>
              <w:rPr>
                <w:rFonts w:hint="default" w:ascii="Times New Roman" w:hAnsi="Times New Roman" w:cs="Times New Roman"/>
                <w:bCs/>
                <w:color w:val="auto"/>
                <w:sz w:val="32"/>
                <w:szCs w:val="32"/>
                <w:vertAlign w:val="subscript"/>
              </w:rPr>
              <w:t>r</w:t>
            </w:r>
            <w:r>
              <w:rPr>
                <w:rFonts w:hint="default" w:ascii="Times New Roman" w:hAnsi="Times New Roman" w:cs="Times New Roman"/>
                <w:bCs/>
                <w:color w:val="auto"/>
                <w:sz w:val="24"/>
              </w:rPr>
              <w:t>：不起尘天数，即一年中降水量大于0.25mm/d的天数。根据当地气象资料，项目取100d 计。</w:t>
            </w:r>
          </w:p>
          <w:p w14:paraId="0606ADDD">
            <w:pPr>
              <w:pStyle w:val="80"/>
              <w:adjustRightInd w:val="0"/>
              <w:snapToGrid w:val="0"/>
              <w:spacing w:line="440" w:lineRule="exact"/>
              <w:ind w:firstLine="420"/>
              <w:rPr>
                <w:rFonts w:hint="default" w:ascii="Times New Roman" w:hAnsi="Times New Roman" w:cs="Times New Roman"/>
                <w:bCs/>
                <w:color w:val="auto"/>
                <w:sz w:val="24"/>
              </w:rPr>
            </w:pPr>
            <w:r>
              <w:rPr>
                <w:rFonts w:hint="default" w:ascii="Times New Roman" w:hAnsi="Times New Roman" w:cs="Times New Roman"/>
                <w:color w:val="auto"/>
              </w:rPr>
              <w:drawing>
                <wp:anchor distT="0" distB="0" distL="114300" distR="114300" simplePos="0" relativeHeight="251677696" behindDoc="0" locked="0" layoutInCell="1" allowOverlap="1">
                  <wp:simplePos x="0" y="0"/>
                  <wp:positionH relativeFrom="column">
                    <wp:posOffset>1103630</wp:posOffset>
                  </wp:positionH>
                  <wp:positionV relativeFrom="paragraph">
                    <wp:posOffset>271145</wp:posOffset>
                  </wp:positionV>
                  <wp:extent cx="3171190" cy="380365"/>
                  <wp:effectExtent l="0" t="0" r="10160" b="635"/>
                  <wp:wrapNone/>
                  <wp:docPr id="1027376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76598" name="图片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171190" cy="380365"/>
                          </a:xfrm>
                          <a:prstGeom prst="rect">
                            <a:avLst/>
                          </a:prstGeom>
                        </pic:spPr>
                      </pic:pic>
                    </a:graphicData>
                  </a:graphic>
                </wp:anchor>
              </w:drawing>
            </w:r>
            <w:r>
              <w:rPr>
                <w:rFonts w:hint="default" w:ascii="Times New Roman" w:hAnsi="Times New Roman" w:cs="Times New Roman"/>
                <w:bCs/>
                <w:color w:val="auto"/>
                <w:sz w:val="24"/>
              </w:rPr>
              <w:t>对于铺装道路，扬尘排放系数计算公式如下：</w:t>
            </w:r>
          </w:p>
          <w:p w14:paraId="3075FF20">
            <w:pPr>
              <w:pStyle w:val="80"/>
              <w:adjustRightInd w:val="0"/>
              <w:snapToGrid w:val="0"/>
              <w:spacing w:line="440" w:lineRule="exact"/>
              <w:ind w:firstLine="480"/>
              <w:rPr>
                <w:rFonts w:hint="default" w:ascii="Times New Roman" w:hAnsi="Times New Roman" w:cs="Times New Roman"/>
                <w:bCs/>
                <w:color w:val="auto"/>
                <w:sz w:val="24"/>
              </w:rPr>
            </w:pPr>
          </w:p>
          <w:p w14:paraId="34C4A1A4">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式中：</w:t>
            </w:r>
          </w:p>
          <w:p w14:paraId="480956D0">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1）EPi 为铺装道路的扬尘中 PMi 排放系数，g/km（ 机动车行驶1km产生的道路扬尘质量）。</w:t>
            </w:r>
          </w:p>
          <w:p w14:paraId="60A82EE2">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2）ki为产生的扬尘中 PMi 的粒度乘数，推荐值取 3.23g/km。</w:t>
            </w:r>
          </w:p>
          <w:p w14:paraId="511F9AC9">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3）sL为道路积尘负荷， g/m</w:t>
            </w:r>
            <w:r>
              <w:rPr>
                <w:rFonts w:hint="default" w:ascii="Times New Roman" w:hAnsi="Times New Roman" w:cs="Times New Roman"/>
                <w:bCs/>
                <w:color w:val="auto"/>
                <w:sz w:val="24"/>
                <w:vertAlign w:val="superscript"/>
              </w:rPr>
              <w:t>2</w:t>
            </w:r>
            <w:r>
              <w:rPr>
                <w:rFonts w:hint="default" w:ascii="Times New Roman" w:hAnsi="Times New Roman" w:cs="Times New Roman"/>
                <w:bCs/>
                <w:color w:val="auto"/>
                <w:sz w:val="24"/>
              </w:rPr>
              <w:t>。取 1.0。</w:t>
            </w:r>
          </w:p>
          <w:p w14:paraId="1C28A760">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4）W为平均车重，t。平均车重表示通过某等级道路所有车辆的平均重量。</w:t>
            </w:r>
          </w:p>
          <w:p w14:paraId="31EA5AF1">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5）η 为污染控制技术对扬尘的去除效率，%；</w:t>
            </w:r>
          </w:p>
          <w:p w14:paraId="5F8881F0">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根据该指南中洒水2次/天控制效率为66%。 根据项目运行实际，对厂内运输道路进行洒水降尘，每天洒水2次以上，大风天气增加洒水次数。</w:t>
            </w:r>
          </w:p>
          <w:p w14:paraId="1BB2AE67">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经计算，排放系数 Epi 为47.29g/km，道路运输扬尘排放量为1.24t/a。</w:t>
            </w:r>
          </w:p>
          <w:p w14:paraId="6C4BE80E">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同时，为减少运输车辆扬尘对周围环境的影响，按照环保要求，对运输车辆和非道路移动机械提出明确的环保管控要求：</w:t>
            </w:r>
          </w:p>
          <w:p w14:paraId="75A98C20">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A.</w:t>
            </w:r>
            <w:r>
              <w:rPr>
                <w:rFonts w:hint="default" w:ascii="Times New Roman" w:hAnsi="Times New Roman" w:cs="Times New Roman"/>
                <w:color w:val="auto"/>
              </w:rPr>
              <w:t xml:space="preserve"> </w:t>
            </w:r>
            <w:r>
              <w:rPr>
                <w:rFonts w:hint="default" w:ascii="Times New Roman" w:hAnsi="Times New Roman" w:cs="Times New Roman"/>
                <w:bCs/>
                <w:color w:val="auto"/>
                <w:sz w:val="24"/>
              </w:rPr>
              <w:t>厂区至公路连接线全部水泥硬化，平时注意道路的维护</w:t>
            </w:r>
          </w:p>
          <w:p w14:paraId="396C5D08">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B.厂前运输道路定期洒水、清扫，保证路面不起尘；</w:t>
            </w:r>
          </w:p>
          <w:p w14:paraId="453C62FC">
            <w:pPr>
              <w:pStyle w:val="80"/>
              <w:adjustRightInd w:val="0"/>
              <w:snapToGrid w:val="0"/>
              <w:spacing w:line="440" w:lineRule="exact"/>
              <w:ind w:firstLine="480"/>
              <w:rPr>
                <w:rFonts w:hint="default" w:ascii="Times New Roman" w:hAnsi="Times New Roman" w:cs="Times New Roman"/>
                <w:bCs/>
                <w:color w:val="auto"/>
                <w:sz w:val="24"/>
              </w:rPr>
            </w:pPr>
            <w:r>
              <w:rPr>
                <w:rFonts w:hint="default" w:ascii="Times New Roman" w:hAnsi="Times New Roman" w:cs="Times New Roman"/>
                <w:bCs/>
                <w:color w:val="auto"/>
                <w:sz w:val="24"/>
              </w:rPr>
              <w:t>C.运输车辆要严密遮盖，减少物料散落；</w:t>
            </w:r>
          </w:p>
          <w:p w14:paraId="495F818F">
            <w:pPr>
              <w:adjustRightInd w:val="0"/>
              <w:snapToGrid w:val="0"/>
              <w:spacing w:line="44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D.保持路面整洁、 湿润不起尘， 有效防止运输环节扬尘污染。车辆采用全封闭</w:t>
            </w:r>
            <w:r>
              <w:rPr>
                <w:rFonts w:hint="default" w:ascii="Times New Roman" w:hAnsi="Times New Roman" w:cs="Times New Roman"/>
                <w:bCs/>
                <w:color w:val="auto"/>
                <w:sz w:val="24"/>
                <w:lang w:eastAsia="zh-CN"/>
              </w:rPr>
              <w:t>厢式</w:t>
            </w:r>
            <w:r>
              <w:rPr>
                <w:rFonts w:hint="default" w:ascii="Times New Roman" w:hAnsi="Times New Roman" w:cs="Times New Roman"/>
                <w:bCs/>
                <w:color w:val="auto"/>
                <w:sz w:val="24"/>
              </w:rPr>
              <w:t>货车，装载高度不得超出车厢高度，避免出现因颠簸造成的遗撒现象。 不允许出现敞篷运输或是超载运输。</w:t>
            </w:r>
          </w:p>
          <w:p w14:paraId="0C4A6950">
            <w:pPr>
              <w:pStyle w:val="5"/>
              <w:adjustRightInd/>
              <w:spacing w:before="0" w:after="0" w:line="440" w:lineRule="exact"/>
              <w:ind w:firstLine="482" w:firstLineChars="200"/>
              <w:jc w:val="both"/>
              <w:rPr>
                <w:rFonts w:ascii="Times New Roman" w:hAnsi="Times New Roman" w:eastAsia="宋体"/>
                <w:color w:val="auto"/>
                <w:sz w:val="24"/>
              </w:rPr>
            </w:pPr>
            <w:r>
              <w:rPr>
                <w:rFonts w:hint="eastAsia" w:ascii="Times New Roman" w:hAnsi="Times New Roman" w:eastAsia="宋体"/>
                <w:color w:val="auto"/>
                <w:sz w:val="24"/>
                <w:lang w:eastAsia="zh-CN"/>
              </w:rPr>
              <w:t>（</w:t>
            </w:r>
            <w:r>
              <w:rPr>
                <w:rFonts w:hint="eastAsia" w:ascii="Times New Roman" w:hAnsi="Times New Roman" w:eastAsia="宋体"/>
                <w:color w:val="auto"/>
                <w:sz w:val="24"/>
                <w:lang w:val="en-US" w:eastAsia="zh-CN"/>
              </w:rPr>
              <w:t>3</w:t>
            </w:r>
            <w:r>
              <w:rPr>
                <w:rFonts w:hint="eastAsia" w:ascii="Times New Roman" w:hAnsi="Times New Roman" w:eastAsia="宋体"/>
                <w:color w:val="auto"/>
                <w:sz w:val="24"/>
                <w:lang w:eastAsia="zh-CN"/>
              </w:rPr>
              <w:t>）</w:t>
            </w:r>
            <w:r>
              <w:rPr>
                <w:rFonts w:ascii="Times New Roman" w:hAnsi="Times New Roman" w:eastAsia="宋体"/>
                <w:color w:val="auto"/>
                <w:sz w:val="24"/>
              </w:rPr>
              <w:t>废气污染源参数</w:t>
            </w:r>
          </w:p>
          <w:p w14:paraId="405CE9DC">
            <w:pPr>
              <w:pStyle w:val="5"/>
              <w:adjustRightInd/>
              <w:spacing w:before="0" w:after="0" w:line="440" w:lineRule="exact"/>
              <w:ind w:firstLine="480" w:firstLineChars="200"/>
              <w:jc w:val="both"/>
              <w:rPr>
                <w:rFonts w:ascii="Times New Roman" w:hAnsi="Times New Roman" w:eastAsia="宋体"/>
                <w:b w:val="0"/>
                <w:bCs/>
                <w:color w:val="auto"/>
                <w:sz w:val="24"/>
              </w:rPr>
            </w:pPr>
            <w:r>
              <w:rPr>
                <w:rFonts w:ascii="Times New Roman" w:hAnsi="Times New Roman" w:eastAsia="宋体"/>
                <w:b w:val="0"/>
                <w:bCs/>
                <w:color w:val="auto"/>
                <w:sz w:val="24"/>
              </w:rPr>
              <w:t>项目废气污染源源强核算结果及相关参数一览表见表4-</w:t>
            </w:r>
            <w:r>
              <w:rPr>
                <w:rFonts w:hint="eastAsia" w:ascii="Times New Roman" w:hAnsi="Times New Roman" w:eastAsia="宋体"/>
                <w:b w:val="0"/>
                <w:bCs/>
                <w:color w:val="auto"/>
                <w:sz w:val="24"/>
              </w:rPr>
              <w:t>1</w:t>
            </w:r>
            <w:r>
              <w:rPr>
                <w:rFonts w:ascii="Times New Roman" w:hAnsi="Times New Roman" w:eastAsia="宋体"/>
                <w:b w:val="0"/>
                <w:bCs/>
                <w:color w:val="auto"/>
                <w:sz w:val="24"/>
              </w:rPr>
              <w:t>。</w:t>
            </w:r>
          </w:p>
          <w:p w14:paraId="035E42B6">
            <w:pPr>
              <w:spacing w:line="440" w:lineRule="exact"/>
              <w:jc w:val="center"/>
              <w:rPr>
                <w:b/>
                <w:color w:val="auto"/>
                <w:sz w:val="24"/>
              </w:rPr>
            </w:pPr>
          </w:p>
          <w:p w14:paraId="2287C5AF">
            <w:pPr>
              <w:spacing w:line="440" w:lineRule="exact"/>
              <w:jc w:val="center"/>
              <w:rPr>
                <w:b/>
                <w:color w:val="auto"/>
                <w:sz w:val="24"/>
              </w:rPr>
            </w:pPr>
          </w:p>
          <w:p w14:paraId="54818971">
            <w:pPr>
              <w:spacing w:line="440" w:lineRule="exact"/>
              <w:jc w:val="center"/>
              <w:rPr>
                <w:b/>
                <w:color w:val="auto"/>
                <w:sz w:val="24"/>
              </w:rPr>
            </w:pPr>
          </w:p>
          <w:p w14:paraId="20051788">
            <w:pPr>
              <w:spacing w:line="440" w:lineRule="exact"/>
              <w:jc w:val="center"/>
              <w:rPr>
                <w:b/>
                <w:color w:val="auto"/>
                <w:sz w:val="24"/>
              </w:rPr>
            </w:pPr>
          </w:p>
          <w:p w14:paraId="21CC0A1B">
            <w:pPr>
              <w:spacing w:line="440" w:lineRule="exact"/>
              <w:jc w:val="center"/>
              <w:rPr>
                <w:b/>
                <w:color w:val="auto"/>
                <w:sz w:val="24"/>
              </w:rPr>
            </w:pPr>
            <w:r>
              <w:rPr>
                <w:b/>
                <w:color w:val="auto"/>
                <w:sz w:val="24"/>
              </w:rPr>
              <w:t>表4-</w:t>
            </w:r>
            <w:r>
              <w:rPr>
                <w:rFonts w:hint="eastAsia"/>
                <w:b/>
                <w:color w:val="auto"/>
                <w:sz w:val="24"/>
              </w:rPr>
              <w:t>1</w:t>
            </w:r>
            <w:r>
              <w:rPr>
                <w:b/>
                <w:color w:val="auto"/>
                <w:sz w:val="24"/>
              </w:rPr>
              <w:t xml:space="preserve"> </w:t>
            </w:r>
            <w:r>
              <w:rPr>
                <w:rFonts w:hint="eastAsia"/>
                <w:b/>
                <w:color w:val="auto"/>
                <w:sz w:val="24"/>
              </w:rPr>
              <w:t xml:space="preserve"> </w:t>
            </w:r>
            <w:r>
              <w:rPr>
                <w:b/>
                <w:color w:val="auto"/>
                <w:sz w:val="24"/>
              </w:rPr>
              <w:t xml:space="preserve">  项目</w:t>
            </w:r>
            <w:r>
              <w:rPr>
                <w:rFonts w:hint="eastAsia"/>
                <w:b/>
                <w:color w:val="auto"/>
                <w:sz w:val="24"/>
              </w:rPr>
              <w:t>无组织</w:t>
            </w:r>
            <w:r>
              <w:rPr>
                <w:b/>
                <w:color w:val="auto"/>
                <w:sz w:val="24"/>
              </w:rPr>
              <w:t>废气污染源源强核算结果及相关参数一览表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447"/>
              <w:gridCol w:w="523"/>
              <w:gridCol w:w="775"/>
              <w:gridCol w:w="794"/>
              <w:gridCol w:w="1777"/>
              <w:gridCol w:w="601"/>
              <w:gridCol w:w="520"/>
              <w:gridCol w:w="523"/>
              <w:gridCol w:w="775"/>
              <w:gridCol w:w="590"/>
              <w:gridCol w:w="689"/>
              <w:gridCol w:w="680"/>
            </w:tblGrid>
            <w:tr w14:paraId="3C271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vMerge w:val="restart"/>
                  <w:vAlign w:val="center"/>
                </w:tcPr>
                <w:p w14:paraId="33FAC6BA">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装置/污染源</w:t>
                  </w:r>
                </w:p>
              </w:tc>
              <w:tc>
                <w:tcPr>
                  <w:tcW w:w="253" w:type="pct"/>
                  <w:vMerge w:val="restart"/>
                  <w:vAlign w:val="center"/>
                </w:tcPr>
                <w:p w14:paraId="5112178F">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污染物</w:t>
                  </w:r>
                </w:p>
              </w:tc>
              <w:tc>
                <w:tcPr>
                  <w:tcW w:w="1020" w:type="pct"/>
                  <w:gridSpan w:val="3"/>
                  <w:vAlign w:val="center"/>
                </w:tcPr>
                <w:p w14:paraId="269606AA">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污染物产生</w:t>
                  </w:r>
                </w:p>
              </w:tc>
              <w:tc>
                <w:tcPr>
                  <w:tcW w:w="1584" w:type="pct"/>
                  <w:gridSpan w:val="3"/>
                  <w:vAlign w:val="center"/>
                </w:tcPr>
                <w:p w14:paraId="3536ECCC">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处理措施</w:t>
                  </w:r>
                </w:p>
              </w:tc>
              <w:tc>
                <w:tcPr>
                  <w:tcW w:w="1347" w:type="pct"/>
                  <w:gridSpan w:val="4"/>
                  <w:vAlign w:val="center"/>
                </w:tcPr>
                <w:p w14:paraId="37AD9A64">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污染物排放情况</w:t>
                  </w:r>
                </w:p>
              </w:tc>
              <w:tc>
                <w:tcPr>
                  <w:tcW w:w="389" w:type="pct"/>
                  <w:vMerge w:val="restart"/>
                  <w:vAlign w:val="center"/>
                </w:tcPr>
                <w:p w14:paraId="5E440A23">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排放时间(h/a)</w:t>
                  </w:r>
                </w:p>
              </w:tc>
            </w:tr>
            <w:tr w14:paraId="663B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vMerge w:val="continue"/>
                  <w:vAlign w:val="center"/>
                </w:tcPr>
                <w:p w14:paraId="4A23AF51">
                  <w:pPr>
                    <w:spacing w:line="360" w:lineRule="exact"/>
                    <w:contextualSpacing/>
                    <w:jc w:val="center"/>
                    <w:rPr>
                      <w:rFonts w:hint="default" w:ascii="Times New Roman" w:hAnsi="Times New Roman" w:eastAsia="宋体" w:cs="Times New Roman"/>
                      <w:bCs/>
                      <w:color w:val="auto"/>
                      <w:kern w:val="0"/>
                      <w:sz w:val="21"/>
                      <w:szCs w:val="21"/>
                    </w:rPr>
                  </w:pPr>
                </w:p>
              </w:tc>
              <w:tc>
                <w:tcPr>
                  <w:tcW w:w="253" w:type="pct"/>
                  <w:vMerge w:val="continue"/>
                  <w:vAlign w:val="center"/>
                </w:tcPr>
                <w:p w14:paraId="72405E9D">
                  <w:pPr>
                    <w:spacing w:line="360" w:lineRule="exact"/>
                    <w:contextualSpacing/>
                    <w:jc w:val="center"/>
                    <w:rPr>
                      <w:rFonts w:hint="default" w:ascii="Times New Roman" w:hAnsi="Times New Roman" w:eastAsia="宋体" w:cs="Times New Roman"/>
                      <w:bCs/>
                      <w:color w:val="auto"/>
                      <w:kern w:val="0"/>
                      <w:sz w:val="21"/>
                      <w:szCs w:val="21"/>
                    </w:rPr>
                  </w:pPr>
                </w:p>
              </w:tc>
              <w:tc>
                <w:tcPr>
                  <w:tcW w:w="293" w:type="pct"/>
                  <w:vMerge w:val="restart"/>
                  <w:vAlign w:val="center"/>
                </w:tcPr>
                <w:p w14:paraId="6CD2B759">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核算</w:t>
                  </w:r>
                </w:p>
                <w:p w14:paraId="1CBFDEAF">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方法</w:t>
                  </w:r>
                </w:p>
              </w:tc>
              <w:tc>
                <w:tcPr>
                  <w:tcW w:w="411" w:type="pct"/>
                  <w:vAlign w:val="center"/>
                </w:tcPr>
                <w:p w14:paraId="4FED5A91">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浓度</w:t>
                  </w:r>
                </w:p>
              </w:tc>
              <w:tc>
                <w:tcPr>
                  <w:tcW w:w="316" w:type="pct"/>
                  <w:vAlign w:val="center"/>
                </w:tcPr>
                <w:p w14:paraId="29443E97">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速率</w:t>
                  </w:r>
                </w:p>
              </w:tc>
              <w:tc>
                <w:tcPr>
                  <w:tcW w:w="958" w:type="pct"/>
                  <w:vMerge w:val="restart"/>
                  <w:vAlign w:val="center"/>
                </w:tcPr>
                <w:p w14:paraId="5B090A93">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工艺</w:t>
                  </w:r>
                </w:p>
              </w:tc>
              <w:tc>
                <w:tcPr>
                  <w:tcW w:w="332" w:type="pct"/>
                  <w:vMerge w:val="restart"/>
                  <w:vAlign w:val="center"/>
                </w:tcPr>
                <w:p w14:paraId="2AD551C4">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效率%</w:t>
                  </w:r>
                </w:p>
              </w:tc>
              <w:tc>
                <w:tcPr>
                  <w:tcW w:w="293" w:type="pct"/>
                  <w:vMerge w:val="restart"/>
                  <w:vAlign w:val="center"/>
                </w:tcPr>
                <w:p w14:paraId="0F51E0BB">
                  <w:pPr>
                    <w:spacing w:line="360" w:lineRule="exact"/>
                    <w:contextualSpacing/>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是否可行技术</w:t>
                  </w:r>
                </w:p>
              </w:tc>
              <w:tc>
                <w:tcPr>
                  <w:tcW w:w="293" w:type="pct"/>
                  <w:vMerge w:val="restart"/>
                  <w:vAlign w:val="center"/>
                </w:tcPr>
                <w:p w14:paraId="591BE41A">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核算</w:t>
                  </w:r>
                </w:p>
                <w:p w14:paraId="032916D9">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方法</w:t>
                  </w:r>
                </w:p>
              </w:tc>
              <w:tc>
                <w:tcPr>
                  <w:tcW w:w="411" w:type="pct"/>
                  <w:vAlign w:val="center"/>
                </w:tcPr>
                <w:p w14:paraId="1979C028">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浓度</w:t>
                  </w:r>
                </w:p>
              </w:tc>
              <w:tc>
                <w:tcPr>
                  <w:tcW w:w="316" w:type="pct"/>
                  <w:vAlign w:val="center"/>
                </w:tcPr>
                <w:p w14:paraId="664F70BA">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速率</w:t>
                  </w:r>
                </w:p>
              </w:tc>
              <w:tc>
                <w:tcPr>
                  <w:tcW w:w="326" w:type="pct"/>
                  <w:vAlign w:val="center"/>
                </w:tcPr>
                <w:p w14:paraId="6EC86717">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排放量</w:t>
                  </w:r>
                </w:p>
              </w:tc>
              <w:tc>
                <w:tcPr>
                  <w:tcW w:w="389" w:type="pct"/>
                  <w:vMerge w:val="continue"/>
                  <w:vAlign w:val="center"/>
                </w:tcPr>
                <w:p w14:paraId="4EA52C15">
                  <w:pPr>
                    <w:spacing w:line="360" w:lineRule="exact"/>
                    <w:contextualSpacing/>
                    <w:jc w:val="center"/>
                    <w:rPr>
                      <w:rFonts w:hint="default" w:ascii="Times New Roman" w:hAnsi="Times New Roman" w:eastAsia="宋体" w:cs="Times New Roman"/>
                      <w:bCs/>
                      <w:color w:val="auto"/>
                      <w:kern w:val="0"/>
                      <w:sz w:val="21"/>
                      <w:szCs w:val="21"/>
                    </w:rPr>
                  </w:pPr>
                </w:p>
              </w:tc>
            </w:tr>
            <w:tr w14:paraId="748A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vMerge w:val="continue"/>
                  <w:vAlign w:val="center"/>
                </w:tcPr>
                <w:p w14:paraId="3F670823">
                  <w:pPr>
                    <w:spacing w:line="360" w:lineRule="exact"/>
                    <w:contextualSpacing/>
                    <w:jc w:val="center"/>
                    <w:rPr>
                      <w:rFonts w:hint="default" w:ascii="Times New Roman" w:hAnsi="Times New Roman" w:eastAsia="宋体" w:cs="Times New Roman"/>
                      <w:bCs/>
                      <w:color w:val="auto"/>
                      <w:kern w:val="0"/>
                      <w:sz w:val="21"/>
                      <w:szCs w:val="21"/>
                    </w:rPr>
                  </w:pPr>
                </w:p>
              </w:tc>
              <w:tc>
                <w:tcPr>
                  <w:tcW w:w="253" w:type="pct"/>
                  <w:vMerge w:val="continue"/>
                  <w:vAlign w:val="center"/>
                </w:tcPr>
                <w:p w14:paraId="47AFCA0B">
                  <w:pPr>
                    <w:spacing w:line="360" w:lineRule="exact"/>
                    <w:contextualSpacing/>
                    <w:jc w:val="center"/>
                    <w:rPr>
                      <w:rFonts w:hint="default" w:ascii="Times New Roman" w:hAnsi="Times New Roman" w:eastAsia="宋体" w:cs="Times New Roman"/>
                      <w:bCs/>
                      <w:color w:val="auto"/>
                      <w:kern w:val="0"/>
                      <w:sz w:val="21"/>
                      <w:szCs w:val="21"/>
                    </w:rPr>
                  </w:pPr>
                </w:p>
              </w:tc>
              <w:tc>
                <w:tcPr>
                  <w:tcW w:w="293" w:type="pct"/>
                  <w:vMerge w:val="continue"/>
                  <w:vAlign w:val="center"/>
                </w:tcPr>
                <w:p w14:paraId="23FFCFD0">
                  <w:pPr>
                    <w:spacing w:line="360" w:lineRule="exact"/>
                    <w:contextualSpacing/>
                    <w:jc w:val="center"/>
                    <w:rPr>
                      <w:rFonts w:hint="default" w:ascii="Times New Roman" w:hAnsi="Times New Roman" w:eastAsia="宋体" w:cs="Times New Roman"/>
                      <w:bCs/>
                      <w:color w:val="auto"/>
                      <w:kern w:val="0"/>
                      <w:sz w:val="21"/>
                      <w:szCs w:val="21"/>
                    </w:rPr>
                  </w:pPr>
                </w:p>
              </w:tc>
              <w:tc>
                <w:tcPr>
                  <w:tcW w:w="411" w:type="pct"/>
                  <w:vAlign w:val="center"/>
                </w:tcPr>
                <w:p w14:paraId="4F1DEDAF">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tc>
              <w:tc>
                <w:tcPr>
                  <w:tcW w:w="316" w:type="pct"/>
                  <w:vAlign w:val="center"/>
                </w:tcPr>
                <w:p w14:paraId="530D0513">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kg/h</w:t>
                  </w:r>
                </w:p>
              </w:tc>
              <w:tc>
                <w:tcPr>
                  <w:tcW w:w="958" w:type="pct"/>
                  <w:vMerge w:val="continue"/>
                  <w:vAlign w:val="center"/>
                </w:tcPr>
                <w:p w14:paraId="1DBCA132">
                  <w:pPr>
                    <w:spacing w:line="360" w:lineRule="exact"/>
                    <w:contextualSpacing/>
                    <w:jc w:val="center"/>
                    <w:rPr>
                      <w:rFonts w:hint="default" w:ascii="Times New Roman" w:hAnsi="Times New Roman" w:eastAsia="宋体" w:cs="Times New Roman"/>
                      <w:bCs/>
                      <w:color w:val="auto"/>
                      <w:kern w:val="0"/>
                      <w:sz w:val="21"/>
                      <w:szCs w:val="21"/>
                    </w:rPr>
                  </w:pPr>
                </w:p>
              </w:tc>
              <w:tc>
                <w:tcPr>
                  <w:tcW w:w="332" w:type="pct"/>
                  <w:vMerge w:val="continue"/>
                  <w:vAlign w:val="center"/>
                </w:tcPr>
                <w:p w14:paraId="38DF0912">
                  <w:pPr>
                    <w:spacing w:line="360" w:lineRule="exact"/>
                    <w:contextualSpacing/>
                    <w:jc w:val="center"/>
                    <w:rPr>
                      <w:rFonts w:hint="default" w:ascii="Times New Roman" w:hAnsi="Times New Roman" w:eastAsia="宋体" w:cs="Times New Roman"/>
                      <w:bCs/>
                      <w:color w:val="auto"/>
                      <w:kern w:val="0"/>
                      <w:sz w:val="21"/>
                      <w:szCs w:val="21"/>
                    </w:rPr>
                  </w:pPr>
                </w:p>
              </w:tc>
              <w:tc>
                <w:tcPr>
                  <w:tcW w:w="293" w:type="pct"/>
                  <w:vMerge w:val="continue"/>
                  <w:vAlign w:val="center"/>
                </w:tcPr>
                <w:p w14:paraId="1A558B48">
                  <w:pPr>
                    <w:spacing w:line="360" w:lineRule="exact"/>
                    <w:contextualSpacing/>
                    <w:jc w:val="center"/>
                    <w:rPr>
                      <w:rFonts w:hint="default" w:ascii="Times New Roman" w:hAnsi="Times New Roman" w:eastAsia="宋体" w:cs="Times New Roman"/>
                      <w:color w:val="auto"/>
                      <w:sz w:val="21"/>
                      <w:szCs w:val="21"/>
                    </w:rPr>
                  </w:pPr>
                </w:p>
              </w:tc>
              <w:tc>
                <w:tcPr>
                  <w:tcW w:w="293" w:type="pct"/>
                  <w:vMerge w:val="continue"/>
                  <w:vAlign w:val="center"/>
                </w:tcPr>
                <w:p w14:paraId="55A9D3AA">
                  <w:pPr>
                    <w:spacing w:line="360" w:lineRule="exact"/>
                    <w:contextualSpacing/>
                    <w:jc w:val="center"/>
                    <w:rPr>
                      <w:rFonts w:hint="default" w:ascii="Times New Roman" w:hAnsi="Times New Roman" w:eastAsia="宋体" w:cs="Times New Roman"/>
                      <w:bCs/>
                      <w:color w:val="auto"/>
                      <w:kern w:val="0"/>
                      <w:sz w:val="21"/>
                      <w:szCs w:val="21"/>
                    </w:rPr>
                  </w:pPr>
                </w:p>
              </w:tc>
              <w:tc>
                <w:tcPr>
                  <w:tcW w:w="411" w:type="pct"/>
                  <w:vAlign w:val="center"/>
                </w:tcPr>
                <w:p w14:paraId="4F8A5C69">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mg/m</w:t>
                  </w:r>
                  <w:r>
                    <w:rPr>
                      <w:rFonts w:hint="default" w:ascii="Times New Roman" w:hAnsi="Times New Roman" w:eastAsia="宋体" w:cs="Times New Roman"/>
                      <w:color w:val="auto"/>
                      <w:kern w:val="0"/>
                      <w:sz w:val="21"/>
                      <w:szCs w:val="21"/>
                      <w:vertAlign w:val="superscript"/>
                    </w:rPr>
                    <w:t>3</w:t>
                  </w:r>
                </w:p>
              </w:tc>
              <w:tc>
                <w:tcPr>
                  <w:tcW w:w="316" w:type="pct"/>
                  <w:vAlign w:val="center"/>
                </w:tcPr>
                <w:p w14:paraId="471C0B5D">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kg/h</w:t>
                  </w:r>
                </w:p>
              </w:tc>
              <w:tc>
                <w:tcPr>
                  <w:tcW w:w="326" w:type="pct"/>
                  <w:vAlign w:val="center"/>
                </w:tcPr>
                <w:p w14:paraId="755AF468">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t/a</w:t>
                  </w:r>
                </w:p>
              </w:tc>
              <w:tc>
                <w:tcPr>
                  <w:tcW w:w="389" w:type="pct"/>
                  <w:vMerge w:val="continue"/>
                  <w:vAlign w:val="center"/>
                </w:tcPr>
                <w:p w14:paraId="7B75E79E">
                  <w:pPr>
                    <w:spacing w:line="360" w:lineRule="exact"/>
                    <w:contextualSpacing/>
                    <w:jc w:val="center"/>
                    <w:rPr>
                      <w:rFonts w:hint="default" w:ascii="Times New Roman" w:hAnsi="Times New Roman" w:eastAsia="宋体" w:cs="Times New Roman"/>
                      <w:bCs/>
                      <w:color w:val="auto"/>
                      <w:kern w:val="0"/>
                      <w:sz w:val="21"/>
                      <w:szCs w:val="21"/>
                    </w:rPr>
                  </w:pPr>
                </w:p>
              </w:tc>
            </w:tr>
            <w:tr w14:paraId="21ED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vAlign w:val="center"/>
                </w:tcPr>
                <w:p w14:paraId="204DAE06">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储存堆放、装料</w:t>
                  </w:r>
                </w:p>
              </w:tc>
              <w:tc>
                <w:tcPr>
                  <w:tcW w:w="253" w:type="pct"/>
                  <w:vAlign w:val="center"/>
                </w:tcPr>
                <w:p w14:paraId="3D9E6D1C">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颗粒物</w:t>
                  </w:r>
                </w:p>
              </w:tc>
              <w:tc>
                <w:tcPr>
                  <w:tcW w:w="293" w:type="pct"/>
                  <w:vAlign w:val="center"/>
                </w:tcPr>
                <w:p w14:paraId="474E9900">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产排污系数法</w:t>
                  </w:r>
                </w:p>
              </w:tc>
              <w:tc>
                <w:tcPr>
                  <w:tcW w:w="411" w:type="pct"/>
                  <w:vAlign w:val="center"/>
                </w:tcPr>
                <w:p w14:paraId="1932FF2D">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w:t>
                  </w:r>
                </w:p>
              </w:tc>
              <w:tc>
                <w:tcPr>
                  <w:tcW w:w="316" w:type="pct"/>
                  <w:vAlign w:val="center"/>
                </w:tcPr>
                <w:p w14:paraId="5EF51FDF">
                  <w:pPr>
                    <w:spacing w:line="360" w:lineRule="exact"/>
                    <w:contextualSpacing/>
                    <w:jc w:val="center"/>
                    <w:rPr>
                      <w:rFonts w:hint="default" w:ascii="Times New Roman" w:hAnsi="Times New Roman" w:eastAsia="宋体" w:cs="Times New Roman"/>
                      <w:bCs/>
                      <w:color w:val="auto"/>
                      <w:kern w:val="0"/>
                      <w:sz w:val="21"/>
                      <w:szCs w:val="21"/>
                      <w:lang w:val="en-US" w:eastAsia="zh-CN"/>
                    </w:rPr>
                  </w:pPr>
                  <w:r>
                    <w:rPr>
                      <w:rFonts w:hint="eastAsia" w:ascii="Times New Roman" w:hAnsi="Times New Roman" w:cs="Times New Roman"/>
                      <w:color w:val="auto"/>
                      <w:kern w:val="0"/>
                      <w:sz w:val="21"/>
                      <w:szCs w:val="21"/>
                      <w:lang w:val="en-US" w:eastAsia="zh-CN"/>
                    </w:rPr>
                    <w:t>308.28</w:t>
                  </w:r>
                </w:p>
              </w:tc>
              <w:tc>
                <w:tcPr>
                  <w:tcW w:w="958" w:type="pct"/>
                  <w:vAlign w:val="center"/>
                </w:tcPr>
                <w:p w14:paraId="30BD765A">
                  <w:pPr>
                    <w:spacing w:line="360" w:lineRule="exact"/>
                    <w:contextualSpacing/>
                    <w:jc w:val="center"/>
                    <w:rPr>
                      <w:rFonts w:hint="eastAsia" w:ascii="Times New Roman" w:hAnsi="Times New Roman" w:eastAsia="宋体" w:cs="Times New Roman"/>
                      <w:bCs/>
                      <w:color w:val="auto"/>
                      <w:kern w:val="0"/>
                      <w:sz w:val="21"/>
                      <w:szCs w:val="21"/>
                      <w:lang w:val="en-US" w:eastAsia="zh-CN"/>
                    </w:rPr>
                  </w:pPr>
                  <w:r>
                    <w:rPr>
                      <w:rFonts w:hint="default" w:ascii="Times New Roman" w:hAnsi="Times New Roman" w:eastAsia="宋体" w:cs="Times New Roman"/>
                      <w:color w:val="auto"/>
                      <w:kern w:val="0"/>
                      <w:sz w:val="21"/>
                      <w:szCs w:val="21"/>
                    </w:rPr>
                    <w:t>煤棚全封闭，在工作时洒水抑尘</w:t>
                  </w:r>
                  <w:r>
                    <w:rPr>
                      <w:rFonts w:hint="eastAsia" w:ascii="Times New Roman" w:hAnsi="Times New Roman" w:eastAsia="宋体" w:cs="Times New Roman"/>
                      <w:color w:val="auto"/>
                      <w:kern w:val="0"/>
                      <w:sz w:val="21"/>
                      <w:szCs w:val="21"/>
                      <w:lang w:eastAsia="zh-CN"/>
                    </w:rPr>
                    <w:t>。</w:t>
                  </w:r>
                </w:p>
              </w:tc>
              <w:tc>
                <w:tcPr>
                  <w:tcW w:w="332" w:type="pct"/>
                  <w:vAlign w:val="center"/>
                </w:tcPr>
                <w:p w14:paraId="2D2EB630">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sz w:val="21"/>
                      <w:szCs w:val="21"/>
                    </w:rPr>
                    <w:t>90</w:t>
                  </w:r>
                </w:p>
              </w:tc>
              <w:tc>
                <w:tcPr>
                  <w:tcW w:w="293" w:type="pct"/>
                  <w:vAlign w:val="center"/>
                </w:tcPr>
                <w:p w14:paraId="4B314EDE">
                  <w:pPr>
                    <w:spacing w:line="360" w:lineRule="exact"/>
                    <w:contextualSpacing/>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是</w:t>
                  </w:r>
                </w:p>
              </w:tc>
              <w:tc>
                <w:tcPr>
                  <w:tcW w:w="293" w:type="pct"/>
                  <w:vAlign w:val="center"/>
                </w:tcPr>
                <w:p w14:paraId="4EC555AF">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产排污系数法</w:t>
                  </w:r>
                </w:p>
              </w:tc>
              <w:tc>
                <w:tcPr>
                  <w:tcW w:w="411" w:type="pct"/>
                  <w:vAlign w:val="center"/>
                </w:tcPr>
                <w:p w14:paraId="737821F2">
                  <w:pPr>
                    <w:widowControl/>
                    <w:adjustRightInd w:val="0"/>
                    <w:snapToGrid w:val="0"/>
                    <w:spacing w:line="360" w:lineRule="exact"/>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＜1.0</w:t>
                  </w:r>
                </w:p>
              </w:tc>
              <w:tc>
                <w:tcPr>
                  <w:tcW w:w="316" w:type="pct"/>
                  <w:vAlign w:val="center"/>
                </w:tcPr>
                <w:p w14:paraId="3EE576C0">
                  <w:pPr>
                    <w:widowControl/>
                    <w:adjustRightInd w:val="0"/>
                    <w:snapToGrid w:val="0"/>
                    <w:spacing w:line="360" w:lineRule="exact"/>
                    <w:jc w:val="center"/>
                    <w:rPr>
                      <w:rFonts w:hint="default" w:ascii="Times New Roman" w:hAnsi="Times New Roman" w:eastAsia="宋体" w:cs="Times New Roman"/>
                      <w:bCs/>
                      <w:color w:val="auto"/>
                      <w:kern w:val="0"/>
                      <w:sz w:val="21"/>
                      <w:szCs w:val="21"/>
                      <w:lang w:val="en-US" w:eastAsia="zh-CN"/>
                    </w:rPr>
                  </w:pPr>
                  <w:r>
                    <w:rPr>
                      <w:rFonts w:hint="eastAsia" w:ascii="Times New Roman" w:hAnsi="Times New Roman" w:cs="Times New Roman"/>
                      <w:color w:val="auto"/>
                      <w:kern w:val="0"/>
                      <w:sz w:val="21"/>
                      <w:szCs w:val="21"/>
                      <w:lang w:val="en-US" w:eastAsia="zh-CN"/>
                    </w:rPr>
                    <w:t>0.8</w:t>
                  </w:r>
                </w:p>
              </w:tc>
              <w:tc>
                <w:tcPr>
                  <w:tcW w:w="326" w:type="pct"/>
                  <w:vAlign w:val="center"/>
                </w:tcPr>
                <w:p w14:paraId="0BC9B810">
                  <w:pPr>
                    <w:spacing w:line="360" w:lineRule="exact"/>
                    <w:jc w:val="center"/>
                    <w:rPr>
                      <w:rFonts w:hint="default" w:ascii="Times New Roman" w:hAnsi="Times New Roman" w:eastAsia="宋体" w:cs="Times New Roman"/>
                      <w:bCs/>
                      <w:color w:val="auto"/>
                      <w:kern w:val="0"/>
                      <w:sz w:val="21"/>
                      <w:szCs w:val="21"/>
                      <w:lang w:val="en-US" w:eastAsia="zh-CN"/>
                    </w:rPr>
                  </w:pPr>
                  <w:r>
                    <w:rPr>
                      <w:rFonts w:hint="eastAsia" w:ascii="Times New Roman" w:hAnsi="Times New Roman" w:cs="Times New Roman"/>
                      <w:color w:val="auto"/>
                      <w:sz w:val="21"/>
                      <w:szCs w:val="21"/>
                      <w:lang w:val="en-US" w:eastAsia="zh-CN"/>
                    </w:rPr>
                    <w:t>6.348</w:t>
                  </w:r>
                </w:p>
              </w:tc>
              <w:tc>
                <w:tcPr>
                  <w:tcW w:w="389" w:type="pct"/>
                  <w:vAlign w:val="center"/>
                </w:tcPr>
                <w:p w14:paraId="5F40EA76">
                  <w:pPr>
                    <w:spacing w:line="360" w:lineRule="exact"/>
                    <w:contextualSpacing/>
                    <w:jc w:val="center"/>
                    <w:rPr>
                      <w:rFonts w:hint="default" w:ascii="Times New Roman" w:hAnsi="Times New Roman" w:eastAsia="宋体" w:cs="Times New Roman"/>
                      <w:bCs/>
                      <w:color w:val="auto"/>
                      <w:kern w:val="0"/>
                      <w:sz w:val="21"/>
                      <w:szCs w:val="21"/>
                      <w:lang w:val="en-US" w:eastAsia="zh-CN"/>
                    </w:rPr>
                  </w:pPr>
                  <w:r>
                    <w:rPr>
                      <w:rFonts w:hint="eastAsia" w:ascii="Times New Roman" w:hAnsi="Times New Roman" w:cs="Times New Roman"/>
                      <w:color w:val="auto"/>
                      <w:sz w:val="21"/>
                      <w:szCs w:val="21"/>
                      <w:lang w:val="en-US" w:eastAsia="zh-CN"/>
                    </w:rPr>
                    <w:t>7920</w:t>
                  </w:r>
                </w:p>
              </w:tc>
            </w:tr>
            <w:tr w14:paraId="4242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vAlign w:val="center"/>
                </w:tcPr>
                <w:p w14:paraId="2079C24F">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厂区道路运输</w:t>
                  </w:r>
                </w:p>
              </w:tc>
              <w:tc>
                <w:tcPr>
                  <w:tcW w:w="253" w:type="pct"/>
                  <w:vAlign w:val="center"/>
                </w:tcPr>
                <w:p w14:paraId="37B88936">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颗粒物</w:t>
                  </w:r>
                </w:p>
              </w:tc>
              <w:tc>
                <w:tcPr>
                  <w:tcW w:w="293" w:type="pct"/>
                  <w:vAlign w:val="center"/>
                </w:tcPr>
                <w:p w14:paraId="5EE2EC35">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公式计算法</w:t>
                  </w:r>
                </w:p>
              </w:tc>
              <w:tc>
                <w:tcPr>
                  <w:tcW w:w="411" w:type="pct"/>
                  <w:vAlign w:val="center"/>
                </w:tcPr>
                <w:p w14:paraId="0B93E399">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w:t>
                  </w:r>
                </w:p>
              </w:tc>
              <w:tc>
                <w:tcPr>
                  <w:tcW w:w="316" w:type="pct"/>
                  <w:vAlign w:val="center"/>
                </w:tcPr>
                <w:p w14:paraId="227C46F0">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w:t>
                  </w:r>
                </w:p>
              </w:tc>
              <w:tc>
                <w:tcPr>
                  <w:tcW w:w="958" w:type="pct"/>
                  <w:vAlign w:val="center"/>
                </w:tcPr>
                <w:p w14:paraId="52942320">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封闭运输，配备洒水车，定期洒水，厂区地面及进出厂区道路混凝土硬化。</w:t>
                  </w:r>
                </w:p>
              </w:tc>
              <w:tc>
                <w:tcPr>
                  <w:tcW w:w="332" w:type="pct"/>
                  <w:vAlign w:val="center"/>
                </w:tcPr>
                <w:p w14:paraId="70A74392">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sz w:val="21"/>
                      <w:szCs w:val="21"/>
                    </w:rPr>
                    <w:t>66</w:t>
                  </w:r>
                </w:p>
              </w:tc>
              <w:tc>
                <w:tcPr>
                  <w:tcW w:w="293" w:type="pct"/>
                  <w:vAlign w:val="center"/>
                </w:tcPr>
                <w:p w14:paraId="7654D631">
                  <w:pPr>
                    <w:spacing w:line="360" w:lineRule="exact"/>
                    <w:contextualSpacing/>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是</w:t>
                  </w:r>
                </w:p>
              </w:tc>
              <w:tc>
                <w:tcPr>
                  <w:tcW w:w="293" w:type="pct"/>
                  <w:vAlign w:val="center"/>
                </w:tcPr>
                <w:p w14:paraId="16AC1668">
                  <w:pPr>
                    <w:spacing w:line="360" w:lineRule="exact"/>
                    <w:contextualSpacing/>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公式计算法</w:t>
                  </w:r>
                </w:p>
              </w:tc>
              <w:tc>
                <w:tcPr>
                  <w:tcW w:w="411" w:type="pct"/>
                  <w:vAlign w:val="center"/>
                </w:tcPr>
                <w:p w14:paraId="317C33C1">
                  <w:pPr>
                    <w:widowControl/>
                    <w:adjustRightInd w:val="0"/>
                    <w:snapToGrid w:val="0"/>
                    <w:spacing w:line="360" w:lineRule="exact"/>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＜1.0</w:t>
                  </w:r>
                </w:p>
              </w:tc>
              <w:tc>
                <w:tcPr>
                  <w:tcW w:w="316" w:type="pct"/>
                  <w:vAlign w:val="center"/>
                </w:tcPr>
                <w:p w14:paraId="22B4F9ED">
                  <w:pPr>
                    <w:widowControl/>
                    <w:adjustRightInd w:val="0"/>
                    <w:snapToGrid w:val="0"/>
                    <w:spacing w:line="360" w:lineRule="exact"/>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kern w:val="0"/>
                      <w:sz w:val="21"/>
                      <w:szCs w:val="21"/>
                    </w:rPr>
                    <w:t>/</w:t>
                  </w:r>
                </w:p>
              </w:tc>
              <w:tc>
                <w:tcPr>
                  <w:tcW w:w="326" w:type="pct"/>
                  <w:vAlign w:val="center"/>
                </w:tcPr>
                <w:p w14:paraId="7E7A3C04">
                  <w:pPr>
                    <w:spacing w:line="360" w:lineRule="exact"/>
                    <w:jc w:val="center"/>
                    <w:rPr>
                      <w:rFonts w:hint="default" w:ascii="Times New Roman" w:hAnsi="Times New Roman" w:eastAsia="宋体" w:cs="Times New Roman"/>
                      <w:bCs/>
                      <w:color w:val="auto"/>
                      <w:kern w:val="0"/>
                      <w:sz w:val="21"/>
                      <w:szCs w:val="21"/>
                    </w:rPr>
                  </w:pPr>
                  <w:r>
                    <w:rPr>
                      <w:rFonts w:hint="default" w:ascii="Times New Roman" w:hAnsi="Times New Roman" w:eastAsia="宋体" w:cs="Times New Roman"/>
                      <w:color w:val="auto"/>
                      <w:sz w:val="21"/>
                      <w:szCs w:val="21"/>
                    </w:rPr>
                    <w:t>1.24</w:t>
                  </w:r>
                </w:p>
              </w:tc>
              <w:tc>
                <w:tcPr>
                  <w:tcW w:w="389" w:type="pct"/>
                  <w:vAlign w:val="center"/>
                </w:tcPr>
                <w:p w14:paraId="134415A2">
                  <w:pPr>
                    <w:spacing w:line="360" w:lineRule="exact"/>
                    <w:contextualSpacing/>
                    <w:jc w:val="center"/>
                    <w:rPr>
                      <w:rFonts w:hint="default" w:ascii="Times New Roman" w:hAnsi="Times New Roman" w:eastAsia="宋体" w:cs="Times New Roman"/>
                      <w:bCs/>
                      <w:color w:val="auto"/>
                      <w:kern w:val="0"/>
                      <w:sz w:val="21"/>
                      <w:szCs w:val="21"/>
                      <w:lang w:val="en-US" w:eastAsia="zh-CN"/>
                    </w:rPr>
                  </w:pPr>
                  <w:r>
                    <w:rPr>
                      <w:rFonts w:hint="eastAsia" w:ascii="Times New Roman" w:hAnsi="Times New Roman" w:cs="Times New Roman"/>
                      <w:color w:val="auto"/>
                      <w:sz w:val="21"/>
                      <w:szCs w:val="21"/>
                      <w:lang w:val="en-US" w:eastAsia="zh-CN"/>
                    </w:rPr>
                    <w:t>7920</w:t>
                  </w:r>
                </w:p>
              </w:tc>
            </w:tr>
          </w:tbl>
          <w:p w14:paraId="46B59767">
            <w:pPr>
              <w:spacing w:line="440" w:lineRule="exact"/>
              <w:ind w:firstLine="480" w:firstLineChars="200"/>
              <w:rPr>
                <w:rFonts w:hint="default" w:ascii="Times New Roman" w:hAnsi="Times New Roman" w:cs="Times New Roman"/>
                <w:color w:val="auto"/>
                <w:kern w:val="0"/>
                <w:sz w:val="24"/>
                <w:szCs w:val="22"/>
              </w:rPr>
            </w:pPr>
            <w:r>
              <w:rPr>
                <w:rFonts w:hint="default" w:ascii="Times New Roman" w:hAnsi="Times New Roman" w:cs="Times New Roman"/>
                <w:color w:val="auto"/>
                <w:kern w:val="0"/>
                <w:sz w:val="24"/>
                <w:szCs w:val="22"/>
              </w:rPr>
              <w:t>大气污染物排放量核算见表4-</w:t>
            </w:r>
            <w:r>
              <w:rPr>
                <w:rFonts w:hint="eastAsia" w:ascii="Times New Roman" w:hAnsi="Times New Roman" w:cs="Times New Roman"/>
                <w:color w:val="auto"/>
                <w:kern w:val="0"/>
                <w:sz w:val="24"/>
                <w:szCs w:val="22"/>
              </w:rPr>
              <w:t>2</w:t>
            </w:r>
            <w:r>
              <w:rPr>
                <w:rFonts w:hint="default" w:ascii="Times New Roman" w:hAnsi="Times New Roman" w:cs="Times New Roman"/>
                <w:color w:val="auto"/>
                <w:kern w:val="0"/>
                <w:sz w:val="24"/>
                <w:szCs w:val="22"/>
              </w:rPr>
              <w:t>，大气污染物年排放量核算见表4-</w:t>
            </w:r>
            <w:r>
              <w:rPr>
                <w:rFonts w:hint="eastAsia" w:ascii="Times New Roman" w:hAnsi="Times New Roman" w:cs="Times New Roman"/>
                <w:color w:val="auto"/>
                <w:kern w:val="0"/>
                <w:sz w:val="24"/>
                <w:szCs w:val="22"/>
              </w:rPr>
              <w:t>3</w:t>
            </w:r>
            <w:r>
              <w:rPr>
                <w:rFonts w:hint="default" w:ascii="Times New Roman" w:hAnsi="Times New Roman" w:cs="Times New Roman"/>
                <w:color w:val="auto"/>
                <w:kern w:val="0"/>
                <w:sz w:val="24"/>
                <w:szCs w:val="22"/>
              </w:rPr>
              <w:t>。</w:t>
            </w:r>
          </w:p>
          <w:p w14:paraId="3F7E1B6B">
            <w:pPr>
              <w:spacing w:line="440" w:lineRule="exact"/>
              <w:jc w:val="center"/>
              <w:rPr>
                <w:b/>
                <w:color w:val="auto"/>
                <w:sz w:val="24"/>
              </w:rPr>
            </w:pPr>
            <w:r>
              <w:rPr>
                <w:b/>
                <w:color w:val="auto"/>
                <w:sz w:val="24"/>
              </w:rPr>
              <w:t>表4-</w:t>
            </w:r>
            <w:r>
              <w:rPr>
                <w:rFonts w:hint="eastAsia"/>
                <w:b/>
                <w:color w:val="auto"/>
                <w:sz w:val="24"/>
              </w:rPr>
              <w:t>2</w:t>
            </w:r>
            <w:r>
              <w:rPr>
                <w:b/>
                <w:color w:val="auto"/>
                <w:sz w:val="24"/>
              </w:rPr>
              <w:t xml:space="preserve"> </w:t>
            </w:r>
            <w:r>
              <w:rPr>
                <w:rFonts w:hint="eastAsia"/>
                <w:b/>
                <w:color w:val="auto"/>
                <w:sz w:val="24"/>
              </w:rPr>
              <w:t xml:space="preserve">  </w:t>
            </w:r>
            <w:r>
              <w:rPr>
                <w:b/>
                <w:color w:val="auto"/>
                <w:sz w:val="24"/>
              </w:rPr>
              <w:t xml:space="preserve"> 大气污染物无组织排放量核算表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75"/>
              <w:gridCol w:w="720"/>
              <w:gridCol w:w="336"/>
              <w:gridCol w:w="3094"/>
              <w:gridCol w:w="3271"/>
              <w:gridCol w:w="841"/>
              <w:gridCol w:w="888"/>
            </w:tblGrid>
            <w:tr w14:paraId="3025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146" w:type="pct"/>
                  <w:vMerge w:val="restart"/>
                  <w:vAlign w:val="center"/>
                </w:tcPr>
                <w:p w14:paraId="63EEAFE9">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序号</w:t>
                  </w:r>
                </w:p>
              </w:tc>
              <w:tc>
                <w:tcPr>
                  <w:tcW w:w="381" w:type="pct"/>
                  <w:vMerge w:val="restart"/>
                  <w:vAlign w:val="center"/>
                </w:tcPr>
                <w:p w14:paraId="56DF67E4">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产污环节</w:t>
                  </w:r>
                </w:p>
              </w:tc>
              <w:tc>
                <w:tcPr>
                  <w:tcW w:w="178" w:type="pct"/>
                  <w:vMerge w:val="restart"/>
                  <w:vAlign w:val="center"/>
                </w:tcPr>
                <w:p w14:paraId="53A18565">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污染物</w:t>
                  </w:r>
                </w:p>
              </w:tc>
              <w:tc>
                <w:tcPr>
                  <w:tcW w:w="1641" w:type="pct"/>
                  <w:vMerge w:val="restart"/>
                  <w:vAlign w:val="center"/>
                </w:tcPr>
                <w:p w14:paraId="76875F49">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主要污染防治措施</w:t>
                  </w:r>
                </w:p>
              </w:tc>
              <w:tc>
                <w:tcPr>
                  <w:tcW w:w="2180" w:type="pct"/>
                  <w:gridSpan w:val="2"/>
                  <w:vAlign w:val="center"/>
                </w:tcPr>
                <w:p w14:paraId="425F6D6E">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排放标准</w:t>
                  </w:r>
                </w:p>
              </w:tc>
              <w:tc>
                <w:tcPr>
                  <w:tcW w:w="471" w:type="pct"/>
                  <w:vMerge w:val="restart"/>
                  <w:vAlign w:val="center"/>
                </w:tcPr>
                <w:p w14:paraId="61F5DCD1">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年排放量/（t/a）</w:t>
                  </w:r>
                </w:p>
              </w:tc>
            </w:tr>
            <w:tr w14:paraId="6C7C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146" w:type="pct"/>
                  <w:vMerge w:val="continue"/>
                  <w:vAlign w:val="center"/>
                </w:tcPr>
                <w:p w14:paraId="1B2A1F13">
                  <w:pPr>
                    <w:spacing w:line="360" w:lineRule="exact"/>
                    <w:contextualSpacing/>
                    <w:jc w:val="center"/>
                    <w:rPr>
                      <w:rFonts w:hint="default" w:ascii="Times New Roman" w:hAnsi="Times New Roman" w:eastAsia="宋体" w:cs="Times New Roman"/>
                      <w:color w:val="auto"/>
                      <w:kern w:val="0"/>
                      <w:sz w:val="21"/>
                      <w:szCs w:val="21"/>
                    </w:rPr>
                  </w:pPr>
                </w:p>
              </w:tc>
              <w:tc>
                <w:tcPr>
                  <w:tcW w:w="381" w:type="pct"/>
                  <w:vMerge w:val="continue"/>
                  <w:vAlign w:val="center"/>
                </w:tcPr>
                <w:p w14:paraId="39F6DCF1">
                  <w:pPr>
                    <w:spacing w:line="360" w:lineRule="exact"/>
                    <w:contextualSpacing/>
                    <w:jc w:val="center"/>
                    <w:rPr>
                      <w:rFonts w:hint="default" w:ascii="Times New Roman" w:hAnsi="Times New Roman" w:eastAsia="宋体" w:cs="Times New Roman"/>
                      <w:color w:val="auto"/>
                      <w:kern w:val="0"/>
                      <w:sz w:val="21"/>
                      <w:szCs w:val="21"/>
                    </w:rPr>
                  </w:pPr>
                </w:p>
              </w:tc>
              <w:tc>
                <w:tcPr>
                  <w:tcW w:w="178" w:type="pct"/>
                  <w:vMerge w:val="continue"/>
                  <w:vAlign w:val="center"/>
                </w:tcPr>
                <w:p w14:paraId="4E86D680">
                  <w:pPr>
                    <w:spacing w:line="360" w:lineRule="exact"/>
                    <w:contextualSpacing/>
                    <w:jc w:val="center"/>
                    <w:rPr>
                      <w:rFonts w:hint="default" w:ascii="Times New Roman" w:hAnsi="Times New Roman" w:eastAsia="宋体" w:cs="Times New Roman"/>
                      <w:color w:val="auto"/>
                      <w:kern w:val="0"/>
                      <w:sz w:val="21"/>
                      <w:szCs w:val="21"/>
                    </w:rPr>
                  </w:pPr>
                </w:p>
              </w:tc>
              <w:tc>
                <w:tcPr>
                  <w:tcW w:w="1641" w:type="pct"/>
                  <w:vMerge w:val="continue"/>
                  <w:vAlign w:val="center"/>
                </w:tcPr>
                <w:p w14:paraId="25DFDB3F">
                  <w:pPr>
                    <w:spacing w:line="360" w:lineRule="exact"/>
                    <w:contextualSpacing/>
                    <w:jc w:val="center"/>
                    <w:rPr>
                      <w:rFonts w:hint="default" w:ascii="Times New Roman" w:hAnsi="Times New Roman" w:eastAsia="宋体" w:cs="Times New Roman"/>
                      <w:color w:val="auto"/>
                      <w:kern w:val="0"/>
                      <w:sz w:val="21"/>
                      <w:szCs w:val="21"/>
                    </w:rPr>
                  </w:pPr>
                </w:p>
              </w:tc>
              <w:tc>
                <w:tcPr>
                  <w:tcW w:w="1735" w:type="pct"/>
                  <w:vAlign w:val="center"/>
                </w:tcPr>
                <w:p w14:paraId="17EAC533">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标准名称</w:t>
                  </w:r>
                </w:p>
              </w:tc>
              <w:tc>
                <w:tcPr>
                  <w:tcW w:w="444" w:type="pct"/>
                  <w:vAlign w:val="center"/>
                </w:tcPr>
                <w:p w14:paraId="249BE9AE">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浓度限值mg/m</w:t>
                  </w:r>
                  <w:r>
                    <w:rPr>
                      <w:rFonts w:hint="default" w:ascii="Times New Roman" w:hAnsi="Times New Roman" w:eastAsia="宋体" w:cs="Times New Roman"/>
                      <w:color w:val="auto"/>
                      <w:kern w:val="0"/>
                      <w:sz w:val="21"/>
                      <w:szCs w:val="21"/>
                      <w:vertAlign w:val="superscript"/>
                    </w:rPr>
                    <w:t>3</w:t>
                  </w:r>
                </w:p>
              </w:tc>
              <w:tc>
                <w:tcPr>
                  <w:tcW w:w="471" w:type="pct"/>
                  <w:vMerge w:val="continue"/>
                  <w:vAlign w:val="center"/>
                </w:tcPr>
                <w:p w14:paraId="0C607BE0">
                  <w:pPr>
                    <w:spacing w:line="360" w:lineRule="exact"/>
                    <w:contextualSpacing/>
                    <w:jc w:val="center"/>
                    <w:rPr>
                      <w:rFonts w:hint="default" w:ascii="Times New Roman" w:hAnsi="Times New Roman" w:eastAsia="宋体" w:cs="Times New Roman"/>
                      <w:color w:val="auto"/>
                      <w:kern w:val="0"/>
                      <w:sz w:val="21"/>
                      <w:szCs w:val="21"/>
                    </w:rPr>
                  </w:pPr>
                </w:p>
              </w:tc>
            </w:tr>
            <w:tr w14:paraId="4D89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146" w:type="pct"/>
                  <w:vAlign w:val="center"/>
                </w:tcPr>
                <w:p w14:paraId="10C36273">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w:t>
                  </w:r>
                </w:p>
              </w:tc>
              <w:tc>
                <w:tcPr>
                  <w:tcW w:w="381" w:type="pct"/>
                  <w:vAlign w:val="center"/>
                </w:tcPr>
                <w:p w14:paraId="32A481E9">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储存堆放、装料</w:t>
                  </w:r>
                </w:p>
              </w:tc>
              <w:tc>
                <w:tcPr>
                  <w:tcW w:w="178" w:type="pct"/>
                  <w:vAlign w:val="center"/>
                </w:tcPr>
                <w:p w14:paraId="6C18A0F5">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颗粒物</w:t>
                  </w:r>
                </w:p>
              </w:tc>
              <w:tc>
                <w:tcPr>
                  <w:tcW w:w="1641" w:type="pct"/>
                  <w:vAlign w:val="center"/>
                </w:tcPr>
                <w:p w14:paraId="07E3C4A1">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煤棚全封闭，在工作时洒水抑尘。</w:t>
                  </w:r>
                </w:p>
              </w:tc>
              <w:tc>
                <w:tcPr>
                  <w:tcW w:w="1735" w:type="pct"/>
                  <w:vMerge w:val="restart"/>
                  <w:vAlign w:val="center"/>
                </w:tcPr>
                <w:p w14:paraId="47FAFE13">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《煤炭工业污染物排放标准》（GB20426-2006）表5煤炭工业无组织排放限值</w:t>
                  </w:r>
                </w:p>
              </w:tc>
              <w:tc>
                <w:tcPr>
                  <w:tcW w:w="444" w:type="pct"/>
                  <w:vMerge w:val="restart"/>
                  <w:vAlign w:val="center"/>
                </w:tcPr>
                <w:p w14:paraId="02F1F17A">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1.0</w:t>
                  </w:r>
                </w:p>
              </w:tc>
              <w:tc>
                <w:tcPr>
                  <w:tcW w:w="471" w:type="pct"/>
                  <w:vAlign w:val="center"/>
                </w:tcPr>
                <w:p w14:paraId="16C98F3E">
                  <w:pPr>
                    <w:spacing w:line="360" w:lineRule="exact"/>
                    <w:contextualSpacing/>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6.348</w:t>
                  </w:r>
                </w:p>
              </w:tc>
            </w:tr>
            <w:tr w14:paraId="2A42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46" w:type="pct"/>
                  <w:vAlign w:val="center"/>
                </w:tcPr>
                <w:p w14:paraId="71ED84F8">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2</w:t>
                  </w:r>
                </w:p>
              </w:tc>
              <w:tc>
                <w:tcPr>
                  <w:tcW w:w="381" w:type="pct"/>
                  <w:vAlign w:val="center"/>
                </w:tcPr>
                <w:p w14:paraId="40130439">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厂区道路运输</w:t>
                  </w:r>
                </w:p>
              </w:tc>
              <w:tc>
                <w:tcPr>
                  <w:tcW w:w="178" w:type="pct"/>
                  <w:vAlign w:val="center"/>
                </w:tcPr>
                <w:p w14:paraId="3495C85D">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颗粒物</w:t>
                  </w:r>
                </w:p>
              </w:tc>
              <w:tc>
                <w:tcPr>
                  <w:tcW w:w="1641" w:type="pct"/>
                  <w:vAlign w:val="center"/>
                </w:tcPr>
                <w:p w14:paraId="71346077">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封闭运输，配备洒水车，定期洒水，厂区地面及进出厂区道路混凝土硬化。</w:t>
                  </w:r>
                </w:p>
              </w:tc>
              <w:tc>
                <w:tcPr>
                  <w:tcW w:w="1735" w:type="pct"/>
                  <w:vMerge w:val="continue"/>
                  <w:vAlign w:val="center"/>
                </w:tcPr>
                <w:p w14:paraId="0165966B">
                  <w:pPr>
                    <w:spacing w:line="360" w:lineRule="exact"/>
                    <w:contextualSpacing/>
                    <w:jc w:val="center"/>
                    <w:rPr>
                      <w:rFonts w:hint="default" w:ascii="Times New Roman" w:hAnsi="Times New Roman" w:eastAsia="宋体" w:cs="Times New Roman"/>
                      <w:color w:val="auto"/>
                      <w:kern w:val="0"/>
                      <w:sz w:val="21"/>
                      <w:szCs w:val="21"/>
                    </w:rPr>
                  </w:pPr>
                </w:p>
              </w:tc>
              <w:tc>
                <w:tcPr>
                  <w:tcW w:w="444" w:type="pct"/>
                  <w:vMerge w:val="continue"/>
                  <w:vAlign w:val="center"/>
                </w:tcPr>
                <w:p w14:paraId="31482A9D">
                  <w:pPr>
                    <w:spacing w:line="360" w:lineRule="exact"/>
                    <w:contextualSpacing/>
                    <w:jc w:val="center"/>
                    <w:rPr>
                      <w:rFonts w:hint="default" w:ascii="Times New Roman" w:hAnsi="Times New Roman" w:eastAsia="宋体" w:cs="Times New Roman"/>
                      <w:color w:val="auto"/>
                      <w:kern w:val="0"/>
                      <w:sz w:val="21"/>
                      <w:szCs w:val="21"/>
                    </w:rPr>
                  </w:pPr>
                </w:p>
              </w:tc>
              <w:tc>
                <w:tcPr>
                  <w:tcW w:w="471" w:type="pct"/>
                  <w:vAlign w:val="center"/>
                </w:tcPr>
                <w:p w14:paraId="3897952A">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1.24</w:t>
                  </w:r>
                </w:p>
              </w:tc>
            </w:tr>
            <w:tr w14:paraId="2B97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528" w:type="pct"/>
                  <w:gridSpan w:val="2"/>
                  <w:vAlign w:val="center"/>
                </w:tcPr>
                <w:p w14:paraId="4AA658F1">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无组织排放量总计</w:t>
                  </w:r>
                </w:p>
              </w:tc>
              <w:tc>
                <w:tcPr>
                  <w:tcW w:w="4000" w:type="pct"/>
                  <w:gridSpan w:val="4"/>
                  <w:vAlign w:val="center"/>
                </w:tcPr>
                <w:p w14:paraId="6AAF0305">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颗粒物</w:t>
                  </w:r>
                </w:p>
              </w:tc>
              <w:tc>
                <w:tcPr>
                  <w:tcW w:w="471" w:type="pct"/>
                  <w:vAlign w:val="center"/>
                </w:tcPr>
                <w:p w14:paraId="5713BF1E">
                  <w:pPr>
                    <w:spacing w:line="360" w:lineRule="exact"/>
                    <w:contextualSpacing/>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7.588</w:t>
                  </w:r>
                </w:p>
              </w:tc>
            </w:tr>
          </w:tbl>
          <w:p w14:paraId="76241DAD">
            <w:pPr>
              <w:spacing w:line="440" w:lineRule="exact"/>
              <w:jc w:val="center"/>
              <w:rPr>
                <w:b/>
                <w:color w:val="auto"/>
                <w:sz w:val="24"/>
              </w:rPr>
            </w:pPr>
            <w:r>
              <w:rPr>
                <w:b/>
                <w:color w:val="auto"/>
                <w:sz w:val="24"/>
              </w:rPr>
              <w:t>表4-</w:t>
            </w:r>
            <w:r>
              <w:rPr>
                <w:rFonts w:hint="eastAsia"/>
                <w:b/>
                <w:color w:val="auto"/>
                <w:sz w:val="24"/>
              </w:rPr>
              <w:t>3</w:t>
            </w:r>
            <w:r>
              <w:rPr>
                <w:b/>
                <w:color w:val="auto"/>
                <w:sz w:val="24"/>
              </w:rPr>
              <w:t xml:space="preserve">     大气污染物年排放量核算表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4000"/>
              <w:gridCol w:w="3294"/>
            </w:tblGrid>
            <w:tr w14:paraId="0C7B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2936603">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序号</w:t>
                  </w:r>
                </w:p>
              </w:tc>
              <w:tc>
                <w:tcPr>
                  <w:tcW w:w="2123" w:type="pct"/>
                  <w:vAlign w:val="center"/>
                </w:tcPr>
                <w:p w14:paraId="4BBD7E25">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污染物</w:t>
                  </w:r>
                </w:p>
              </w:tc>
              <w:tc>
                <w:tcPr>
                  <w:tcW w:w="1748" w:type="pct"/>
                  <w:vAlign w:val="center"/>
                </w:tcPr>
                <w:p w14:paraId="3F9D315A">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年排放量/（t/a）</w:t>
                  </w:r>
                </w:p>
              </w:tc>
            </w:tr>
            <w:tr w14:paraId="48F1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82F318C">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w:t>
                  </w:r>
                </w:p>
              </w:tc>
              <w:tc>
                <w:tcPr>
                  <w:tcW w:w="2123" w:type="pct"/>
                  <w:vAlign w:val="center"/>
                </w:tcPr>
                <w:p w14:paraId="758CB46D">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颗粒物</w:t>
                  </w:r>
                </w:p>
              </w:tc>
              <w:tc>
                <w:tcPr>
                  <w:tcW w:w="1748" w:type="pct"/>
                  <w:vAlign w:val="center"/>
                </w:tcPr>
                <w:p w14:paraId="31F2C15E">
                  <w:pPr>
                    <w:spacing w:line="360" w:lineRule="exact"/>
                    <w:contextualSpacing/>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7.588</w:t>
                  </w:r>
                </w:p>
              </w:tc>
            </w:tr>
          </w:tbl>
          <w:p w14:paraId="634F8EC9">
            <w:pPr>
              <w:pStyle w:val="5"/>
              <w:adjustRightInd/>
              <w:spacing w:before="0" w:after="0" w:line="440" w:lineRule="exact"/>
              <w:ind w:firstLine="482" w:firstLineChars="200"/>
              <w:jc w:val="both"/>
              <w:rPr>
                <w:rFonts w:hint="eastAsia" w:ascii="Times New Roman" w:hAnsi="Times New Roman" w:eastAsia="宋体"/>
                <w:color w:val="auto"/>
                <w:sz w:val="24"/>
                <w:lang w:eastAsia="zh-CN"/>
              </w:rPr>
            </w:pPr>
            <w:r>
              <w:rPr>
                <w:rFonts w:hint="eastAsia" w:ascii="Times New Roman" w:hAnsi="Times New Roman" w:eastAsia="宋体"/>
                <w:color w:val="auto"/>
                <w:sz w:val="24"/>
                <w:lang w:eastAsia="zh-CN"/>
              </w:rPr>
              <w:t>（</w:t>
            </w:r>
            <w:r>
              <w:rPr>
                <w:rFonts w:hint="eastAsia" w:ascii="Times New Roman" w:hAnsi="Times New Roman" w:eastAsia="宋体"/>
                <w:color w:val="auto"/>
                <w:sz w:val="24"/>
                <w:lang w:val="en-US" w:eastAsia="zh-CN"/>
              </w:rPr>
              <w:t>4</w:t>
            </w:r>
            <w:r>
              <w:rPr>
                <w:rFonts w:hint="eastAsia" w:ascii="Times New Roman" w:hAnsi="Times New Roman" w:eastAsia="宋体"/>
                <w:color w:val="auto"/>
                <w:sz w:val="24"/>
                <w:lang w:eastAsia="zh-CN"/>
              </w:rPr>
              <w:t>）非正常工况</w:t>
            </w:r>
          </w:p>
          <w:p w14:paraId="7E25A914">
            <w:pPr>
              <w:pStyle w:val="5"/>
              <w:adjustRightInd/>
              <w:spacing w:before="0" w:after="0" w:line="440" w:lineRule="exact"/>
              <w:ind w:firstLine="480" w:firstLineChars="200"/>
              <w:jc w:val="both"/>
              <w:rPr>
                <w:rFonts w:hint="eastAsia" w:ascii="Times New Roman" w:hAnsi="Times New Roman" w:eastAsia="宋体"/>
                <w:b w:val="0"/>
                <w:bCs/>
                <w:color w:val="auto"/>
                <w:sz w:val="24"/>
                <w:lang w:eastAsia="zh-CN"/>
              </w:rPr>
            </w:pPr>
            <w:r>
              <w:rPr>
                <w:rFonts w:hint="eastAsia" w:ascii="Times New Roman" w:hAnsi="Times New Roman" w:eastAsia="宋体"/>
                <w:b w:val="0"/>
                <w:bCs/>
                <w:color w:val="auto"/>
                <w:sz w:val="24"/>
                <w:lang w:eastAsia="zh-CN"/>
              </w:rPr>
              <w:t>非正常工况指生产过程中开停车、设备检修、工艺设备运转异常等，以及污染物排放控制措施达不到应有效率等情况下的排放。项目为煤炭储存棚建设项目，主要进行煤炭储存及装料外售，不涉及非正常情况。</w:t>
            </w:r>
          </w:p>
          <w:p w14:paraId="05D47255">
            <w:pPr>
              <w:pStyle w:val="5"/>
              <w:adjustRightInd/>
              <w:spacing w:before="0" w:after="0" w:line="440" w:lineRule="exact"/>
              <w:ind w:firstLine="482" w:firstLineChars="200"/>
              <w:jc w:val="both"/>
              <w:rPr>
                <w:rFonts w:hint="eastAsia" w:ascii="Times New Roman" w:hAnsi="Times New Roman" w:eastAsia="宋体"/>
                <w:color w:val="auto"/>
                <w:sz w:val="24"/>
                <w:lang w:eastAsia="zh-CN"/>
              </w:rPr>
            </w:pPr>
            <w:r>
              <w:rPr>
                <w:rFonts w:hint="eastAsia" w:ascii="Times New Roman" w:hAnsi="Times New Roman" w:eastAsia="宋体"/>
                <w:color w:val="auto"/>
                <w:sz w:val="24"/>
                <w:lang w:eastAsia="zh-CN"/>
              </w:rPr>
              <w:t>（</w:t>
            </w:r>
            <w:r>
              <w:rPr>
                <w:rFonts w:hint="eastAsia" w:ascii="Times New Roman" w:hAnsi="Times New Roman" w:eastAsia="宋体"/>
                <w:color w:val="auto"/>
                <w:sz w:val="24"/>
                <w:lang w:val="en-US" w:eastAsia="zh-CN"/>
              </w:rPr>
              <w:t>5</w:t>
            </w:r>
            <w:r>
              <w:rPr>
                <w:rFonts w:hint="eastAsia" w:ascii="Times New Roman" w:hAnsi="Times New Roman" w:eastAsia="宋体"/>
                <w:color w:val="auto"/>
                <w:sz w:val="24"/>
                <w:lang w:eastAsia="zh-CN"/>
              </w:rPr>
              <w:t>）污染防治可行性技术分析</w:t>
            </w:r>
          </w:p>
          <w:p w14:paraId="4232E957">
            <w:pPr>
              <w:pStyle w:val="5"/>
              <w:adjustRightInd/>
              <w:spacing w:before="0" w:after="0" w:line="440" w:lineRule="exact"/>
              <w:ind w:firstLine="480" w:firstLineChars="200"/>
              <w:jc w:val="both"/>
              <w:rPr>
                <w:rFonts w:hint="eastAsia" w:ascii="Times New Roman" w:hAnsi="Times New Roman" w:eastAsia="宋体"/>
                <w:b w:val="0"/>
                <w:bCs/>
                <w:color w:val="auto"/>
                <w:sz w:val="24"/>
                <w:lang w:eastAsia="zh-CN"/>
              </w:rPr>
            </w:pPr>
            <w:r>
              <w:rPr>
                <w:rFonts w:hint="eastAsia" w:ascii="Times New Roman" w:hAnsi="Times New Roman" w:eastAsia="宋体"/>
                <w:b w:val="0"/>
                <w:bCs/>
                <w:color w:val="auto"/>
                <w:sz w:val="24"/>
                <w:lang w:eastAsia="zh-CN"/>
              </w:rPr>
              <w:t>项目采取的废气无组织控制措施如下：</w:t>
            </w:r>
          </w:p>
          <w:p w14:paraId="362E8CDE">
            <w:pPr>
              <w:pStyle w:val="5"/>
              <w:adjustRightInd/>
              <w:spacing w:before="0" w:after="0" w:line="440" w:lineRule="exact"/>
              <w:ind w:firstLine="480" w:firstLineChars="200"/>
              <w:jc w:val="both"/>
              <w:rPr>
                <w:rFonts w:hint="eastAsia" w:ascii="Times New Roman" w:hAnsi="Times New Roman" w:eastAsia="宋体"/>
                <w:b w:val="0"/>
                <w:bCs/>
                <w:color w:val="auto"/>
                <w:sz w:val="24"/>
                <w:lang w:eastAsia="zh-CN"/>
              </w:rPr>
            </w:pPr>
            <w:r>
              <w:rPr>
                <w:rFonts w:hint="eastAsia" w:ascii="Times New Roman" w:hAnsi="Times New Roman" w:eastAsia="宋体"/>
                <w:b w:val="0"/>
                <w:bCs/>
                <w:color w:val="auto"/>
                <w:sz w:val="24"/>
                <w:lang w:eastAsia="zh-CN"/>
              </w:rPr>
              <w:t>a、项目采用全封闭储棚及生产车间，配备</w:t>
            </w:r>
            <w:r>
              <w:rPr>
                <w:rFonts w:hint="eastAsia" w:ascii="Times New Roman" w:hAnsi="Times New Roman" w:eastAsia="宋体"/>
                <w:b w:val="0"/>
                <w:bCs/>
                <w:color w:val="auto"/>
                <w:sz w:val="24"/>
                <w:lang w:val="en-US" w:eastAsia="zh-CN"/>
              </w:rPr>
              <w:t>洒水</w:t>
            </w:r>
            <w:r>
              <w:rPr>
                <w:rFonts w:hint="eastAsia" w:ascii="Times New Roman" w:hAnsi="Times New Roman" w:eastAsia="宋体"/>
                <w:b w:val="0"/>
                <w:bCs/>
                <w:color w:val="auto"/>
                <w:sz w:val="24"/>
                <w:lang w:eastAsia="zh-CN"/>
              </w:rPr>
              <w:t>抑尘设施；煤棚安装视频监控设施，并与环保部门平台联网。</w:t>
            </w:r>
          </w:p>
          <w:p w14:paraId="32DEE775">
            <w:pPr>
              <w:pStyle w:val="5"/>
              <w:adjustRightInd/>
              <w:spacing w:before="0" w:after="0" w:line="440" w:lineRule="exact"/>
              <w:ind w:firstLine="480" w:firstLineChars="200"/>
              <w:jc w:val="both"/>
              <w:rPr>
                <w:rFonts w:hint="eastAsia" w:ascii="Times New Roman" w:hAnsi="Times New Roman" w:eastAsia="宋体"/>
                <w:b w:val="0"/>
                <w:bCs/>
                <w:color w:val="auto"/>
                <w:sz w:val="24"/>
                <w:lang w:eastAsia="zh-CN"/>
              </w:rPr>
            </w:pPr>
            <w:r>
              <w:rPr>
                <w:rFonts w:hint="eastAsia" w:ascii="Times New Roman" w:hAnsi="Times New Roman" w:eastAsia="宋体"/>
                <w:b w:val="0"/>
                <w:bCs/>
                <w:color w:val="auto"/>
                <w:sz w:val="24"/>
                <w:lang w:eastAsia="zh-CN"/>
              </w:rPr>
              <w:t>b、为降低运输扬尘产生量，项目通过降低行驶速度、厂区设洒水车、道路硬化、路面定期清扫等方式降低无组织粉尘。</w:t>
            </w:r>
          </w:p>
          <w:p w14:paraId="2C623FEF">
            <w:pPr>
              <w:pStyle w:val="5"/>
              <w:adjustRightInd/>
              <w:spacing w:before="0" w:after="0" w:line="440" w:lineRule="exact"/>
              <w:ind w:firstLine="480" w:firstLineChars="200"/>
              <w:jc w:val="both"/>
              <w:rPr>
                <w:rFonts w:hint="eastAsia" w:ascii="Times New Roman" w:hAnsi="Times New Roman" w:eastAsia="宋体"/>
                <w:b w:val="0"/>
                <w:bCs/>
                <w:color w:val="auto"/>
                <w:sz w:val="24"/>
                <w:lang w:eastAsia="zh-CN"/>
              </w:rPr>
            </w:pPr>
            <w:r>
              <w:rPr>
                <w:rFonts w:hint="eastAsia" w:ascii="Times New Roman" w:hAnsi="Times New Roman" w:eastAsia="宋体"/>
                <w:b w:val="0"/>
                <w:bCs/>
                <w:color w:val="auto"/>
                <w:sz w:val="24"/>
                <w:lang w:eastAsia="zh-CN"/>
              </w:rPr>
              <w:t>c、制定严格的规章制度，明确员工责任制度。在事故情况下，采取及时有效的措施，避免对周边大气环境的影响。</w:t>
            </w:r>
          </w:p>
          <w:p w14:paraId="503B71CA">
            <w:pPr>
              <w:pStyle w:val="5"/>
              <w:adjustRightInd/>
              <w:spacing w:before="0" w:after="0" w:line="440" w:lineRule="exact"/>
              <w:ind w:firstLine="480" w:firstLineChars="200"/>
              <w:jc w:val="both"/>
              <w:rPr>
                <w:rFonts w:hint="eastAsia" w:ascii="Times New Roman" w:hAnsi="Times New Roman" w:eastAsia="宋体"/>
                <w:b w:val="0"/>
                <w:bCs/>
                <w:color w:val="auto"/>
                <w:sz w:val="24"/>
                <w:lang w:eastAsia="zh-CN"/>
              </w:rPr>
            </w:pPr>
            <w:r>
              <w:rPr>
                <w:rFonts w:hint="eastAsia" w:ascii="Times New Roman" w:hAnsi="Times New Roman" w:eastAsia="宋体"/>
                <w:b w:val="0"/>
                <w:bCs/>
                <w:color w:val="auto"/>
                <w:sz w:val="24"/>
                <w:lang w:eastAsia="zh-CN"/>
              </w:rPr>
              <w:t>项目采取的无组织控制措施符合相关技术规范无组织控制措施要求，采取措施后，无组织排放的颗粒物能满足《煤炭工业污染物排放标准》（GB20426-2006）表 5 煤炭工业无组织排放限值。</w:t>
            </w:r>
          </w:p>
          <w:p w14:paraId="11B16A07">
            <w:pPr>
              <w:pStyle w:val="5"/>
              <w:adjustRightInd/>
              <w:spacing w:before="0" w:after="0" w:line="440" w:lineRule="exact"/>
              <w:ind w:firstLine="482" w:firstLineChars="200"/>
              <w:jc w:val="both"/>
              <w:rPr>
                <w:rFonts w:hint="eastAsia" w:ascii="Times New Roman" w:hAnsi="Times New Roman" w:eastAsia="宋体"/>
                <w:color w:val="auto"/>
                <w:sz w:val="24"/>
                <w:lang w:eastAsia="zh-CN"/>
              </w:rPr>
            </w:pPr>
            <w:r>
              <w:rPr>
                <w:rFonts w:hint="eastAsia" w:ascii="Times New Roman" w:hAnsi="Times New Roman" w:eastAsia="宋体"/>
                <w:color w:val="auto"/>
                <w:sz w:val="24"/>
                <w:lang w:eastAsia="zh-CN"/>
              </w:rPr>
              <w:t>（</w:t>
            </w:r>
            <w:r>
              <w:rPr>
                <w:rFonts w:hint="eastAsia" w:ascii="Times New Roman" w:hAnsi="Times New Roman" w:eastAsia="宋体"/>
                <w:color w:val="auto"/>
                <w:sz w:val="24"/>
                <w:lang w:val="en-US" w:eastAsia="zh-CN"/>
              </w:rPr>
              <w:t>6</w:t>
            </w:r>
            <w:r>
              <w:rPr>
                <w:rFonts w:hint="eastAsia" w:ascii="Times New Roman" w:hAnsi="Times New Roman" w:eastAsia="宋体"/>
                <w:color w:val="auto"/>
                <w:sz w:val="24"/>
                <w:lang w:eastAsia="zh-CN"/>
              </w:rPr>
              <w:t>）大气监测计划</w:t>
            </w:r>
          </w:p>
          <w:p w14:paraId="5E3D447D">
            <w:pPr>
              <w:pStyle w:val="5"/>
              <w:adjustRightInd/>
              <w:spacing w:before="0" w:after="0" w:line="440" w:lineRule="exact"/>
              <w:ind w:firstLine="480" w:firstLineChars="200"/>
              <w:jc w:val="both"/>
              <w:rPr>
                <w:rFonts w:hint="eastAsia" w:ascii="Times New Roman" w:hAnsi="Times New Roman" w:eastAsia="宋体"/>
                <w:b w:val="0"/>
                <w:bCs/>
                <w:color w:val="auto"/>
                <w:sz w:val="24"/>
                <w:lang w:eastAsia="zh-CN"/>
              </w:rPr>
            </w:pPr>
            <w:r>
              <w:rPr>
                <w:rFonts w:hint="eastAsia" w:ascii="Times New Roman" w:hAnsi="Times New Roman" w:eastAsia="宋体"/>
                <w:b w:val="0"/>
                <w:bCs/>
                <w:color w:val="auto"/>
                <w:sz w:val="24"/>
                <w:lang w:eastAsia="zh-CN"/>
              </w:rPr>
              <w:t>根据工程特点，污染源、污染物排放情况及《排污单位自行监测技术指南  总则》（HJ 819-2017），本次提出如下监测要求：</w:t>
            </w:r>
          </w:p>
          <w:p w14:paraId="6F796738">
            <w:pPr>
              <w:spacing w:line="440" w:lineRule="exact"/>
              <w:jc w:val="center"/>
              <w:rPr>
                <w:b/>
                <w:color w:val="auto"/>
                <w:sz w:val="24"/>
              </w:rPr>
            </w:pPr>
            <w:r>
              <w:rPr>
                <w:b/>
                <w:color w:val="auto"/>
                <w:sz w:val="24"/>
              </w:rPr>
              <w:t>表4-</w:t>
            </w:r>
            <w:r>
              <w:rPr>
                <w:rFonts w:hint="eastAsia"/>
                <w:b/>
                <w:color w:val="auto"/>
                <w:sz w:val="24"/>
              </w:rPr>
              <w:t>4</w:t>
            </w:r>
            <w:r>
              <w:rPr>
                <w:b/>
                <w:color w:val="auto"/>
                <w:sz w:val="24"/>
              </w:rPr>
              <w:t xml:space="preserve">      </w:t>
            </w:r>
            <w:r>
              <w:rPr>
                <w:rFonts w:hint="eastAsia"/>
                <w:b/>
                <w:color w:val="auto"/>
                <w:sz w:val="24"/>
              </w:rPr>
              <w:t>大气环境</w:t>
            </w:r>
            <w:r>
              <w:rPr>
                <w:b/>
                <w:color w:val="auto"/>
                <w:sz w:val="24"/>
              </w:rPr>
              <w:t>监测计划</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1"/>
              <w:gridCol w:w="961"/>
              <w:gridCol w:w="3165"/>
              <w:gridCol w:w="950"/>
              <w:gridCol w:w="3848"/>
            </w:tblGrid>
            <w:tr w14:paraId="061D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266" w:type="pct"/>
                  <w:vAlign w:val="center"/>
                </w:tcPr>
                <w:p w14:paraId="1F79BA32">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类别</w:t>
                  </w:r>
                </w:p>
              </w:tc>
              <w:tc>
                <w:tcPr>
                  <w:tcW w:w="510" w:type="pct"/>
                  <w:vAlign w:val="center"/>
                </w:tcPr>
                <w:p w14:paraId="1BE8C48B">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监测点位</w:t>
                  </w:r>
                </w:p>
              </w:tc>
              <w:tc>
                <w:tcPr>
                  <w:tcW w:w="1679" w:type="pct"/>
                  <w:vAlign w:val="center"/>
                </w:tcPr>
                <w:p w14:paraId="4BC8BAB3">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监测指标</w:t>
                  </w:r>
                </w:p>
              </w:tc>
              <w:tc>
                <w:tcPr>
                  <w:tcW w:w="504" w:type="pct"/>
                  <w:vAlign w:val="center"/>
                </w:tcPr>
                <w:p w14:paraId="6EAF3353">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监测频次</w:t>
                  </w:r>
                </w:p>
              </w:tc>
              <w:tc>
                <w:tcPr>
                  <w:tcW w:w="2041" w:type="pct"/>
                  <w:vAlign w:val="center"/>
                </w:tcPr>
                <w:p w14:paraId="5250F03C">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执行排放标准</w:t>
                  </w:r>
                </w:p>
              </w:tc>
            </w:tr>
            <w:tr w14:paraId="7C98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266" w:type="pct"/>
                  <w:vAlign w:val="center"/>
                </w:tcPr>
                <w:p w14:paraId="25C8A6B6">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废气</w:t>
                  </w:r>
                </w:p>
              </w:tc>
              <w:tc>
                <w:tcPr>
                  <w:tcW w:w="510" w:type="pct"/>
                  <w:vAlign w:val="center"/>
                </w:tcPr>
                <w:p w14:paraId="1DB0651E">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厂界</w:t>
                  </w:r>
                </w:p>
              </w:tc>
              <w:tc>
                <w:tcPr>
                  <w:tcW w:w="1679" w:type="pct"/>
                  <w:vAlign w:val="center"/>
                </w:tcPr>
                <w:p w14:paraId="1323F0F0">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颗粒物</w:t>
                  </w:r>
                </w:p>
              </w:tc>
              <w:tc>
                <w:tcPr>
                  <w:tcW w:w="504" w:type="pct"/>
                  <w:vAlign w:val="center"/>
                </w:tcPr>
                <w:p w14:paraId="64DEF423">
                  <w:pPr>
                    <w:spacing w:line="360" w:lineRule="exact"/>
                    <w:contextualSpacing/>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1次/年</w:t>
                  </w:r>
                </w:p>
              </w:tc>
              <w:tc>
                <w:tcPr>
                  <w:tcW w:w="2041" w:type="pct"/>
                  <w:vAlign w:val="center"/>
                </w:tcPr>
                <w:p w14:paraId="5848D175">
                  <w:pPr>
                    <w:spacing w:line="360" w:lineRule="exact"/>
                    <w:contextualSpacing/>
                    <w:jc w:val="center"/>
                    <w:rPr>
                      <w:rFonts w:hint="default"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《煤炭工业污染物排放标准》（GB20426-2006）</w:t>
                  </w:r>
                </w:p>
              </w:tc>
            </w:tr>
          </w:tbl>
          <w:p w14:paraId="50EDCE41">
            <w:pPr>
              <w:spacing w:line="360" w:lineRule="auto"/>
              <w:ind w:firstLine="480" w:firstLineChars="200"/>
              <w:rPr>
                <w:rFonts w:hint="default" w:ascii="Times New Roman" w:hAnsi="Times New Roman" w:eastAsia="黑体" w:cs="Times New Roman"/>
                <w:sz w:val="24"/>
                <w:szCs w:val="24"/>
              </w:rPr>
            </w:pPr>
          </w:p>
          <w:p w14:paraId="221DC556">
            <w:pPr>
              <w:pStyle w:val="6"/>
              <w:spacing w:line="360" w:lineRule="auto"/>
              <w:rPr>
                <w:rFonts w:hint="eastAsia" w:ascii="Times New Roman" w:hAnsi="Times New Roman" w:eastAsia="宋体" w:cs="Times New Roman"/>
                <w:color w:val="auto"/>
                <w:kern w:val="21"/>
                <w:sz w:val="24"/>
                <w:szCs w:val="22"/>
                <w:lang w:val="en-US" w:eastAsia="zh-CN" w:bidi="zh-CN"/>
              </w:rPr>
            </w:pPr>
          </w:p>
        </w:tc>
      </w:tr>
    </w:tbl>
    <w:p w14:paraId="5DAAA12A">
      <w:pPr>
        <w:rPr>
          <w:rFonts w:ascii="Times New Roman" w:hAnsi="Times New Roman" w:cs="Times New Roman"/>
          <w:sz w:val="2"/>
          <w:szCs w:val="2"/>
        </w:rPr>
        <w:sectPr>
          <w:footerReference r:id="rId7" w:type="default"/>
          <w:footerReference r:id="rId8" w:type="even"/>
          <w:pgSz w:w="11910" w:h="16840"/>
          <w:pgMar w:top="1440" w:right="879" w:bottom="1219" w:left="901" w:header="720" w:footer="1043" w:gutter="0"/>
          <w:cols w:space="0" w:num="1"/>
        </w:sectPr>
      </w:pPr>
    </w:p>
    <w:tbl>
      <w:tblPr>
        <w:tblStyle w:val="2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436"/>
        <w:gridCol w:w="9492"/>
      </w:tblGrid>
      <w:tr w14:paraId="51D6FE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203" w:hRule="atLeast"/>
          <w:jc w:val="center"/>
        </w:trPr>
        <w:tc>
          <w:tcPr>
            <w:tcW w:w="436" w:type="dxa"/>
            <w:tcBorders>
              <w:right w:val="single" w:color="000000" w:sz="4" w:space="0"/>
            </w:tcBorders>
            <w:vAlign w:val="center"/>
          </w:tcPr>
          <w:p w14:paraId="7DDD94F4">
            <w:pPr>
              <w:spacing w:line="520" w:lineRule="exact"/>
              <w:jc w:val="center"/>
              <w:rPr>
                <w:rFonts w:ascii="Times New Roman" w:hAnsi="Times New Roman" w:cs="Times New Roman"/>
                <w:sz w:val="24"/>
                <w:szCs w:val="24"/>
              </w:rPr>
            </w:pPr>
            <w:bookmarkStart w:id="19" w:name="六、结论"/>
            <w:bookmarkEnd w:id="19"/>
            <w:bookmarkStart w:id="20" w:name="五、环境保护措施监督检查清单"/>
            <w:bookmarkEnd w:id="20"/>
            <w:bookmarkStart w:id="21" w:name="_Toc1188"/>
            <w:r>
              <w:rPr>
                <w:rFonts w:ascii="Times New Roman" w:hAnsi="Times New Roman" w:cs="Times New Roman"/>
                <w:sz w:val="24"/>
                <w:szCs w:val="28"/>
              </w:rPr>
              <w:t>运营期环境影响和保护措施</w:t>
            </w:r>
          </w:p>
        </w:tc>
        <w:tc>
          <w:tcPr>
            <w:tcW w:w="9492" w:type="dxa"/>
            <w:tcBorders>
              <w:left w:val="single" w:color="000000" w:sz="4" w:space="0"/>
            </w:tcBorders>
            <w:vAlign w:val="center"/>
          </w:tcPr>
          <w:p w14:paraId="450F1608">
            <w:pPr>
              <w:adjustRightInd w:val="0"/>
              <w:snapToGrid w:val="0"/>
              <w:spacing w:line="360" w:lineRule="auto"/>
              <w:ind w:firstLine="482" w:firstLineChars="200"/>
              <w:rPr>
                <w:rFonts w:hint="eastAsia" w:ascii="Times New Roman" w:hAnsi="Times New Roman" w:eastAsia="宋体" w:cs="Times New Roman"/>
                <w:b/>
                <w:bCs/>
                <w:sz w:val="24"/>
                <w:szCs w:val="24"/>
                <w:lang w:val="en-US" w:eastAsia="zh-CN"/>
              </w:rPr>
            </w:pPr>
            <w:r>
              <w:rPr>
                <w:rFonts w:hint="eastAsia" w:ascii="Times New Roman" w:hAnsi="Times New Roman" w:cs="Times New Roman"/>
                <w:b/>
                <w:bCs/>
                <w:sz w:val="24"/>
                <w:szCs w:val="24"/>
                <w:lang w:val="en-US"/>
              </w:rPr>
              <w:t>2、水环境影响</w:t>
            </w:r>
            <w:r>
              <w:rPr>
                <w:rFonts w:hint="eastAsia" w:ascii="Times New Roman" w:hAnsi="Times New Roman" w:cs="Times New Roman"/>
                <w:b/>
                <w:bCs/>
                <w:sz w:val="24"/>
                <w:szCs w:val="24"/>
                <w:lang w:val="en-US" w:eastAsia="zh-CN"/>
              </w:rPr>
              <w:t>分析</w:t>
            </w:r>
          </w:p>
          <w:p w14:paraId="37529BC6">
            <w:pPr>
              <w:spacing w:line="360" w:lineRule="auto"/>
              <w:ind w:firstLine="480" w:firstLineChars="200"/>
              <w:jc w:val="both"/>
              <w:rPr>
                <w:rFonts w:hint="eastAsia" w:ascii="Times New Roman" w:hAnsi="Times New Roman" w:eastAsia="宋体" w:cs="Times New Roman"/>
                <w:sz w:val="24"/>
                <w:lang w:val="en-US" w:eastAsia="zh-CN"/>
              </w:rPr>
            </w:pPr>
            <w:r>
              <w:rPr>
                <w:rFonts w:hint="eastAsia" w:ascii="Times New Roman" w:hAnsi="Times New Roman" w:cs="Times New Roman"/>
                <w:sz w:val="24"/>
                <w:lang w:val="en-US"/>
              </w:rPr>
              <w:t>本项目运营期没有新增员工，故不新增生活污水排放，</w:t>
            </w:r>
            <w:r>
              <w:rPr>
                <w:rFonts w:ascii="Times New Roman" w:hAnsi="Times New Roman" w:cs="Times New Roman"/>
                <w:sz w:val="24"/>
                <w:lang w:val="en-US"/>
              </w:rPr>
              <w:t>喷雾抑尘用水全部损耗</w:t>
            </w:r>
            <w:r>
              <w:rPr>
                <w:rFonts w:hint="eastAsia" w:ascii="Times New Roman" w:hAnsi="Times New Roman" w:cs="Times New Roman"/>
                <w:sz w:val="24"/>
                <w:lang w:val="en-US" w:eastAsia="zh-CN"/>
              </w:rPr>
              <w:t>，</w:t>
            </w:r>
            <w:r>
              <w:rPr>
                <w:rFonts w:hint="eastAsia" w:ascii="Times New Roman" w:hAnsi="Times New Roman" w:cs="Times New Roman"/>
                <w:sz w:val="24"/>
                <w:lang w:val="en-US"/>
              </w:rPr>
              <w:t>所以本项目运营期无废水产生</w:t>
            </w:r>
            <w:r>
              <w:rPr>
                <w:rFonts w:hint="eastAsia" w:ascii="Times New Roman" w:hAnsi="Times New Roman" w:cs="Times New Roman"/>
                <w:sz w:val="24"/>
                <w:lang w:val="en-US" w:eastAsia="zh-CN"/>
              </w:rPr>
              <w:t>。</w:t>
            </w:r>
          </w:p>
          <w:p w14:paraId="6F208F18">
            <w:pPr>
              <w:spacing w:line="360" w:lineRule="auto"/>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初期雨水：</w:t>
            </w:r>
            <w:r>
              <w:rPr>
                <w:rFonts w:ascii="Times New Roman" w:hAnsi="Times New Roman" w:cs="Times New Roman"/>
                <w:color w:val="auto"/>
                <w:sz w:val="24"/>
                <w:szCs w:val="24"/>
                <w:lang w:val="en-US"/>
              </w:rPr>
              <w:t>项目实行</w:t>
            </w:r>
            <w:r>
              <w:rPr>
                <w:rFonts w:hint="eastAsia" w:ascii="Times New Roman" w:hAnsi="Times New Roman" w:cs="Times New Roman"/>
                <w:color w:val="auto"/>
                <w:sz w:val="24"/>
                <w:szCs w:val="24"/>
                <w:lang w:val="en-US"/>
              </w:rPr>
              <w:t>“</w:t>
            </w:r>
            <w:r>
              <w:rPr>
                <w:rFonts w:ascii="Times New Roman" w:hAnsi="Times New Roman" w:cs="Times New Roman"/>
                <w:color w:val="auto"/>
                <w:sz w:val="24"/>
                <w:szCs w:val="24"/>
                <w:lang w:val="en-US"/>
              </w:rPr>
              <w:t>雨污分流</w:t>
            </w:r>
            <w:r>
              <w:rPr>
                <w:rFonts w:hint="eastAsia" w:ascii="Times New Roman" w:hAnsi="Times New Roman" w:cs="Times New Roman"/>
                <w:color w:val="auto"/>
                <w:sz w:val="24"/>
                <w:szCs w:val="24"/>
                <w:lang w:val="en-US"/>
              </w:rPr>
              <w:t>”</w:t>
            </w:r>
            <w:r>
              <w:rPr>
                <w:rFonts w:ascii="Times New Roman" w:hAnsi="Times New Roman" w:cs="Times New Roman"/>
                <w:color w:val="auto"/>
                <w:sz w:val="24"/>
                <w:szCs w:val="24"/>
                <w:lang w:val="en-US"/>
              </w:rPr>
              <w:t>，厂区地面均进行水泥硬化，并设置雨水沟，在厂区地势较低处设置</w:t>
            </w:r>
            <w:r>
              <w:rPr>
                <w:rFonts w:hint="eastAsia" w:ascii="Times New Roman" w:hAnsi="Times New Roman" w:cs="Times New Roman"/>
                <w:color w:val="auto"/>
                <w:sz w:val="24"/>
                <w:szCs w:val="24"/>
                <w:lang w:val="en-US" w:eastAsia="zh-CN"/>
              </w:rPr>
              <w:t>50m</w:t>
            </w:r>
            <w:r>
              <w:rPr>
                <w:rFonts w:hint="eastAsia" w:ascii="Times New Roman" w:hAnsi="Times New Roman" w:cs="Times New Roman"/>
                <w:color w:val="auto"/>
                <w:sz w:val="24"/>
                <w:szCs w:val="24"/>
                <w:vertAlign w:val="superscript"/>
                <w:lang w:val="en-US" w:eastAsia="zh-CN"/>
              </w:rPr>
              <w:t>3</w:t>
            </w:r>
            <w:r>
              <w:rPr>
                <w:rFonts w:ascii="Times New Roman" w:hAnsi="Times New Roman" w:cs="Times New Roman"/>
                <w:color w:val="auto"/>
                <w:sz w:val="24"/>
                <w:szCs w:val="24"/>
              </w:rPr>
              <w:t>初期雨水池，</w:t>
            </w:r>
            <w:r>
              <w:rPr>
                <w:rFonts w:ascii="Times New Roman" w:hAnsi="Times New Roman" w:cs="Times New Roman"/>
                <w:color w:val="auto"/>
                <w:sz w:val="24"/>
                <w:szCs w:val="24"/>
                <w:lang w:val="en-US"/>
              </w:rPr>
              <w:t>采用钢筋混凝土结构，</w:t>
            </w:r>
            <w:r>
              <w:rPr>
                <w:rFonts w:ascii="Times New Roman" w:hAnsi="Times New Roman" w:cs="Times New Roman"/>
                <w:color w:val="auto"/>
                <w:sz w:val="24"/>
                <w:szCs w:val="24"/>
              </w:rPr>
              <w:t>对初期雨水进行收集，经沉淀后，用于厂区洒水抑尘。</w:t>
            </w:r>
          </w:p>
          <w:p w14:paraId="5E5BEB01">
            <w:pPr>
              <w:spacing w:line="360" w:lineRule="auto"/>
              <w:ind w:firstLine="480" w:firstLineChars="200"/>
              <w:rPr>
                <w:rFonts w:ascii="Times New Roman" w:hAnsi="Times New Roman" w:cs="Times New Roman"/>
                <w:b/>
                <w:bCs/>
                <w:sz w:val="24"/>
                <w:szCs w:val="24"/>
              </w:rPr>
            </w:pPr>
            <w:r>
              <w:rPr>
                <w:rFonts w:hint="eastAsia" w:ascii="Times New Roman" w:hAnsi="Times New Roman" w:cs="Times New Roman"/>
                <w:bCs/>
                <w:sz w:val="24"/>
              </w:rPr>
              <w:t>综上所述，项目废水均得到合理处置，对周围地表水环境影响很小。</w:t>
            </w:r>
          </w:p>
          <w:p w14:paraId="744BED37">
            <w:pPr>
              <w:spacing w:line="360" w:lineRule="auto"/>
              <w:ind w:firstLine="482" w:firstLineChars="200"/>
              <w:jc w:val="both"/>
              <w:rPr>
                <w:rFonts w:ascii="Times New Roman" w:hAnsi="Times New Roman" w:cs="Times New Roman"/>
                <w:b/>
                <w:bCs/>
                <w:sz w:val="24"/>
                <w:szCs w:val="24"/>
                <w:lang w:val="en-US"/>
              </w:rPr>
            </w:pPr>
            <w:r>
              <w:rPr>
                <w:rFonts w:ascii="Times New Roman" w:hAnsi="Times New Roman" w:cs="Times New Roman"/>
                <w:b/>
                <w:bCs/>
                <w:sz w:val="24"/>
                <w:szCs w:val="24"/>
              </w:rPr>
              <w:t>3、运营期噪声环境影响和保护措施</w:t>
            </w:r>
          </w:p>
          <w:p w14:paraId="5C9479CA">
            <w:pPr>
              <w:autoSpaceDE/>
              <w:autoSpaceDN/>
              <w:spacing w:line="520" w:lineRule="exact"/>
              <w:ind w:firstLine="480" w:firstLineChars="200"/>
              <w:jc w:val="both"/>
              <w:rPr>
                <w:rFonts w:ascii="Times New Roman" w:hAnsi="Times New Roman" w:cs="Times New Roman"/>
                <w:sz w:val="24"/>
                <w:szCs w:val="24"/>
                <w:lang w:val="en-US"/>
              </w:rPr>
            </w:pPr>
            <w:r>
              <w:rPr>
                <w:rFonts w:ascii="Times New Roman" w:hAnsi="Times New Roman" w:cs="Times New Roman"/>
                <w:bCs/>
                <w:sz w:val="24"/>
                <w:szCs w:val="24"/>
                <w:lang w:val="en-US"/>
              </w:rPr>
              <w:t>项目</w:t>
            </w:r>
            <w:r>
              <w:rPr>
                <w:rFonts w:hint="eastAsia" w:ascii="Times New Roman" w:hAnsi="Times New Roman" w:cs="Times New Roman"/>
                <w:bCs/>
                <w:sz w:val="24"/>
                <w:szCs w:val="24"/>
                <w:lang w:val="en-US"/>
              </w:rPr>
              <w:t>运营期的噪声为轮式装载机、运输车等设备运行噪声产生的噪声</w:t>
            </w:r>
            <w:r>
              <w:rPr>
                <w:rFonts w:ascii="Times New Roman" w:hAnsi="Times New Roman" w:cs="Times New Roman"/>
                <w:bCs/>
                <w:sz w:val="24"/>
                <w:szCs w:val="24"/>
                <w:lang w:val="en-US"/>
              </w:rPr>
              <w:t>，设备本身噪声级在</w:t>
            </w:r>
            <w:r>
              <w:rPr>
                <w:rFonts w:hint="eastAsia" w:ascii="Times New Roman" w:hAnsi="Times New Roman" w:cs="Times New Roman"/>
                <w:bCs/>
                <w:sz w:val="24"/>
                <w:szCs w:val="24"/>
                <w:lang w:val="en-US" w:eastAsia="zh-CN"/>
              </w:rPr>
              <w:t>95</w:t>
            </w:r>
            <w:r>
              <w:rPr>
                <w:rFonts w:ascii="Times New Roman" w:hAnsi="Times New Roman" w:cs="Times New Roman"/>
                <w:bCs/>
                <w:sz w:val="24"/>
                <w:szCs w:val="24"/>
                <w:lang w:val="en-US"/>
              </w:rPr>
              <w:t>~</w:t>
            </w:r>
            <w:r>
              <w:rPr>
                <w:rFonts w:hint="eastAsia" w:ascii="Times New Roman" w:hAnsi="Times New Roman" w:cs="Times New Roman"/>
                <w:bCs/>
                <w:sz w:val="24"/>
                <w:szCs w:val="24"/>
                <w:lang w:val="en-US" w:eastAsia="zh-CN"/>
              </w:rPr>
              <w:t>100</w:t>
            </w:r>
            <w:r>
              <w:rPr>
                <w:rFonts w:ascii="Times New Roman" w:hAnsi="Times New Roman" w:cs="Times New Roman"/>
                <w:bCs/>
                <w:sz w:val="24"/>
                <w:szCs w:val="24"/>
                <w:lang w:val="en-US"/>
              </w:rPr>
              <w:t>dB(A)，在采取</w:t>
            </w:r>
            <w:r>
              <w:rPr>
                <w:rFonts w:hint="eastAsia" w:ascii="Times New Roman" w:hAnsi="Times New Roman" w:cs="Times New Roman"/>
                <w:bCs/>
                <w:sz w:val="24"/>
                <w:szCs w:val="24"/>
                <w:lang w:val="en-US" w:eastAsia="zh-CN"/>
              </w:rPr>
              <w:t>厂房</w:t>
            </w:r>
            <w:r>
              <w:rPr>
                <w:rFonts w:hint="eastAsia" w:ascii="Times New Roman" w:hAnsi="Times New Roman" w:cs="Times New Roman"/>
                <w:bCs/>
                <w:sz w:val="24"/>
                <w:szCs w:val="24"/>
                <w:lang w:val="en-US"/>
              </w:rPr>
              <w:t>隔声+机械车辆定期维护等降噪措施</w:t>
            </w:r>
            <w:r>
              <w:rPr>
                <w:rFonts w:ascii="Times New Roman" w:hAnsi="Times New Roman" w:cs="Times New Roman"/>
                <w:bCs/>
                <w:sz w:val="24"/>
                <w:szCs w:val="24"/>
                <w:lang w:val="en-US"/>
              </w:rPr>
              <w:t>后，噪声被控制在75dB(A)以下</w:t>
            </w:r>
            <w:r>
              <w:rPr>
                <w:rFonts w:ascii="Times New Roman" w:hAnsi="Times New Roman" w:cs="Times New Roman"/>
                <w:sz w:val="24"/>
                <w:szCs w:val="24"/>
                <w:lang w:val="en-US"/>
              </w:rPr>
              <w:t>：</w:t>
            </w:r>
          </w:p>
          <w:p w14:paraId="548FCCEF">
            <w:pPr>
              <w:autoSpaceDE/>
              <w:autoSpaceDN/>
              <w:spacing w:line="520" w:lineRule="exact"/>
              <w:ind w:firstLine="480" w:firstLineChars="200"/>
              <w:jc w:val="both"/>
              <w:rPr>
                <w:rFonts w:ascii="Times New Roman" w:hAnsi="Times New Roman" w:cs="Times New Roman"/>
                <w:bCs/>
                <w:sz w:val="24"/>
                <w:szCs w:val="24"/>
                <w:lang w:val="en-US" w:bidi="ar-SA"/>
              </w:rPr>
            </w:pPr>
            <w:r>
              <w:rPr>
                <w:rFonts w:ascii="Times New Roman" w:hAnsi="Times New Roman" w:cs="Times New Roman"/>
                <w:bCs/>
                <w:sz w:val="24"/>
                <w:szCs w:val="24"/>
                <w:lang w:val="en-US" w:bidi="ar-SA"/>
              </w:rPr>
              <w:t>（1）预测模式</w:t>
            </w:r>
          </w:p>
          <w:p w14:paraId="194C5880">
            <w:pPr>
              <w:autoSpaceDE/>
              <w:autoSpaceDN/>
              <w:spacing w:line="520" w:lineRule="exact"/>
              <w:ind w:firstLine="482"/>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根据《环境影响评价技术导则 声环境》（HJ2.4-2021）中的要求，本次评价采取导则推荐模式。</w:t>
            </w:r>
          </w:p>
          <w:p w14:paraId="1475189D">
            <w:pPr>
              <w:snapToGrid w:val="0"/>
              <w:spacing w:line="360" w:lineRule="auto"/>
              <w:ind w:firstLine="480" w:firstLineChars="200"/>
              <w:rPr>
                <w:rFonts w:ascii="Times New Roman" w:hAnsi="Times New Roman" w:cs="Times New Roman"/>
                <w:color w:val="000000"/>
                <w:sz w:val="24"/>
              </w:rPr>
            </w:pPr>
            <w:r>
              <w:rPr>
                <w:rFonts w:hint="eastAsia" w:ascii="Times New Roman" w:hAnsi="Times New Roman" w:cs="Times New Roman"/>
                <w:color w:val="000000"/>
                <w:sz w:val="24"/>
              </w:rPr>
              <w:t>室内声源等效为室外声源</w:t>
            </w:r>
            <w:r>
              <w:rPr>
                <w:rFonts w:ascii="Times New Roman" w:hAnsi="Times New Roman" w:cs="Times New Roman"/>
                <w:color w:val="000000"/>
                <w:sz w:val="24"/>
              </w:rPr>
              <w:t>的计算：</w:t>
            </w:r>
          </w:p>
          <w:p w14:paraId="22FD26E7">
            <w:pPr>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Lp2=Lp1-(TL+6)</w:t>
            </w:r>
          </w:p>
          <w:p w14:paraId="469D2241">
            <w:pPr>
              <w:snapToGrid w:val="0"/>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式中：Lp1—靠近开口处（或窗户）室内某倍频带的声压级或 A 声级，dB；</w:t>
            </w:r>
          </w:p>
          <w:p w14:paraId="237841A4">
            <w:pPr>
              <w:snapToGrid w:val="0"/>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Lp2—靠近开口处（或窗户）室外某倍频带的声压级或 A 声级，dB；</w:t>
            </w:r>
          </w:p>
          <w:p w14:paraId="09D5F49A">
            <w:pPr>
              <w:snapToGrid w:val="0"/>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TL—隔墙（或窗户）倍频带或 A 声级的隔声量，dB。</w:t>
            </w:r>
          </w:p>
          <w:p w14:paraId="2AA4A40C">
            <w:pPr>
              <w:snapToGrid w:val="0"/>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计算某一室内声源靠近围护结构处产生的倍频带声压级或 A 声级：</w:t>
            </w:r>
          </w:p>
          <w:p w14:paraId="456AF9BC">
            <w:pPr>
              <w:widowControl/>
              <w:spacing w:line="360" w:lineRule="auto"/>
              <w:ind w:firstLine="480" w:firstLineChars="200"/>
              <w:rPr>
                <w:rFonts w:ascii="Times New Roman" w:hAnsi="Times New Roman" w:cs="Times New Roman"/>
                <w:color w:val="000000"/>
                <w:szCs w:val="21"/>
              </w:rPr>
            </w:pPr>
            <w:r>
              <w:rPr>
                <w:rFonts w:ascii="Times New Roman" w:hAnsi="Times New Roman" w:cs="Times New Roman"/>
                <w:color w:val="000000"/>
                <w:sz w:val="24"/>
                <w:szCs w:val="24"/>
                <w:lang w:val="en-US" w:bidi="ar"/>
              </w:rPr>
              <w:t>L</w:t>
            </w:r>
            <w:r>
              <w:rPr>
                <w:rFonts w:ascii="Times New Roman" w:hAnsi="Times New Roman" w:cs="Times New Roman"/>
                <w:color w:val="000000"/>
                <w:sz w:val="15"/>
                <w:szCs w:val="15"/>
                <w:lang w:val="en-US" w:bidi="ar"/>
              </w:rPr>
              <w:t>p1</w:t>
            </w:r>
            <w:r>
              <w:rPr>
                <w:rFonts w:ascii="Times New Roman" w:hAnsi="Times New Roman" w:cs="Times New Roman"/>
                <w:color w:val="000000"/>
                <w:sz w:val="24"/>
                <w:szCs w:val="24"/>
                <w:lang w:val="en-US" w:bidi="ar"/>
              </w:rPr>
              <w:t>=L</w:t>
            </w:r>
            <w:r>
              <w:rPr>
                <w:rFonts w:ascii="Times New Roman" w:hAnsi="Times New Roman" w:cs="Times New Roman"/>
                <w:color w:val="000000"/>
                <w:sz w:val="15"/>
                <w:szCs w:val="15"/>
                <w:lang w:val="en-US" w:bidi="ar"/>
              </w:rPr>
              <w:t>w</w:t>
            </w:r>
            <w:r>
              <w:rPr>
                <w:rFonts w:ascii="Times New Roman" w:hAnsi="Times New Roman" w:cs="Times New Roman"/>
                <w:color w:val="000000"/>
                <w:sz w:val="24"/>
                <w:szCs w:val="24"/>
                <w:lang w:val="en-US" w:bidi="ar"/>
              </w:rPr>
              <w:t>+10lg</w:t>
            </w:r>
            <w:r>
              <w:rPr>
                <w:rFonts w:ascii="仿宋" w:hAnsi="仿宋" w:eastAsia="仿宋" w:cs="仿宋"/>
                <w:color w:val="000000"/>
                <w:sz w:val="24"/>
                <w:szCs w:val="24"/>
                <w:lang w:val="en-US" w:bidi="ar"/>
              </w:rPr>
              <w:t>（</w:t>
            </w:r>
            <w:r>
              <w:rPr>
                <w:rFonts w:ascii="Times New Roman" w:hAnsi="Times New Roman" w:cs="Times New Roman"/>
                <w:color w:val="000000"/>
                <w:sz w:val="24"/>
                <w:szCs w:val="24"/>
                <w:lang w:val="en-US" w:bidi="ar"/>
              </w:rPr>
              <w:t>Q/4π</w:t>
            </w:r>
            <w:r>
              <w:rPr>
                <w:rFonts w:hint="eastAsia" w:ascii="Times New Roman" w:hAnsi="Times New Roman" w:cs="Times New Roman"/>
                <w:color w:val="000000"/>
                <w:sz w:val="24"/>
                <w:szCs w:val="24"/>
                <w:lang w:val="en-US" w:bidi="ar"/>
              </w:rPr>
              <w:t>r</w:t>
            </w:r>
            <w:r>
              <w:rPr>
                <w:rFonts w:ascii="Times New Roman" w:hAnsi="Times New Roman" w:cs="Times New Roman"/>
                <w:color w:val="000000"/>
                <w:sz w:val="15"/>
                <w:szCs w:val="15"/>
                <w:vertAlign w:val="superscript"/>
                <w:lang w:val="en-US" w:bidi="ar"/>
              </w:rPr>
              <w:t>2</w:t>
            </w:r>
            <w:r>
              <w:rPr>
                <w:rFonts w:ascii="Times New Roman" w:hAnsi="Times New Roman" w:cs="Times New Roman"/>
                <w:color w:val="000000"/>
                <w:sz w:val="24"/>
                <w:szCs w:val="24"/>
                <w:lang w:val="en-US" w:bidi="ar"/>
              </w:rPr>
              <w:t>+4/R</w:t>
            </w:r>
            <w:r>
              <w:rPr>
                <w:rFonts w:hint="eastAsia" w:ascii="仿宋" w:hAnsi="仿宋" w:eastAsia="仿宋" w:cs="仿宋"/>
                <w:color w:val="000000"/>
                <w:sz w:val="24"/>
                <w:szCs w:val="24"/>
                <w:lang w:val="en-US" w:bidi="ar"/>
              </w:rPr>
              <w:t>）</w:t>
            </w:r>
          </w:p>
          <w:p w14:paraId="7614F810">
            <w:pPr>
              <w:snapToGrid w:val="0"/>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式中：Lp1—靠近开口处（或窗户）室内某倍频带的声压级或 A 声级，dB；</w:t>
            </w:r>
          </w:p>
          <w:p w14:paraId="416D35C6">
            <w:pPr>
              <w:snapToGrid w:val="0"/>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Lw —点声源声功率级（A 计权或倍频带），dB；</w:t>
            </w:r>
          </w:p>
          <w:p w14:paraId="26C80D71">
            <w:pPr>
              <w:snapToGrid w:val="0"/>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Q—指向性因数；通常对无指向性声源，当声源放在房间中心时，Q=1；当放在一面墙的中心时，Q=2；当放在两面墙夹角处时，Q=4；当放在三面墙夹角处时，Q=8；</w:t>
            </w:r>
          </w:p>
          <w:p w14:paraId="0761E1BF">
            <w:pPr>
              <w:snapToGrid w:val="0"/>
              <w:spacing w:line="360" w:lineRule="auto"/>
              <w:ind w:firstLine="480" w:firstLineChars="200"/>
              <w:rPr>
                <w:rFonts w:ascii="Times New Roman" w:hAnsi="Times New Roman" w:cs="Times New Roman"/>
                <w:color w:val="000000"/>
                <w:sz w:val="24"/>
                <w:lang w:val="en-US"/>
              </w:rPr>
            </w:pPr>
            <w:r>
              <w:rPr>
                <w:rFonts w:ascii="Times New Roman" w:hAnsi="Times New Roman" w:cs="Times New Roman"/>
                <w:color w:val="000000"/>
                <w:sz w:val="24"/>
              </w:rPr>
              <w:t>R—房间常数</w:t>
            </w:r>
            <w:r>
              <w:rPr>
                <w:rFonts w:hint="eastAsia" w:ascii="Times New Roman" w:hAnsi="Times New Roman" w:cs="Times New Roman"/>
                <w:color w:val="000000"/>
                <w:sz w:val="24"/>
              </w:rPr>
              <w:t>，</w:t>
            </w:r>
            <w:r>
              <w:rPr>
                <w:rFonts w:hint="eastAsia" w:ascii="Times New Roman" w:hAnsi="Times New Roman" w:cs="Times New Roman"/>
                <w:color w:val="000000"/>
                <w:sz w:val="24"/>
                <w:lang w:val="en-US"/>
              </w:rPr>
              <w:t>R=S</w:t>
            </w:r>
            <w:r>
              <w:rPr>
                <w:rFonts w:ascii="Times New Roman" w:hAnsi="Times New Roman" w:cs="Times New Roman"/>
                <w:color w:val="000000"/>
                <w:sz w:val="24"/>
                <w:lang w:val="en-US"/>
              </w:rPr>
              <w:t>α</w:t>
            </w:r>
            <w:r>
              <w:rPr>
                <w:rFonts w:hint="eastAsia" w:ascii="Times New Roman" w:hAnsi="Times New Roman" w:cs="Times New Roman"/>
                <w:color w:val="000000"/>
                <w:sz w:val="24"/>
                <w:lang w:val="en-US"/>
              </w:rPr>
              <w:t>/（1-</w:t>
            </w:r>
            <w:r>
              <w:rPr>
                <w:rFonts w:ascii="Times New Roman" w:hAnsi="Times New Roman" w:cs="Times New Roman"/>
                <w:color w:val="000000"/>
                <w:sz w:val="24"/>
                <w:lang w:val="en-US"/>
              </w:rPr>
              <w:t>α</w:t>
            </w:r>
            <w:r>
              <w:rPr>
                <w:rFonts w:hint="eastAsia" w:ascii="Times New Roman" w:hAnsi="Times New Roman" w:cs="Times New Roman"/>
                <w:color w:val="000000"/>
                <w:sz w:val="24"/>
                <w:lang w:val="en-US"/>
              </w:rPr>
              <w:t>），S为房间内表面面积，m</w:t>
            </w:r>
            <w:r>
              <w:rPr>
                <w:rFonts w:hint="eastAsia" w:ascii="Times New Roman" w:hAnsi="Times New Roman" w:cs="Times New Roman"/>
                <w:color w:val="000000"/>
                <w:sz w:val="24"/>
                <w:vertAlign w:val="superscript"/>
                <w:lang w:val="en-US"/>
              </w:rPr>
              <w:t>2</w:t>
            </w:r>
            <w:r>
              <w:rPr>
                <w:rFonts w:hint="eastAsia" w:ascii="Times New Roman" w:hAnsi="Times New Roman" w:cs="Times New Roman"/>
                <w:color w:val="000000"/>
                <w:sz w:val="24"/>
                <w:lang w:val="en-US"/>
              </w:rPr>
              <w:t>；</w:t>
            </w:r>
            <w:r>
              <w:rPr>
                <w:rFonts w:ascii="Times New Roman" w:hAnsi="Times New Roman" w:cs="Times New Roman"/>
                <w:color w:val="000000"/>
                <w:sz w:val="24"/>
                <w:lang w:val="en-US"/>
              </w:rPr>
              <w:t>α</w:t>
            </w:r>
            <w:r>
              <w:rPr>
                <w:rFonts w:hint="eastAsia" w:ascii="Times New Roman" w:hAnsi="Times New Roman" w:cs="Times New Roman"/>
                <w:color w:val="000000"/>
                <w:sz w:val="24"/>
                <w:lang w:val="en-US"/>
              </w:rPr>
              <w:t>为平均吸声系数；</w:t>
            </w:r>
          </w:p>
          <w:p w14:paraId="4D75B771">
            <w:pPr>
              <w:pStyle w:val="26"/>
              <w:ind w:firstLine="480" w:firstLineChars="200"/>
              <w:rPr>
                <w:rFonts w:hint="eastAsia"/>
                <w:lang w:val="en-US"/>
              </w:rPr>
            </w:pPr>
            <w:r>
              <w:rPr>
                <w:rFonts w:ascii="Times New Roman" w:hAnsi="Times New Roman" w:cs="Times New Roman"/>
                <w:color w:val="000000"/>
                <w:kern w:val="2"/>
                <w:lang w:val="en-US" w:bidi="ar-SA"/>
              </w:rPr>
              <w:t>r —声源到靠近围护结构某点处的距离，m。</w:t>
            </w:r>
          </w:p>
          <w:p w14:paraId="29BD7D7E">
            <w:pPr>
              <w:snapToGrid w:val="0"/>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将室外声源的声压级和透过面积换算成等效的室外声源，计算出中心位置位于透声面积（S）处的等效声源的倍频带声功率级：</w:t>
            </w:r>
          </w:p>
          <w:p w14:paraId="22B962B8">
            <w:pPr>
              <w:widowControl/>
              <w:spacing w:line="360" w:lineRule="auto"/>
              <w:ind w:firstLine="480" w:firstLineChars="200"/>
              <w:rPr>
                <w:rFonts w:hint="eastAsia"/>
              </w:rPr>
            </w:pPr>
            <w:r>
              <w:rPr>
                <w:rFonts w:ascii="Times New Roman" w:hAnsi="Times New Roman" w:cs="Times New Roman"/>
                <w:color w:val="000000"/>
                <w:sz w:val="24"/>
                <w:szCs w:val="24"/>
                <w:lang w:val="en-US" w:bidi="ar"/>
              </w:rPr>
              <w:t>L</w:t>
            </w:r>
            <w:r>
              <w:rPr>
                <w:rFonts w:ascii="Times New Roman" w:hAnsi="Times New Roman" w:cs="Times New Roman"/>
                <w:color w:val="000000"/>
                <w:sz w:val="15"/>
                <w:szCs w:val="15"/>
                <w:lang w:val="en-US" w:bidi="ar"/>
              </w:rPr>
              <w:t>w</w:t>
            </w:r>
            <w:r>
              <w:rPr>
                <w:rFonts w:ascii="Times New Roman" w:hAnsi="Times New Roman" w:cs="Times New Roman"/>
                <w:color w:val="000000"/>
                <w:sz w:val="24"/>
                <w:szCs w:val="24"/>
                <w:lang w:val="en-US" w:bidi="ar"/>
              </w:rPr>
              <w:t>=L</w:t>
            </w:r>
            <w:r>
              <w:rPr>
                <w:rFonts w:ascii="Times New Roman" w:hAnsi="Times New Roman" w:cs="Times New Roman"/>
                <w:color w:val="000000"/>
                <w:sz w:val="15"/>
                <w:szCs w:val="15"/>
                <w:lang w:val="en-US" w:bidi="ar"/>
              </w:rPr>
              <w:t>p2</w:t>
            </w:r>
            <w:r>
              <w:rPr>
                <w:rFonts w:ascii="Times New Roman" w:hAnsi="Times New Roman" w:cs="Times New Roman"/>
                <w:color w:val="000000"/>
                <w:sz w:val="24"/>
                <w:szCs w:val="24"/>
                <w:lang w:val="en-US" w:bidi="ar"/>
              </w:rPr>
              <w:t>+10lgS</w:t>
            </w:r>
          </w:p>
          <w:p w14:paraId="521BAFC1">
            <w:pPr>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式中：Lw —中心位置位于透声面积</w:t>
            </w:r>
            <w:r>
              <w:rPr>
                <w:rFonts w:hint="eastAsia" w:ascii="Times New Roman" w:hAnsi="Times New Roman" w:cs="Times New Roman"/>
                <w:color w:val="000000"/>
                <w:sz w:val="24"/>
              </w:rPr>
              <w:t>（</w:t>
            </w:r>
            <w:r>
              <w:rPr>
                <w:rFonts w:ascii="Times New Roman" w:hAnsi="Times New Roman" w:cs="Times New Roman"/>
                <w:color w:val="000000"/>
                <w:sz w:val="24"/>
              </w:rPr>
              <w:t>S）处的等效声源的倍频带声功率级，dB；</w:t>
            </w:r>
          </w:p>
          <w:p w14:paraId="733FE006">
            <w:pPr>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szCs w:val="24"/>
                <w:lang w:val="en-US" w:bidi="ar"/>
              </w:rPr>
              <w:t>L</w:t>
            </w:r>
            <w:r>
              <w:rPr>
                <w:rFonts w:ascii="Times New Roman" w:hAnsi="Times New Roman" w:cs="Times New Roman"/>
                <w:color w:val="000000"/>
                <w:sz w:val="15"/>
                <w:szCs w:val="15"/>
                <w:lang w:val="en-US" w:bidi="ar"/>
              </w:rPr>
              <w:t>p2</w:t>
            </w:r>
            <w:r>
              <w:rPr>
                <w:rFonts w:ascii="Times New Roman" w:hAnsi="Times New Roman" w:cs="Times New Roman"/>
                <w:color w:val="000000"/>
                <w:sz w:val="24"/>
              </w:rPr>
              <w:t>—靠近围护结构处室外声源的声压级，dB；</w:t>
            </w:r>
          </w:p>
          <w:p w14:paraId="5D3B31ED">
            <w:pPr>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S—透声面积，m</w:t>
            </w:r>
            <w:r>
              <w:rPr>
                <w:rFonts w:ascii="Times New Roman" w:hAnsi="Times New Roman" w:cs="Times New Roman"/>
                <w:color w:val="000000"/>
                <w:sz w:val="24"/>
                <w:vertAlign w:val="superscript"/>
              </w:rPr>
              <w:t>2</w:t>
            </w:r>
            <w:r>
              <w:rPr>
                <w:rFonts w:hint="eastAsia" w:ascii="Times New Roman" w:hAnsi="Times New Roman" w:cs="Times New Roman"/>
                <w:color w:val="000000"/>
                <w:sz w:val="24"/>
              </w:rPr>
              <w:t>；</w:t>
            </w:r>
          </w:p>
          <w:p w14:paraId="60B0A81C">
            <w:pPr>
              <w:tabs>
                <w:tab w:val="left" w:pos="6962"/>
              </w:tabs>
              <w:spacing w:line="360" w:lineRule="auto"/>
              <w:ind w:firstLine="480" w:firstLineChars="200"/>
              <w:rPr>
                <w:rFonts w:ascii="Times New Roman" w:hAnsi="Times New Roman" w:cs="Times New Roman"/>
                <w:color w:val="000000"/>
                <w:sz w:val="24"/>
              </w:rPr>
            </w:pPr>
            <w:r>
              <w:rPr>
                <w:rFonts w:ascii="Times New Roman" w:hAnsi="Times New Roman" w:cs="Times New Roman"/>
                <w:color w:val="000000"/>
                <w:sz w:val="24"/>
              </w:rPr>
              <w:t>然后按室外声源预测方法计算预测点处的A声级</w:t>
            </w:r>
            <w:r>
              <w:rPr>
                <w:rFonts w:hint="eastAsia" w:ascii="Times New Roman" w:hAnsi="Times New Roman" w:cs="Times New Roman"/>
                <w:color w:val="000000"/>
                <w:sz w:val="24"/>
              </w:rPr>
              <w:t>，预测点的预测等效声级(Leq)计算公式：</w:t>
            </w:r>
          </w:p>
          <w:p w14:paraId="7715C6B5">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无指向性点声源的几何发散衰减公式：</w:t>
            </w:r>
          </w:p>
          <w:p w14:paraId="37954C0C">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drawing>
                <wp:inline distT="0" distB="0" distL="114300" distR="114300">
                  <wp:extent cx="2324100" cy="447675"/>
                  <wp:effectExtent l="0" t="0" r="0" b="9525"/>
                  <wp:docPr id="76" name="图片 76" descr="微信截图_2024122716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微信截图_20241227163807"/>
                          <pic:cNvPicPr>
                            <a:picLocks noChangeAspect="1"/>
                          </pic:cNvPicPr>
                        </pic:nvPicPr>
                        <pic:blipFill>
                          <a:blip r:embed="rId17"/>
                          <a:stretch>
                            <a:fillRect/>
                          </a:stretch>
                        </pic:blipFill>
                        <pic:spPr>
                          <a:xfrm>
                            <a:off x="0" y="0"/>
                            <a:ext cx="2324100" cy="447675"/>
                          </a:xfrm>
                          <a:prstGeom prst="rect">
                            <a:avLst/>
                          </a:prstGeom>
                        </pic:spPr>
                      </pic:pic>
                    </a:graphicData>
                  </a:graphic>
                </wp:inline>
              </w:drawing>
            </w:r>
          </w:p>
          <w:p w14:paraId="0C54E82C">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式中：LP(r)——距离噪声源r处的等效A声级值，dB(A)；</w:t>
            </w:r>
          </w:p>
          <w:p w14:paraId="175D5E89">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LP(r</w:t>
            </w:r>
            <w:r>
              <w:rPr>
                <w:rFonts w:hint="eastAsia" w:ascii="Times New Roman" w:hAnsi="Times New Roman" w:cs="Times New Roman"/>
                <w:sz w:val="24"/>
                <w:vertAlign w:val="subscript"/>
              </w:rPr>
              <w:t>0</w:t>
            </w:r>
            <w:r>
              <w:rPr>
                <w:rFonts w:hint="eastAsia" w:ascii="Times New Roman" w:hAnsi="Times New Roman" w:cs="Times New Roman"/>
                <w:sz w:val="24"/>
              </w:rPr>
              <w:t>)——距离噪声源r</w:t>
            </w:r>
            <w:r>
              <w:rPr>
                <w:rFonts w:hint="eastAsia" w:ascii="Times New Roman" w:hAnsi="Times New Roman" w:cs="Times New Roman"/>
                <w:sz w:val="24"/>
                <w:vertAlign w:val="subscript"/>
              </w:rPr>
              <w:t>0</w:t>
            </w:r>
            <w:r>
              <w:rPr>
                <w:rFonts w:hint="eastAsia" w:ascii="Times New Roman" w:hAnsi="Times New Roman" w:cs="Times New Roman"/>
                <w:sz w:val="24"/>
              </w:rPr>
              <w:t>处的等效A声级值，dB(A)；</w:t>
            </w:r>
          </w:p>
          <w:p w14:paraId="49D8D8F0">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r——预测点距噪声源距离，（m）；</w:t>
            </w:r>
          </w:p>
          <w:p w14:paraId="29C2768B">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r</w:t>
            </w:r>
            <w:r>
              <w:rPr>
                <w:rFonts w:hint="eastAsia" w:ascii="Times New Roman" w:hAnsi="Times New Roman" w:cs="Times New Roman"/>
                <w:sz w:val="24"/>
                <w:vertAlign w:val="subscript"/>
              </w:rPr>
              <w:t>0</w:t>
            </w:r>
            <w:r>
              <w:rPr>
                <w:rFonts w:hint="eastAsia" w:ascii="Times New Roman" w:hAnsi="Times New Roman" w:cs="Times New Roman"/>
                <w:sz w:val="24"/>
              </w:rPr>
              <w:t>——源强外1m处。</w:t>
            </w:r>
          </w:p>
          <w:p w14:paraId="69261DF8">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建设项目声源在预测点产生的等效声级贡献值（Leqg）计算公式：</w:t>
            </w:r>
          </w:p>
          <w:p w14:paraId="18695D17">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drawing>
                <wp:inline distT="0" distB="0" distL="114300" distR="114300">
                  <wp:extent cx="2238375" cy="476250"/>
                  <wp:effectExtent l="0" t="0" r="9525" b="6350"/>
                  <wp:docPr id="77" name="图片 77" descr="微信截图_2024122716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微信截图_20241227163943"/>
                          <pic:cNvPicPr>
                            <a:picLocks noChangeAspect="1"/>
                          </pic:cNvPicPr>
                        </pic:nvPicPr>
                        <pic:blipFill>
                          <a:blip r:embed="rId18"/>
                          <a:stretch>
                            <a:fillRect/>
                          </a:stretch>
                        </pic:blipFill>
                        <pic:spPr>
                          <a:xfrm>
                            <a:off x="0" y="0"/>
                            <a:ext cx="2238375" cy="476250"/>
                          </a:xfrm>
                          <a:prstGeom prst="rect">
                            <a:avLst/>
                          </a:prstGeom>
                        </pic:spPr>
                      </pic:pic>
                    </a:graphicData>
                  </a:graphic>
                </wp:inline>
              </w:drawing>
            </w:r>
          </w:p>
          <w:p w14:paraId="3B53493A">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式中：Leqg——建设项目声源在预测点的等效声级贡献值，dB(A)；</w:t>
            </w:r>
          </w:p>
          <w:p w14:paraId="70EE9C5F">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LAi——i 声源在预测点产生的A声级，dB(A)；</w:t>
            </w:r>
          </w:p>
          <w:p w14:paraId="002566E8">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T ——预测计算的时间段，s；</w:t>
            </w:r>
          </w:p>
          <w:p w14:paraId="62D3AEE2">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ti——i 声源在T时段内的运行时间，s。</w:t>
            </w:r>
          </w:p>
          <w:p w14:paraId="608DE5FF">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Leq=10lg(10</w:t>
            </w:r>
            <w:r>
              <w:rPr>
                <w:rFonts w:hint="eastAsia" w:ascii="Times New Roman" w:hAnsi="Times New Roman" w:cs="Times New Roman"/>
                <w:sz w:val="24"/>
                <w:vertAlign w:val="superscript"/>
              </w:rPr>
              <w:t>0.1Leqg</w:t>
            </w:r>
            <w:r>
              <w:rPr>
                <w:rFonts w:hint="eastAsia" w:ascii="Times New Roman" w:hAnsi="Times New Roman" w:cs="Times New Roman"/>
                <w:sz w:val="24"/>
              </w:rPr>
              <w:t>)</w:t>
            </w:r>
          </w:p>
          <w:p w14:paraId="46060B72">
            <w:pPr>
              <w:tabs>
                <w:tab w:val="left" w:pos="6962"/>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式中： Leqg—建设项目声源在预测点的等效声级贡献值，dB(A)；</w:t>
            </w:r>
          </w:p>
          <w:p w14:paraId="26EF440A">
            <w:pPr>
              <w:tabs>
                <w:tab w:val="left" w:pos="6962"/>
              </w:tabs>
              <w:spacing w:line="360" w:lineRule="auto"/>
              <w:ind w:firstLine="480" w:firstLineChars="200"/>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（2）预测结果及评价</w:t>
            </w:r>
          </w:p>
          <w:p w14:paraId="76EF254E">
            <w:pPr>
              <w:widowControl/>
              <w:autoSpaceDE/>
              <w:autoSpaceDN/>
              <w:spacing w:line="520" w:lineRule="exact"/>
              <w:ind w:firstLine="482"/>
              <w:jc w:val="both"/>
              <w:textAlignment w:val="baseline"/>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根据项目的机械设备声级、所在位置，利用噪声预测模式和方法，对厂界噪声进行预测计算，得到项目建成后各预测点的昼夜噪声级。</w:t>
            </w:r>
          </w:p>
          <w:p w14:paraId="265BA7C7">
            <w:pPr>
              <w:widowControl/>
              <w:autoSpaceDE/>
              <w:autoSpaceDN/>
              <w:spacing w:line="520" w:lineRule="exact"/>
              <w:ind w:firstLine="482"/>
              <w:jc w:val="both"/>
              <w:textAlignment w:val="baseline"/>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噪声影响预测结果见表4-</w:t>
            </w:r>
            <w:r>
              <w:rPr>
                <w:rFonts w:hint="eastAsia" w:ascii="Times New Roman" w:hAnsi="Times New Roman" w:cs="Times New Roman"/>
                <w:kern w:val="2"/>
                <w:sz w:val="24"/>
                <w:szCs w:val="24"/>
                <w:lang w:val="en-US" w:eastAsia="zh-CN" w:bidi="ar-SA"/>
              </w:rPr>
              <w:t>5</w:t>
            </w:r>
            <w:r>
              <w:rPr>
                <w:rFonts w:ascii="Times New Roman" w:hAnsi="Times New Roman" w:cs="Times New Roman"/>
                <w:kern w:val="2"/>
                <w:sz w:val="24"/>
                <w:szCs w:val="24"/>
                <w:lang w:val="en-US" w:bidi="ar-SA"/>
              </w:rPr>
              <w:t>。</w:t>
            </w:r>
          </w:p>
          <w:p w14:paraId="6255E1B2">
            <w:pPr>
              <w:adjustRightInd w:val="0"/>
              <w:snapToGrid w:val="0"/>
              <w:spacing w:line="520" w:lineRule="exact"/>
              <w:jc w:val="center"/>
              <w:rPr>
                <w:rFonts w:ascii="Times New Roman" w:hAnsi="Times New Roman" w:cs="Times New Roman"/>
                <w:bCs/>
                <w:sz w:val="24"/>
                <w:szCs w:val="24"/>
                <w:lang w:val="en-US"/>
              </w:rPr>
            </w:pPr>
            <w:r>
              <w:rPr>
                <w:rFonts w:ascii="Times New Roman" w:hAnsi="Times New Roman" w:cs="Times New Roman"/>
                <w:b/>
                <w:bCs/>
                <w:sz w:val="24"/>
                <w:szCs w:val="24"/>
                <w:lang w:val="en-US"/>
              </w:rPr>
              <w:t>表4-</w:t>
            </w:r>
            <w:r>
              <w:rPr>
                <w:rFonts w:hint="eastAsia" w:ascii="Times New Roman" w:hAnsi="Times New Roman" w:cs="Times New Roman"/>
                <w:b/>
                <w:bCs/>
                <w:sz w:val="24"/>
                <w:szCs w:val="24"/>
                <w:lang w:val="en-US" w:eastAsia="zh-CN"/>
              </w:rPr>
              <w:t>5</w:t>
            </w:r>
            <w:r>
              <w:rPr>
                <w:rFonts w:ascii="Times New Roman" w:hAnsi="Times New Roman" w:cs="Times New Roman"/>
                <w:b/>
                <w:bCs/>
                <w:sz w:val="24"/>
                <w:szCs w:val="24"/>
                <w:lang w:val="en-US"/>
              </w:rPr>
              <w:t xml:space="preserve">     厂界噪声影响预测结果表   单位：dB(A)</w:t>
            </w:r>
          </w:p>
          <w:tbl>
            <w:tblPr>
              <w:tblStyle w:val="28"/>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69"/>
              <w:gridCol w:w="1329"/>
              <w:gridCol w:w="855"/>
              <w:gridCol w:w="857"/>
              <w:gridCol w:w="1063"/>
              <w:gridCol w:w="726"/>
              <w:gridCol w:w="739"/>
              <w:gridCol w:w="726"/>
              <w:gridCol w:w="739"/>
              <w:gridCol w:w="726"/>
              <w:gridCol w:w="739"/>
            </w:tblGrid>
            <w:tr w14:paraId="02CA30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12" w:type="pct"/>
                  <w:vMerge w:val="restart"/>
                  <w:vAlign w:val="center"/>
                </w:tcPr>
                <w:p w14:paraId="150E26EF">
                  <w:pPr>
                    <w:jc w:val="center"/>
                    <w:rPr>
                      <w:rFonts w:ascii="Times New Roman" w:hAnsi="Times New Roman" w:cs="Times New Roman"/>
                      <w:color w:val="auto"/>
                      <w:szCs w:val="21"/>
                    </w:rPr>
                  </w:pPr>
                  <w:r>
                    <w:rPr>
                      <w:rFonts w:ascii="Times New Roman" w:hAnsi="Times New Roman" w:cs="Times New Roman"/>
                      <w:color w:val="auto"/>
                      <w:szCs w:val="21"/>
                    </w:rPr>
                    <w:t>厂界</w:t>
                  </w:r>
                </w:p>
              </w:tc>
              <w:tc>
                <w:tcPr>
                  <w:tcW w:w="701" w:type="pct"/>
                  <w:vMerge w:val="restart"/>
                  <w:vAlign w:val="center"/>
                </w:tcPr>
                <w:p w14:paraId="6EC03BD3">
                  <w:pPr>
                    <w:jc w:val="center"/>
                    <w:rPr>
                      <w:rFonts w:ascii="Times New Roman" w:hAnsi="Times New Roman" w:cs="Times New Roman"/>
                      <w:color w:val="auto"/>
                      <w:szCs w:val="21"/>
                    </w:rPr>
                  </w:pPr>
                  <w:r>
                    <w:rPr>
                      <w:rFonts w:ascii="Times New Roman" w:hAnsi="Times New Roman" w:cs="Times New Roman"/>
                      <w:color w:val="auto"/>
                      <w:szCs w:val="21"/>
                    </w:rPr>
                    <w:t>距厂界距离（</w:t>
                  </w:r>
                  <w:r>
                    <w:rPr>
                      <w:rFonts w:ascii="Times New Roman" w:hAnsi="Times New Roman" w:cs="Times New Roman"/>
                      <w:color w:val="auto"/>
                      <w:szCs w:val="21"/>
                      <w:lang w:val="en-US"/>
                    </w:rPr>
                    <w:t>m</w:t>
                  </w:r>
                  <w:r>
                    <w:rPr>
                      <w:rFonts w:ascii="Times New Roman" w:hAnsi="Times New Roman" w:cs="Times New Roman"/>
                      <w:color w:val="auto"/>
                      <w:szCs w:val="21"/>
                    </w:rPr>
                    <w:t>）</w:t>
                  </w:r>
                </w:p>
              </w:tc>
              <w:tc>
                <w:tcPr>
                  <w:tcW w:w="903" w:type="pct"/>
                  <w:gridSpan w:val="2"/>
                  <w:vMerge w:val="restart"/>
                  <w:vAlign w:val="center"/>
                </w:tcPr>
                <w:p w14:paraId="184702E1">
                  <w:pPr>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原有洗煤项目现状值（验收报告表）</w:t>
                  </w:r>
                </w:p>
              </w:tc>
              <w:tc>
                <w:tcPr>
                  <w:tcW w:w="561" w:type="pct"/>
                  <w:vMerge w:val="restart"/>
                  <w:vAlign w:val="center"/>
                </w:tcPr>
                <w:p w14:paraId="53291174">
                  <w:pPr>
                    <w:jc w:val="center"/>
                    <w:rPr>
                      <w:rFonts w:ascii="Times New Roman" w:hAnsi="Times New Roman" w:cs="Times New Roman"/>
                      <w:color w:val="auto"/>
                      <w:szCs w:val="21"/>
                    </w:rPr>
                  </w:pPr>
                  <w:r>
                    <w:rPr>
                      <w:rFonts w:ascii="Times New Roman" w:hAnsi="Times New Roman" w:cs="Times New Roman"/>
                      <w:color w:val="auto"/>
                      <w:szCs w:val="21"/>
                    </w:rPr>
                    <w:t>贡献值</w:t>
                  </w:r>
                </w:p>
              </w:tc>
              <w:tc>
                <w:tcPr>
                  <w:tcW w:w="773" w:type="pct"/>
                  <w:gridSpan w:val="2"/>
                  <w:vAlign w:val="center"/>
                </w:tcPr>
                <w:p w14:paraId="2C2940BD">
                  <w:pPr>
                    <w:jc w:val="center"/>
                    <w:rPr>
                      <w:rFonts w:ascii="Times New Roman" w:hAnsi="Times New Roman" w:cs="Times New Roman"/>
                      <w:color w:val="auto"/>
                      <w:szCs w:val="21"/>
                    </w:rPr>
                  </w:pPr>
                  <w:r>
                    <w:rPr>
                      <w:rFonts w:ascii="Times New Roman" w:hAnsi="Times New Roman" w:cs="Times New Roman"/>
                      <w:color w:val="auto"/>
                      <w:szCs w:val="21"/>
                    </w:rPr>
                    <w:t>预测值</w:t>
                  </w:r>
                </w:p>
              </w:tc>
              <w:tc>
                <w:tcPr>
                  <w:tcW w:w="773" w:type="pct"/>
                  <w:gridSpan w:val="2"/>
                  <w:vAlign w:val="center"/>
                </w:tcPr>
                <w:p w14:paraId="20D9F86A">
                  <w:pPr>
                    <w:jc w:val="center"/>
                    <w:rPr>
                      <w:rFonts w:ascii="Times New Roman" w:hAnsi="Times New Roman" w:cs="Times New Roman"/>
                      <w:color w:val="auto"/>
                      <w:szCs w:val="21"/>
                    </w:rPr>
                  </w:pPr>
                  <w:r>
                    <w:rPr>
                      <w:rFonts w:ascii="Times New Roman" w:hAnsi="Times New Roman" w:cs="Times New Roman"/>
                      <w:color w:val="auto"/>
                      <w:szCs w:val="21"/>
                    </w:rPr>
                    <w:t>标准值</w:t>
                  </w:r>
                </w:p>
              </w:tc>
              <w:tc>
                <w:tcPr>
                  <w:tcW w:w="773" w:type="pct"/>
                  <w:gridSpan w:val="2"/>
                  <w:vAlign w:val="center"/>
                </w:tcPr>
                <w:p w14:paraId="6E96099F">
                  <w:pPr>
                    <w:jc w:val="center"/>
                    <w:rPr>
                      <w:rFonts w:ascii="Times New Roman" w:hAnsi="Times New Roman" w:cs="Times New Roman"/>
                      <w:color w:val="auto"/>
                      <w:szCs w:val="21"/>
                    </w:rPr>
                  </w:pPr>
                  <w:r>
                    <w:rPr>
                      <w:rFonts w:ascii="Times New Roman" w:hAnsi="Times New Roman" w:cs="Times New Roman"/>
                      <w:color w:val="auto"/>
                      <w:szCs w:val="21"/>
                    </w:rPr>
                    <w:t>达标情况</w:t>
                  </w:r>
                </w:p>
              </w:tc>
            </w:tr>
            <w:tr w14:paraId="31E1B3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12" w:type="pct"/>
                  <w:vMerge w:val="continue"/>
                  <w:vAlign w:val="center"/>
                </w:tcPr>
                <w:p w14:paraId="7D619EAB">
                  <w:pPr>
                    <w:ind w:firstLine="562"/>
                    <w:jc w:val="center"/>
                    <w:rPr>
                      <w:rFonts w:ascii="Times New Roman" w:hAnsi="Times New Roman" w:cs="Times New Roman"/>
                      <w:color w:val="auto"/>
                      <w:szCs w:val="21"/>
                    </w:rPr>
                  </w:pPr>
                </w:p>
              </w:tc>
              <w:tc>
                <w:tcPr>
                  <w:tcW w:w="701" w:type="pct"/>
                  <w:vMerge w:val="continue"/>
                  <w:vAlign w:val="center"/>
                </w:tcPr>
                <w:p w14:paraId="520952E5">
                  <w:pPr>
                    <w:ind w:firstLine="562"/>
                    <w:jc w:val="center"/>
                    <w:rPr>
                      <w:rFonts w:ascii="Times New Roman" w:hAnsi="Times New Roman" w:cs="Times New Roman"/>
                      <w:color w:val="auto"/>
                      <w:szCs w:val="21"/>
                    </w:rPr>
                  </w:pPr>
                </w:p>
              </w:tc>
              <w:tc>
                <w:tcPr>
                  <w:tcW w:w="903" w:type="pct"/>
                  <w:gridSpan w:val="2"/>
                  <w:vMerge w:val="continue"/>
                  <w:vAlign w:val="center"/>
                </w:tcPr>
                <w:p w14:paraId="2B9B312F">
                  <w:pPr>
                    <w:ind w:firstLine="562"/>
                    <w:jc w:val="center"/>
                    <w:rPr>
                      <w:rFonts w:ascii="Times New Roman" w:hAnsi="Times New Roman" w:cs="Times New Roman"/>
                      <w:color w:val="auto"/>
                      <w:szCs w:val="21"/>
                    </w:rPr>
                  </w:pPr>
                </w:p>
              </w:tc>
              <w:tc>
                <w:tcPr>
                  <w:tcW w:w="561" w:type="pct"/>
                  <w:vMerge w:val="continue"/>
                  <w:vAlign w:val="center"/>
                </w:tcPr>
                <w:p w14:paraId="173D5308">
                  <w:pPr>
                    <w:ind w:firstLine="562"/>
                    <w:jc w:val="center"/>
                    <w:rPr>
                      <w:rFonts w:ascii="Times New Roman" w:hAnsi="Times New Roman" w:cs="Times New Roman"/>
                      <w:color w:val="auto"/>
                      <w:szCs w:val="21"/>
                    </w:rPr>
                  </w:pPr>
                </w:p>
              </w:tc>
              <w:tc>
                <w:tcPr>
                  <w:tcW w:w="383" w:type="pct"/>
                  <w:vAlign w:val="center"/>
                </w:tcPr>
                <w:p w14:paraId="5486D17A">
                  <w:pPr>
                    <w:jc w:val="center"/>
                    <w:rPr>
                      <w:rFonts w:ascii="Times New Roman" w:hAnsi="Times New Roman" w:cs="Times New Roman"/>
                      <w:color w:val="auto"/>
                      <w:szCs w:val="21"/>
                    </w:rPr>
                  </w:pPr>
                  <w:r>
                    <w:rPr>
                      <w:rFonts w:ascii="Times New Roman" w:hAnsi="Times New Roman" w:cs="Times New Roman"/>
                      <w:color w:val="auto"/>
                      <w:szCs w:val="21"/>
                    </w:rPr>
                    <w:t>昼间</w:t>
                  </w:r>
                </w:p>
              </w:tc>
              <w:tc>
                <w:tcPr>
                  <w:tcW w:w="390" w:type="pct"/>
                  <w:vAlign w:val="center"/>
                </w:tcPr>
                <w:p w14:paraId="6F064C00">
                  <w:pPr>
                    <w:jc w:val="center"/>
                    <w:rPr>
                      <w:rFonts w:ascii="Times New Roman" w:hAnsi="Times New Roman" w:cs="Times New Roman"/>
                      <w:color w:val="auto"/>
                      <w:szCs w:val="21"/>
                    </w:rPr>
                  </w:pPr>
                  <w:r>
                    <w:rPr>
                      <w:rFonts w:ascii="Times New Roman" w:hAnsi="Times New Roman" w:cs="Times New Roman"/>
                      <w:color w:val="auto"/>
                      <w:szCs w:val="21"/>
                    </w:rPr>
                    <w:t>夜间</w:t>
                  </w:r>
                </w:p>
              </w:tc>
              <w:tc>
                <w:tcPr>
                  <w:tcW w:w="383" w:type="pct"/>
                  <w:vAlign w:val="center"/>
                </w:tcPr>
                <w:p w14:paraId="046D7A8E">
                  <w:pPr>
                    <w:jc w:val="center"/>
                    <w:rPr>
                      <w:rFonts w:ascii="Times New Roman" w:hAnsi="Times New Roman" w:cs="Times New Roman"/>
                      <w:color w:val="auto"/>
                      <w:szCs w:val="21"/>
                    </w:rPr>
                  </w:pPr>
                  <w:r>
                    <w:rPr>
                      <w:rFonts w:ascii="Times New Roman" w:hAnsi="Times New Roman" w:cs="Times New Roman"/>
                      <w:color w:val="auto"/>
                      <w:szCs w:val="21"/>
                    </w:rPr>
                    <w:t>昼间</w:t>
                  </w:r>
                </w:p>
              </w:tc>
              <w:tc>
                <w:tcPr>
                  <w:tcW w:w="390" w:type="pct"/>
                  <w:vAlign w:val="center"/>
                </w:tcPr>
                <w:p w14:paraId="42F6CE3A">
                  <w:pPr>
                    <w:jc w:val="center"/>
                    <w:rPr>
                      <w:rFonts w:ascii="Times New Roman" w:hAnsi="Times New Roman" w:cs="Times New Roman"/>
                      <w:color w:val="auto"/>
                      <w:szCs w:val="21"/>
                    </w:rPr>
                  </w:pPr>
                  <w:r>
                    <w:rPr>
                      <w:rFonts w:ascii="Times New Roman" w:hAnsi="Times New Roman" w:cs="Times New Roman"/>
                      <w:color w:val="auto"/>
                      <w:szCs w:val="21"/>
                    </w:rPr>
                    <w:t>夜间</w:t>
                  </w:r>
                </w:p>
              </w:tc>
              <w:tc>
                <w:tcPr>
                  <w:tcW w:w="383" w:type="pct"/>
                  <w:vAlign w:val="center"/>
                </w:tcPr>
                <w:p w14:paraId="5BDDDBF8">
                  <w:pPr>
                    <w:jc w:val="center"/>
                    <w:rPr>
                      <w:rFonts w:ascii="Times New Roman" w:hAnsi="Times New Roman" w:cs="Times New Roman"/>
                      <w:color w:val="auto"/>
                      <w:szCs w:val="21"/>
                    </w:rPr>
                  </w:pPr>
                  <w:r>
                    <w:rPr>
                      <w:rFonts w:ascii="Times New Roman" w:hAnsi="Times New Roman" w:cs="Times New Roman"/>
                      <w:color w:val="auto"/>
                      <w:szCs w:val="21"/>
                    </w:rPr>
                    <w:t>昼间</w:t>
                  </w:r>
                </w:p>
              </w:tc>
              <w:tc>
                <w:tcPr>
                  <w:tcW w:w="390" w:type="pct"/>
                  <w:vAlign w:val="center"/>
                </w:tcPr>
                <w:p w14:paraId="7DE94F30">
                  <w:pPr>
                    <w:jc w:val="center"/>
                    <w:rPr>
                      <w:rFonts w:ascii="Times New Roman" w:hAnsi="Times New Roman" w:cs="Times New Roman"/>
                      <w:color w:val="auto"/>
                      <w:szCs w:val="21"/>
                    </w:rPr>
                  </w:pPr>
                  <w:r>
                    <w:rPr>
                      <w:rFonts w:ascii="Times New Roman" w:hAnsi="Times New Roman" w:cs="Times New Roman"/>
                      <w:color w:val="auto"/>
                      <w:szCs w:val="21"/>
                    </w:rPr>
                    <w:t>夜间</w:t>
                  </w:r>
                </w:p>
              </w:tc>
            </w:tr>
            <w:tr w14:paraId="0A416B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12" w:type="pct"/>
                  <w:vAlign w:val="center"/>
                </w:tcPr>
                <w:p w14:paraId="606B7E7F">
                  <w:pPr>
                    <w:jc w:val="center"/>
                    <w:rPr>
                      <w:rFonts w:ascii="Times New Roman" w:hAnsi="Times New Roman" w:cs="Times New Roman"/>
                      <w:bCs/>
                      <w:color w:val="auto"/>
                      <w:szCs w:val="21"/>
                    </w:rPr>
                  </w:pPr>
                  <w:r>
                    <w:rPr>
                      <w:rFonts w:ascii="Times New Roman" w:hAnsi="Times New Roman" w:cs="Times New Roman"/>
                      <w:color w:val="auto"/>
                      <w:szCs w:val="21"/>
                    </w:rPr>
                    <w:t>东厂界</w:t>
                  </w:r>
                </w:p>
              </w:tc>
              <w:tc>
                <w:tcPr>
                  <w:tcW w:w="701" w:type="pct"/>
                  <w:vAlign w:val="center"/>
                </w:tcPr>
                <w:p w14:paraId="1BE0B46A">
                  <w:pPr>
                    <w:jc w:val="center"/>
                    <w:rPr>
                      <w:rFonts w:ascii="Times New Roman" w:hAnsi="Times New Roman" w:cs="Times New Roman"/>
                      <w:color w:val="auto"/>
                      <w:szCs w:val="21"/>
                      <w:lang w:val="en-US"/>
                    </w:rPr>
                  </w:pPr>
                  <w:r>
                    <w:rPr>
                      <w:rFonts w:hint="eastAsia" w:ascii="Times New Roman" w:hAnsi="Times New Roman" w:cs="Times New Roman"/>
                      <w:color w:val="auto"/>
                      <w:szCs w:val="21"/>
                      <w:lang w:val="en-US"/>
                    </w:rPr>
                    <w:t>1</w:t>
                  </w:r>
                  <w:r>
                    <w:rPr>
                      <w:rFonts w:hint="eastAsia" w:ascii="Times New Roman" w:hAnsi="Times New Roman" w:cs="Times New Roman"/>
                      <w:color w:val="auto"/>
                      <w:szCs w:val="21"/>
                      <w:lang w:val="en-US" w:eastAsia="zh-CN"/>
                    </w:rPr>
                    <w:t>5</w:t>
                  </w:r>
                  <w:r>
                    <w:rPr>
                      <w:rFonts w:hint="eastAsia" w:ascii="Times New Roman" w:hAnsi="Times New Roman" w:cs="Times New Roman"/>
                      <w:color w:val="auto"/>
                      <w:szCs w:val="21"/>
                      <w:lang w:val="en-US"/>
                    </w:rPr>
                    <w:t>0</w:t>
                  </w:r>
                </w:p>
              </w:tc>
              <w:tc>
                <w:tcPr>
                  <w:tcW w:w="451" w:type="pct"/>
                  <w:vAlign w:val="center"/>
                </w:tcPr>
                <w:p w14:paraId="1C54279B">
                  <w:pPr>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昼56.3</w:t>
                  </w:r>
                </w:p>
              </w:tc>
              <w:tc>
                <w:tcPr>
                  <w:tcW w:w="452" w:type="pct"/>
                  <w:vAlign w:val="center"/>
                </w:tcPr>
                <w:p w14:paraId="13938A01">
                  <w:pPr>
                    <w:jc w:val="center"/>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夜44.3</w:t>
                  </w:r>
                </w:p>
              </w:tc>
              <w:tc>
                <w:tcPr>
                  <w:tcW w:w="561" w:type="pct"/>
                  <w:vAlign w:val="center"/>
                </w:tcPr>
                <w:p w14:paraId="4DB9C55D">
                  <w:pPr>
                    <w:widowControl/>
                    <w:jc w:val="center"/>
                    <w:textAlignment w:val="center"/>
                    <w:rPr>
                      <w:rFonts w:ascii="Times New Roman" w:hAnsi="Times New Roman" w:cs="Times New Roman"/>
                      <w:color w:val="auto"/>
                      <w:szCs w:val="21"/>
                    </w:rPr>
                  </w:pPr>
                  <w:r>
                    <w:rPr>
                      <w:rFonts w:ascii="Times New Roman" w:hAnsi="Times New Roman" w:cs="Times New Roman"/>
                      <w:color w:val="auto"/>
                      <w:lang w:val="en-US"/>
                    </w:rPr>
                    <w:t xml:space="preserve">24.63 </w:t>
                  </w:r>
                </w:p>
              </w:tc>
              <w:tc>
                <w:tcPr>
                  <w:tcW w:w="383" w:type="pct"/>
                  <w:vAlign w:val="center"/>
                </w:tcPr>
                <w:p w14:paraId="6B8F1141">
                  <w:pPr>
                    <w:widowControl/>
                    <w:jc w:val="center"/>
                    <w:textAlignment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color w:val="auto"/>
                      <w:lang w:val="en-US" w:eastAsia="zh-CN"/>
                    </w:rPr>
                    <w:t>56.3</w:t>
                  </w:r>
                </w:p>
              </w:tc>
              <w:tc>
                <w:tcPr>
                  <w:tcW w:w="390" w:type="pct"/>
                  <w:vAlign w:val="center"/>
                </w:tcPr>
                <w:p w14:paraId="4C9381F4">
                  <w:pPr>
                    <w:widowControl/>
                    <w:jc w:val="center"/>
                    <w:textAlignment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color w:val="auto"/>
                      <w:lang w:val="en-US" w:eastAsia="zh-CN"/>
                    </w:rPr>
                    <w:t>44.3</w:t>
                  </w:r>
                </w:p>
              </w:tc>
              <w:tc>
                <w:tcPr>
                  <w:tcW w:w="383" w:type="pct"/>
                  <w:vAlign w:val="center"/>
                </w:tcPr>
                <w:p w14:paraId="3C8C4C2E">
                  <w:pPr>
                    <w:jc w:val="center"/>
                    <w:rPr>
                      <w:rFonts w:ascii="Times New Roman" w:hAnsi="Times New Roman" w:cs="Times New Roman"/>
                      <w:bCs/>
                      <w:color w:val="auto"/>
                      <w:szCs w:val="21"/>
                      <w:lang w:val="en-US"/>
                    </w:rPr>
                  </w:pPr>
                  <w:r>
                    <w:rPr>
                      <w:rFonts w:hint="eastAsia" w:ascii="Times New Roman" w:hAnsi="Times New Roman" w:cs="Times New Roman"/>
                      <w:bCs/>
                      <w:color w:val="auto"/>
                      <w:szCs w:val="21"/>
                      <w:lang w:val="en-US"/>
                    </w:rPr>
                    <w:t>65</w:t>
                  </w:r>
                </w:p>
              </w:tc>
              <w:tc>
                <w:tcPr>
                  <w:tcW w:w="390" w:type="pct"/>
                  <w:vAlign w:val="center"/>
                </w:tcPr>
                <w:p w14:paraId="6CA6EB40">
                  <w:pPr>
                    <w:jc w:val="center"/>
                    <w:rPr>
                      <w:rFonts w:ascii="Times New Roman" w:hAnsi="Times New Roman" w:cs="Times New Roman"/>
                      <w:bCs/>
                      <w:color w:val="auto"/>
                      <w:szCs w:val="21"/>
                      <w:lang w:val="en-US"/>
                    </w:rPr>
                  </w:pPr>
                  <w:r>
                    <w:rPr>
                      <w:rFonts w:hint="eastAsia" w:ascii="Times New Roman" w:hAnsi="Times New Roman" w:cs="Times New Roman"/>
                      <w:bCs/>
                      <w:color w:val="auto"/>
                      <w:szCs w:val="21"/>
                      <w:lang w:val="en-US"/>
                    </w:rPr>
                    <w:t>55</w:t>
                  </w:r>
                </w:p>
              </w:tc>
              <w:tc>
                <w:tcPr>
                  <w:tcW w:w="383" w:type="pct"/>
                  <w:vAlign w:val="center"/>
                </w:tcPr>
                <w:p w14:paraId="1C9C1DD7">
                  <w:pPr>
                    <w:jc w:val="center"/>
                    <w:rPr>
                      <w:rFonts w:ascii="Times New Roman" w:hAnsi="Times New Roman" w:cs="Times New Roman"/>
                      <w:color w:val="auto"/>
                      <w:szCs w:val="21"/>
                    </w:rPr>
                  </w:pPr>
                  <w:r>
                    <w:rPr>
                      <w:rFonts w:ascii="Times New Roman" w:hAnsi="Times New Roman" w:cs="Times New Roman"/>
                      <w:bCs/>
                      <w:color w:val="auto"/>
                      <w:szCs w:val="21"/>
                    </w:rPr>
                    <w:t>达标</w:t>
                  </w:r>
                </w:p>
              </w:tc>
              <w:tc>
                <w:tcPr>
                  <w:tcW w:w="390" w:type="pct"/>
                  <w:vAlign w:val="center"/>
                </w:tcPr>
                <w:p w14:paraId="7C180EB7">
                  <w:pPr>
                    <w:jc w:val="center"/>
                    <w:rPr>
                      <w:rFonts w:ascii="Times New Roman" w:hAnsi="Times New Roman" w:cs="Times New Roman"/>
                      <w:bCs/>
                      <w:color w:val="auto"/>
                      <w:szCs w:val="21"/>
                    </w:rPr>
                  </w:pPr>
                  <w:r>
                    <w:rPr>
                      <w:rFonts w:ascii="Times New Roman" w:hAnsi="Times New Roman" w:cs="Times New Roman"/>
                      <w:bCs/>
                      <w:color w:val="auto"/>
                      <w:szCs w:val="21"/>
                    </w:rPr>
                    <w:t>达标</w:t>
                  </w:r>
                </w:p>
              </w:tc>
            </w:tr>
            <w:tr w14:paraId="7ACBCE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12" w:type="pct"/>
                  <w:vAlign w:val="center"/>
                </w:tcPr>
                <w:p w14:paraId="34AE66FB">
                  <w:pPr>
                    <w:jc w:val="center"/>
                    <w:rPr>
                      <w:rFonts w:ascii="Times New Roman" w:hAnsi="Times New Roman" w:cs="Times New Roman"/>
                      <w:bCs/>
                      <w:color w:val="auto"/>
                      <w:szCs w:val="21"/>
                    </w:rPr>
                  </w:pPr>
                  <w:r>
                    <w:rPr>
                      <w:rFonts w:ascii="Times New Roman" w:hAnsi="Times New Roman" w:cs="Times New Roman"/>
                      <w:bCs/>
                      <w:color w:val="auto"/>
                      <w:szCs w:val="21"/>
                    </w:rPr>
                    <w:t>南厂界</w:t>
                  </w:r>
                </w:p>
              </w:tc>
              <w:tc>
                <w:tcPr>
                  <w:tcW w:w="701" w:type="pct"/>
                  <w:vAlign w:val="center"/>
                </w:tcPr>
                <w:p w14:paraId="17A564E9">
                  <w:pPr>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50</w:t>
                  </w:r>
                </w:p>
              </w:tc>
              <w:tc>
                <w:tcPr>
                  <w:tcW w:w="451" w:type="pct"/>
                  <w:vAlign w:val="center"/>
                </w:tcPr>
                <w:p w14:paraId="62FF4EF8">
                  <w:pPr>
                    <w:jc w:val="center"/>
                    <w:rPr>
                      <w:rFonts w:hint="default" w:ascii="Times New Roman" w:hAnsi="Times New Roman" w:cs="Times New Roman"/>
                      <w:bCs/>
                      <w:color w:val="auto"/>
                      <w:szCs w:val="21"/>
                      <w:lang w:val="en-US" w:eastAsia="zh-CN"/>
                    </w:rPr>
                  </w:pPr>
                  <w:r>
                    <w:rPr>
                      <w:rFonts w:hint="eastAsia" w:ascii="Times New Roman" w:hAnsi="Times New Roman" w:cs="Times New Roman"/>
                      <w:color w:val="auto"/>
                      <w:szCs w:val="21"/>
                      <w:lang w:val="en-US" w:eastAsia="zh-CN"/>
                    </w:rPr>
                    <w:t>昼</w:t>
                  </w:r>
                  <w:r>
                    <w:rPr>
                      <w:rFonts w:hint="eastAsia" w:ascii="Times New Roman" w:hAnsi="Times New Roman" w:cs="Times New Roman"/>
                      <w:bCs/>
                      <w:color w:val="auto"/>
                      <w:szCs w:val="21"/>
                      <w:lang w:val="en-US" w:eastAsia="zh-CN"/>
                    </w:rPr>
                    <w:t>55.6</w:t>
                  </w:r>
                </w:p>
              </w:tc>
              <w:tc>
                <w:tcPr>
                  <w:tcW w:w="452" w:type="pct"/>
                  <w:vAlign w:val="center"/>
                </w:tcPr>
                <w:p w14:paraId="36E4F0CF">
                  <w:pPr>
                    <w:jc w:val="center"/>
                    <w:rPr>
                      <w:rFonts w:hint="default" w:ascii="Times New Roman" w:hAnsi="Times New Roman" w:cs="Times New Roman"/>
                      <w:bCs/>
                      <w:color w:val="auto"/>
                      <w:szCs w:val="21"/>
                      <w:lang w:val="en-US" w:eastAsia="zh-CN"/>
                    </w:rPr>
                  </w:pPr>
                  <w:r>
                    <w:rPr>
                      <w:rFonts w:hint="eastAsia" w:ascii="Times New Roman" w:hAnsi="Times New Roman" w:cs="Times New Roman"/>
                      <w:bCs/>
                      <w:color w:val="auto"/>
                      <w:szCs w:val="21"/>
                      <w:lang w:val="en-US" w:eastAsia="zh-CN"/>
                    </w:rPr>
                    <w:t>夜47.3</w:t>
                  </w:r>
                </w:p>
              </w:tc>
              <w:tc>
                <w:tcPr>
                  <w:tcW w:w="561" w:type="pct"/>
                  <w:vAlign w:val="center"/>
                </w:tcPr>
                <w:p w14:paraId="2D83F810">
                  <w:pPr>
                    <w:widowControl/>
                    <w:jc w:val="center"/>
                    <w:textAlignment w:val="center"/>
                    <w:rPr>
                      <w:rFonts w:ascii="Times New Roman" w:hAnsi="Times New Roman" w:cs="Times New Roman"/>
                      <w:bCs/>
                      <w:color w:val="auto"/>
                      <w:szCs w:val="21"/>
                    </w:rPr>
                  </w:pPr>
                  <w:r>
                    <w:rPr>
                      <w:rFonts w:ascii="Times New Roman" w:hAnsi="Times New Roman" w:cs="Times New Roman"/>
                      <w:color w:val="auto"/>
                      <w:lang w:val="en-US"/>
                    </w:rPr>
                    <w:t>4</w:t>
                  </w:r>
                  <w:r>
                    <w:rPr>
                      <w:rFonts w:hint="eastAsia" w:ascii="Times New Roman" w:hAnsi="Times New Roman" w:cs="Times New Roman"/>
                      <w:color w:val="auto"/>
                      <w:lang w:val="en-US"/>
                    </w:rPr>
                    <w:t>2</w:t>
                  </w:r>
                  <w:r>
                    <w:rPr>
                      <w:rFonts w:ascii="Times New Roman" w:hAnsi="Times New Roman" w:cs="Times New Roman"/>
                      <w:color w:val="auto"/>
                      <w:lang w:val="en-US"/>
                    </w:rPr>
                    <w:t>.</w:t>
                  </w:r>
                  <w:r>
                    <w:rPr>
                      <w:rFonts w:hint="eastAsia" w:ascii="Times New Roman" w:hAnsi="Times New Roman" w:cs="Times New Roman"/>
                      <w:color w:val="auto"/>
                      <w:lang w:val="en-US"/>
                    </w:rPr>
                    <w:t>89</w:t>
                  </w:r>
                  <w:r>
                    <w:rPr>
                      <w:rFonts w:ascii="Times New Roman" w:hAnsi="Times New Roman" w:cs="Times New Roman"/>
                      <w:color w:val="auto"/>
                      <w:lang w:val="en-US"/>
                    </w:rPr>
                    <w:t xml:space="preserve"> </w:t>
                  </w:r>
                </w:p>
              </w:tc>
              <w:tc>
                <w:tcPr>
                  <w:tcW w:w="383" w:type="pct"/>
                  <w:vAlign w:val="center"/>
                </w:tcPr>
                <w:p w14:paraId="168AA7C1">
                  <w:pPr>
                    <w:widowControl/>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lang w:val="en-US" w:eastAsia="zh-CN"/>
                    </w:rPr>
                    <w:t>55.6</w:t>
                  </w:r>
                </w:p>
              </w:tc>
              <w:tc>
                <w:tcPr>
                  <w:tcW w:w="390" w:type="pct"/>
                  <w:vAlign w:val="center"/>
                </w:tcPr>
                <w:p w14:paraId="40DC533B">
                  <w:pPr>
                    <w:widowControl/>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lang w:val="en-US" w:eastAsia="zh-CN"/>
                    </w:rPr>
                    <w:t>47.3</w:t>
                  </w:r>
                </w:p>
              </w:tc>
              <w:tc>
                <w:tcPr>
                  <w:tcW w:w="383" w:type="pct"/>
                  <w:vAlign w:val="center"/>
                </w:tcPr>
                <w:p w14:paraId="27A3EFA7">
                  <w:pPr>
                    <w:jc w:val="center"/>
                    <w:rPr>
                      <w:rFonts w:ascii="Times New Roman" w:hAnsi="Times New Roman" w:cs="Times New Roman"/>
                      <w:bCs/>
                      <w:color w:val="auto"/>
                      <w:szCs w:val="21"/>
                      <w:lang w:val="en-US"/>
                    </w:rPr>
                  </w:pPr>
                  <w:r>
                    <w:rPr>
                      <w:rFonts w:hint="eastAsia" w:ascii="Times New Roman" w:hAnsi="Times New Roman" w:cs="Times New Roman"/>
                      <w:bCs/>
                      <w:color w:val="auto"/>
                      <w:szCs w:val="21"/>
                      <w:lang w:val="en-US"/>
                    </w:rPr>
                    <w:t>65</w:t>
                  </w:r>
                </w:p>
              </w:tc>
              <w:tc>
                <w:tcPr>
                  <w:tcW w:w="390" w:type="pct"/>
                  <w:vAlign w:val="center"/>
                </w:tcPr>
                <w:p w14:paraId="51A4DF60">
                  <w:pPr>
                    <w:jc w:val="center"/>
                    <w:rPr>
                      <w:rFonts w:ascii="Times New Roman" w:hAnsi="Times New Roman" w:cs="Times New Roman"/>
                      <w:bCs/>
                      <w:color w:val="auto"/>
                      <w:szCs w:val="21"/>
                      <w:lang w:val="en-US"/>
                    </w:rPr>
                  </w:pPr>
                  <w:r>
                    <w:rPr>
                      <w:rFonts w:hint="eastAsia" w:ascii="Times New Roman" w:hAnsi="Times New Roman" w:cs="Times New Roman"/>
                      <w:bCs/>
                      <w:color w:val="auto"/>
                      <w:szCs w:val="21"/>
                      <w:lang w:val="en-US"/>
                    </w:rPr>
                    <w:t>55</w:t>
                  </w:r>
                </w:p>
              </w:tc>
              <w:tc>
                <w:tcPr>
                  <w:tcW w:w="383" w:type="pct"/>
                  <w:vAlign w:val="center"/>
                </w:tcPr>
                <w:p w14:paraId="2CEAB815">
                  <w:pPr>
                    <w:jc w:val="center"/>
                    <w:rPr>
                      <w:rFonts w:ascii="Times New Roman" w:hAnsi="Times New Roman" w:cs="Times New Roman"/>
                      <w:color w:val="auto"/>
                      <w:szCs w:val="21"/>
                    </w:rPr>
                  </w:pPr>
                  <w:r>
                    <w:rPr>
                      <w:rFonts w:ascii="Times New Roman" w:hAnsi="Times New Roman" w:cs="Times New Roman"/>
                      <w:color w:val="auto"/>
                      <w:szCs w:val="21"/>
                    </w:rPr>
                    <w:t>达标</w:t>
                  </w:r>
                </w:p>
              </w:tc>
              <w:tc>
                <w:tcPr>
                  <w:tcW w:w="390" w:type="pct"/>
                  <w:vAlign w:val="center"/>
                </w:tcPr>
                <w:p w14:paraId="6737305B">
                  <w:pPr>
                    <w:jc w:val="center"/>
                    <w:rPr>
                      <w:rFonts w:ascii="Times New Roman" w:hAnsi="Times New Roman" w:cs="Times New Roman"/>
                      <w:color w:val="auto"/>
                      <w:szCs w:val="21"/>
                    </w:rPr>
                  </w:pPr>
                  <w:r>
                    <w:rPr>
                      <w:rFonts w:ascii="Times New Roman" w:hAnsi="Times New Roman" w:cs="Times New Roman"/>
                      <w:color w:val="auto"/>
                      <w:szCs w:val="21"/>
                    </w:rPr>
                    <w:t>达标</w:t>
                  </w:r>
                </w:p>
              </w:tc>
            </w:tr>
            <w:tr w14:paraId="6943D8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12" w:type="pct"/>
                  <w:vAlign w:val="center"/>
                </w:tcPr>
                <w:p w14:paraId="525DEADE">
                  <w:pPr>
                    <w:jc w:val="center"/>
                    <w:rPr>
                      <w:rFonts w:ascii="Times New Roman" w:hAnsi="Times New Roman" w:cs="Times New Roman"/>
                      <w:bCs/>
                      <w:color w:val="auto"/>
                      <w:szCs w:val="21"/>
                    </w:rPr>
                  </w:pPr>
                  <w:r>
                    <w:rPr>
                      <w:rFonts w:ascii="Times New Roman" w:hAnsi="Times New Roman" w:cs="Times New Roman"/>
                      <w:bCs/>
                      <w:color w:val="auto"/>
                      <w:szCs w:val="21"/>
                    </w:rPr>
                    <w:t>西厂界</w:t>
                  </w:r>
                </w:p>
              </w:tc>
              <w:tc>
                <w:tcPr>
                  <w:tcW w:w="701" w:type="pct"/>
                  <w:vAlign w:val="center"/>
                </w:tcPr>
                <w:p w14:paraId="5E68717C">
                  <w:pPr>
                    <w:jc w:val="center"/>
                    <w:rPr>
                      <w:rFonts w:ascii="Times New Roman" w:hAnsi="Times New Roman" w:cs="Times New Roman"/>
                      <w:bCs/>
                      <w:color w:val="auto"/>
                      <w:szCs w:val="21"/>
                      <w:lang w:val="en-US"/>
                    </w:rPr>
                  </w:pPr>
                  <w:r>
                    <w:rPr>
                      <w:rFonts w:hint="eastAsia" w:ascii="Times New Roman" w:hAnsi="Times New Roman" w:cs="Times New Roman"/>
                      <w:bCs/>
                      <w:color w:val="auto"/>
                      <w:szCs w:val="21"/>
                      <w:lang w:val="en-US"/>
                    </w:rPr>
                    <w:t>150</w:t>
                  </w:r>
                </w:p>
              </w:tc>
              <w:tc>
                <w:tcPr>
                  <w:tcW w:w="451" w:type="pct"/>
                  <w:vAlign w:val="center"/>
                </w:tcPr>
                <w:p w14:paraId="08417C09">
                  <w:pPr>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color w:val="auto"/>
                      <w:szCs w:val="21"/>
                      <w:lang w:val="en-US" w:eastAsia="zh-CN"/>
                    </w:rPr>
                    <w:t>昼</w:t>
                  </w:r>
                  <w:r>
                    <w:rPr>
                      <w:rFonts w:hint="eastAsia" w:ascii="Times New Roman" w:hAnsi="Times New Roman" w:cs="Times New Roman"/>
                      <w:bCs/>
                      <w:color w:val="auto"/>
                      <w:szCs w:val="21"/>
                      <w:lang w:val="en-US" w:eastAsia="zh-CN"/>
                    </w:rPr>
                    <w:t>55.7</w:t>
                  </w:r>
                </w:p>
              </w:tc>
              <w:tc>
                <w:tcPr>
                  <w:tcW w:w="452" w:type="pct"/>
                  <w:vAlign w:val="center"/>
                </w:tcPr>
                <w:p w14:paraId="4E36E1AF">
                  <w:pPr>
                    <w:jc w:val="center"/>
                    <w:rPr>
                      <w:rFonts w:hint="default" w:ascii="Times New Roman" w:hAnsi="Times New Roman" w:cs="Times New Roman"/>
                      <w:bCs/>
                      <w:color w:val="auto"/>
                      <w:szCs w:val="21"/>
                      <w:lang w:val="en-US" w:eastAsia="zh-CN"/>
                    </w:rPr>
                  </w:pPr>
                  <w:r>
                    <w:rPr>
                      <w:rFonts w:hint="eastAsia" w:ascii="Times New Roman" w:hAnsi="Times New Roman" w:cs="Times New Roman"/>
                      <w:bCs/>
                      <w:color w:val="auto"/>
                      <w:szCs w:val="21"/>
                      <w:lang w:val="en-US" w:eastAsia="zh-CN"/>
                    </w:rPr>
                    <w:t>夜44.9</w:t>
                  </w:r>
                </w:p>
              </w:tc>
              <w:tc>
                <w:tcPr>
                  <w:tcW w:w="561" w:type="pct"/>
                  <w:vAlign w:val="center"/>
                </w:tcPr>
                <w:p w14:paraId="44FEA10D">
                  <w:pPr>
                    <w:widowControl/>
                    <w:jc w:val="center"/>
                    <w:textAlignment w:val="center"/>
                    <w:rPr>
                      <w:rFonts w:ascii="Times New Roman" w:hAnsi="Times New Roman" w:cs="Times New Roman"/>
                      <w:bCs/>
                      <w:color w:val="auto"/>
                      <w:szCs w:val="21"/>
                    </w:rPr>
                  </w:pPr>
                  <w:r>
                    <w:rPr>
                      <w:rFonts w:ascii="Times New Roman" w:hAnsi="Times New Roman" w:cs="Times New Roman"/>
                      <w:color w:val="auto"/>
                      <w:lang w:val="en-US"/>
                    </w:rPr>
                    <w:t xml:space="preserve">24.63 </w:t>
                  </w:r>
                </w:p>
              </w:tc>
              <w:tc>
                <w:tcPr>
                  <w:tcW w:w="383" w:type="pct"/>
                  <w:vAlign w:val="center"/>
                </w:tcPr>
                <w:p w14:paraId="053B203B">
                  <w:pPr>
                    <w:widowControl/>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lang w:val="en-US" w:eastAsia="zh-CN"/>
                    </w:rPr>
                    <w:t>55.7</w:t>
                  </w:r>
                </w:p>
              </w:tc>
              <w:tc>
                <w:tcPr>
                  <w:tcW w:w="390" w:type="pct"/>
                  <w:vAlign w:val="center"/>
                </w:tcPr>
                <w:p w14:paraId="074EA8E8">
                  <w:pPr>
                    <w:widowControl/>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lang w:val="en-US" w:eastAsia="zh-CN"/>
                    </w:rPr>
                    <w:t>44.9</w:t>
                  </w:r>
                </w:p>
              </w:tc>
              <w:tc>
                <w:tcPr>
                  <w:tcW w:w="383" w:type="pct"/>
                  <w:vAlign w:val="center"/>
                </w:tcPr>
                <w:p w14:paraId="2E5CB6F5">
                  <w:pPr>
                    <w:jc w:val="center"/>
                    <w:rPr>
                      <w:rFonts w:ascii="Times New Roman" w:hAnsi="Times New Roman" w:cs="Times New Roman"/>
                      <w:color w:val="auto"/>
                      <w:szCs w:val="21"/>
                      <w:lang w:val="en-US"/>
                    </w:rPr>
                  </w:pPr>
                  <w:r>
                    <w:rPr>
                      <w:rFonts w:hint="eastAsia" w:ascii="Times New Roman" w:hAnsi="Times New Roman" w:cs="Times New Roman"/>
                      <w:bCs/>
                      <w:color w:val="auto"/>
                      <w:szCs w:val="21"/>
                      <w:lang w:val="en-US"/>
                    </w:rPr>
                    <w:t>65</w:t>
                  </w:r>
                </w:p>
              </w:tc>
              <w:tc>
                <w:tcPr>
                  <w:tcW w:w="390" w:type="pct"/>
                  <w:vAlign w:val="center"/>
                </w:tcPr>
                <w:p w14:paraId="038EF87F">
                  <w:pPr>
                    <w:jc w:val="center"/>
                    <w:rPr>
                      <w:rFonts w:ascii="Times New Roman" w:hAnsi="Times New Roman" w:cs="Times New Roman"/>
                      <w:color w:val="auto"/>
                      <w:szCs w:val="21"/>
                      <w:lang w:val="en-US"/>
                    </w:rPr>
                  </w:pPr>
                  <w:r>
                    <w:rPr>
                      <w:rFonts w:hint="eastAsia" w:ascii="Times New Roman" w:hAnsi="Times New Roman" w:cs="Times New Roman"/>
                      <w:bCs/>
                      <w:color w:val="auto"/>
                      <w:szCs w:val="21"/>
                      <w:lang w:val="en-US"/>
                    </w:rPr>
                    <w:t>55</w:t>
                  </w:r>
                </w:p>
              </w:tc>
              <w:tc>
                <w:tcPr>
                  <w:tcW w:w="383" w:type="pct"/>
                  <w:vAlign w:val="center"/>
                </w:tcPr>
                <w:p w14:paraId="6C5FBF0D">
                  <w:pPr>
                    <w:jc w:val="center"/>
                    <w:rPr>
                      <w:rFonts w:ascii="Times New Roman" w:hAnsi="Times New Roman" w:cs="Times New Roman"/>
                      <w:color w:val="auto"/>
                      <w:szCs w:val="21"/>
                    </w:rPr>
                  </w:pPr>
                  <w:r>
                    <w:rPr>
                      <w:rFonts w:ascii="Times New Roman" w:hAnsi="Times New Roman" w:cs="Times New Roman"/>
                      <w:color w:val="auto"/>
                      <w:szCs w:val="21"/>
                    </w:rPr>
                    <w:t>达标</w:t>
                  </w:r>
                </w:p>
              </w:tc>
              <w:tc>
                <w:tcPr>
                  <w:tcW w:w="390" w:type="pct"/>
                  <w:vAlign w:val="center"/>
                </w:tcPr>
                <w:p w14:paraId="674BE1BE">
                  <w:pPr>
                    <w:jc w:val="center"/>
                    <w:rPr>
                      <w:rFonts w:ascii="Times New Roman" w:hAnsi="Times New Roman" w:cs="Times New Roman"/>
                      <w:color w:val="auto"/>
                      <w:szCs w:val="21"/>
                    </w:rPr>
                  </w:pPr>
                  <w:r>
                    <w:rPr>
                      <w:rFonts w:ascii="Times New Roman" w:hAnsi="Times New Roman" w:cs="Times New Roman"/>
                      <w:color w:val="auto"/>
                      <w:szCs w:val="21"/>
                    </w:rPr>
                    <w:t>达标</w:t>
                  </w:r>
                </w:p>
              </w:tc>
            </w:tr>
            <w:tr w14:paraId="49A869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12" w:type="pct"/>
                  <w:vAlign w:val="center"/>
                </w:tcPr>
                <w:p w14:paraId="3D24D1C9">
                  <w:pPr>
                    <w:jc w:val="center"/>
                    <w:rPr>
                      <w:rFonts w:ascii="Times New Roman" w:hAnsi="Times New Roman" w:cs="Times New Roman"/>
                      <w:bCs/>
                      <w:color w:val="auto"/>
                      <w:szCs w:val="21"/>
                    </w:rPr>
                  </w:pPr>
                  <w:r>
                    <w:rPr>
                      <w:rFonts w:ascii="Times New Roman" w:hAnsi="Times New Roman" w:cs="Times New Roman"/>
                      <w:bCs/>
                      <w:color w:val="auto"/>
                      <w:szCs w:val="21"/>
                    </w:rPr>
                    <w:t>北厂界</w:t>
                  </w:r>
                </w:p>
              </w:tc>
              <w:tc>
                <w:tcPr>
                  <w:tcW w:w="701" w:type="pct"/>
                  <w:vAlign w:val="center"/>
                </w:tcPr>
                <w:p w14:paraId="00DEF1A1">
                  <w:pPr>
                    <w:jc w:val="center"/>
                    <w:rPr>
                      <w:rFonts w:hint="default" w:ascii="Times New Roman" w:hAnsi="Times New Roman" w:eastAsia="宋体" w:cs="Times New Roman"/>
                      <w:bCs/>
                      <w:color w:val="auto"/>
                      <w:szCs w:val="21"/>
                      <w:lang w:val="en-US" w:eastAsia="zh-CN"/>
                    </w:rPr>
                  </w:pPr>
                  <w:r>
                    <w:rPr>
                      <w:rFonts w:hint="eastAsia" w:ascii="Times New Roman" w:hAnsi="Times New Roman" w:cs="Times New Roman"/>
                      <w:bCs/>
                      <w:color w:val="auto"/>
                      <w:szCs w:val="21"/>
                      <w:lang w:val="en-US" w:eastAsia="zh-CN"/>
                    </w:rPr>
                    <w:t>50</w:t>
                  </w:r>
                </w:p>
              </w:tc>
              <w:tc>
                <w:tcPr>
                  <w:tcW w:w="451" w:type="pct"/>
                  <w:vAlign w:val="center"/>
                </w:tcPr>
                <w:p w14:paraId="38ABD53C">
                  <w:pPr>
                    <w:jc w:val="center"/>
                    <w:rPr>
                      <w:rFonts w:hint="default" w:ascii="Times New Roman" w:hAnsi="Times New Roman" w:cs="Times New Roman"/>
                      <w:bCs/>
                      <w:color w:val="auto"/>
                      <w:szCs w:val="21"/>
                      <w:lang w:val="en-US" w:eastAsia="zh-CN"/>
                    </w:rPr>
                  </w:pPr>
                  <w:r>
                    <w:rPr>
                      <w:rFonts w:hint="eastAsia" w:ascii="Times New Roman" w:hAnsi="Times New Roman" w:cs="Times New Roman"/>
                      <w:color w:val="auto"/>
                      <w:szCs w:val="21"/>
                      <w:lang w:val="en-US" w:eastAsia="zh-CN"/>
                    </w:rPr>
                    <w:t>昼</w:t>
                  </w:r>
                  <w:r>
                    <w:rPr>
                      <w:rFonts w:hint="eastAsia" w:ascii="Times New Roman" w:hAnsi="Times New Roman" w:cs="Times New Roman"/>
                      <w:bCs/>
                      <w:color w:val="auto"/>
                      <w:szCs w:val="21"/>
                      <w:lang w:val="en-US" w:eastAsia="zh-CN"/>
                    </w:rPr>
                    <w:t>57.1</w:t>
                  </w:r>
                </w:p>
              </w:tc>
              <w:tc>
                <w:tcPr>
                  <w:tcW w:w="452" w:type="pct"/>
                  <w:vAlign w:val="center"/>
                </w:tcPr>
                <w:p w14:paraId="7BF6C9E6">
                  <w:pPr>
                    <w:jc w:val="center"/>
                    <w:rPr>
                      <w:rFonts w:hint="default" w:ascii="Times New Roman" w:hAnsi="Times New Roman" w:cs="Times New Roman"/>
                      <w:bCs/>
                      <w:color w:val="auto"/>
                      <w:szCs w:val="21"/>
                      <w:lang w:val="en-US" w:eastAsia="zh-CN"/>
                    </w:rPr>
                  </w:pPr>
                  <w:r>
                    <w:rPr>
                      <w:rFonts w:hint="eastAsia" w:ascii="Times New Roman" w:hAnsi="Times New Roman" w:cs="Times New Roman"/>
                      <w:bCs/>
                      <w:color w:val="auto"/>
                      <w:szCs w:val="21"/>
                      <w:lang w:val="en-US" w:eastAsia="zh-CN"/>
                    </w:rPr>
                    <w:t>夜45.1</w:t>
                  </w:r>
                </w:p>
              </w:tc>
              <w:tc>
                <w:tcPr>
                  <w:tcW w:w="561" w:type="pct"/>
                  <w:vAlign w:val="center"/>
                </w:tcPr>
                <w:p w14:paraId="7ECB832A">
                  <w:pPr>
                    <w:widowControl/>
                    <w:jc w:val="center"/>
                    <w:textAlignment w:val="center"/>
                    <w:rPr>
                      <w:rFonts w:ascii="Times New Roman" w:hAnsi="Times New Roman" w:cs="Times New Roman"/>
                      <w:bCs/>
                      <w:color w:val="auto"/>
                      <w:szCs w:val="21"/>
                    </w:rPr>
                  </w:pPr>
                  <w:r>
                    <w:rPr>
                      <w:rFonts w:ascii="Times New Roman" w:hAnsi="Times New Roman" w:cs="Times New Roman"/>
                      <w:color w:val="auto"/>
                      <w:lang w:val="en-US"/>
                    </w:rPr>
                    <w:t>4</w:t>
                  </w:r>
                  <w:r>
                    <w:rPr>
                      <w:rFonts w:hint="eastAsia" w:ascii="Times New Roman" w:hAnsi="Times New Roman" w:cs="Times New Roman"/>
                      <w:color w:val="auto"/>
                      <w:lang w:val="en-US"/>
                    </w:rPr>
                    <w:t>2</w:t>
                  </w:r>
                  <w:r>
                    <w:rPr>
                      <w:rFonts w:ascii="Times New Roman" w:hAnsi="Times New Roman" w:cs="Times New Roman"/>
                      <w:color w:val="auto"/>
                      <w:lang w:val="en-US"/>
                    </w:rPr>
                    <w:t>.</w:t>
                  </w:r>
                  <w:r>
                    <w:rPr>
                      <w:rFonts w:hint="eastAsia" w:ascii="Times New Roman" w:hAnsi="Times New Roman" w:cs="Times New Roman"/>
                      <w:color w:val="auto"/>
                      <w:lang w:val="en-US"/>
                    </w:rPr>
                    <w:t>89</w:t>
                  </w:r>
                  <w:r>
                    <w:rPr>
                      <w:rFonts w:ascii="Times New Roman" w:hAnsi="Times New Roman" w:cs="Times New Roman"/>
                      <w:color w:val="auto"/>
                      <w:lang w:val="en-US"/>
                    </w:rPr>
                    <w:t xml:space="preserve"> </w:t>
                  </w:r>
                </w:p>
              </w:tc>
              <w:tc>
                <w:tcPr>
                  <w:tcW w:w="383" w:type="pct"/>
                  <w:vAlign w:val="center"/>
                </w:tcPr>
                <w:p w14:paraId="081B93DD">
                  <w:pPr>
                    <w:widowControl/>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lang w:val="en-US" w:eastAsia="zh-CN"/>
                    </w:rPr>
                    <w:t>57.1</w:t>
                  </w:r>
                </w:p>
              </w:tc>
              <w:tc>
                <w:tcPr>
                  <w:tcW w:w="390" w:type="pct"/>
                  <w:vAlign w:val="center"/>
                </w:tcPr>
                <w:p w14:paraId="49CBCA55">
                  <w:pPr>
                    <w:widowControl/>
                    <w:jc w:val="center"/>
                    <w:textAlignment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lang w:val="en-US" w:eastAsia="zh-CN"/>
                    </w:rPr>
                    <w:t>46.3</w:t>
                  </w:r>
                </w:p>
              </w:tc>
              <w:tc>
                <w:tcPr>
                  <w:tcW w:w="383" w:type="pct"/>
                  <w:vAlign w:val="center"/>
                </w:tcPr>
                <w:p w14:paraId="363A3A74">
                  <w:pPr>
                    <w:jc w:val="center"/>
                    <w:rPr>
                      <w:rFonts w:ascii="Times New Roman" w:hAnsi="Times New Roman" w:cs="Times New Roman"/>
                      <w:color w:val="auto"/>
                      <w:szCs w:val="21"/>
                      <w:lang w:val="en-US"/>
                    </w:rPr>
                  </w:pPr>
                  <w:r>
                    <w:rPr>
                      <w:rFonts w:hint="eastAsia" w:ascii="Times New Roman" w:hAnsi="Times New Roman" w:cs="Times New Roman"/>
                      <w:bCs/>
                      <w:color w:val="auto"/>
                      <w:szCs w:val="21"/>
                      <w:lang w:val="en-US"/>
                    </w:rPr>
                    <w:t>65</w:t>
                  </w:r>
                </w:p>
              </w:tc>
              <w:tc>
                <w:tcPr>
                  <w:tcW w:w="390" w:type="pct"/>
                  <w:vAlign w:val="center"/>
                </w:tcPr>
                <w:p w14:paraId="35D4509F">
                  <w:pPr>
                    <w:jc w:val="center"/>
                    <w:rPr>
                      <w:rFonts w:ascii="Times New Roman" w:hAnsi="Times New Roman" w:cs="Times New Roman"/>
                      <w:color w:val="auto"/>
                      <w:szCs w:val="21"/>
                      <w:lang w:val="en-US"/>
                    </w:rPr>
                  </w:pPr>
                  <w:r>
                    <w:rPr>
                      <w:rFonts w:hint="eastAsia" w:ascii="Times New Roman" w:hAnsi="Times New Roman" w:cs="Times New Roman"/>
                      <w:bCs/>
                      <w:color w:val="auto"/>
                      <w:szCs w:val="21"/>
                      <w:lang w:val="en-US"/>
                    </w:rPr>
                    <w:t>55</w:t>
                  </w:r>
                </w:p>
              </w:tc>
              <w:tc>
                <w:tcPr>
                  <w:tcW w:w="383" w:type="pct"/>
                  <w:vAlign w:val="center"/>
                </w:tcPr>
                <w:p w14:paraId="22D61FB6">
                  <w:pPr>
                    <w:jc w:val="center"/>
                    <w:rPr>
                      <w:rFonts w:ascii="Times New Roman" w:hAnsi="Times New Roman" w:cs="Times New Roman"/>
                      <w:color w:val="auto"/>
                      <w:szCs w:val="21"/>
                    </w:rPr>
                  </w:pPr>
                  <w:r>
                    <w:rPr>
                      <w:rFonts w:ascii="Times New Roman" w:hAnsi="Times New Roman" w:cs="Times New Roman"/>
                      <w:color w:val="auto"/>
                      <w:szCs w:val="21"/>
                    </w:rPr>
                    <w:t>达标</w:t>
                  </w:r>
                </w:p>
              </w:tc>
              <w:tc>
                <w:tcPr>
                  <w:tcW w:w="390" w:type="pct"/>
                  <w:vAlign w:val="center"/>
                </w:tcPr>
                <w:p w14:paraId="6FEC8AB2">
                  <w:pPr>
                    <w:jc w:val="center"/>
                    <w:rPr>
                      <w:rFonts w:ascii="Times New Roman" w:hAnsi="Times New Roman" w:cs="Times New Roman"/>
                      <w:color w:val="auto"/>
                      <w:szCs w:val="21"/>
                    </w:rPr>
                  </w:pPr>
                  <w:r>
                    <w:rPr>
                      <w:rFonts w:ascii="Times New Roman" w:hAnsi="Times New Roman" w:cs="Times New Roman"/>
                      <w:color w:val="auto"/>
                      <w:szCs w:val="21"/>
                    </w:rPr>
                    <w:t>达标</w:t>
                  </w:r>
                </w:p>
              </w:tc>
            </w:tr>
          </w:tbl>
          <w:p w14:paraId="79665D55">
            <w:pPr>
              <w:adjustRightInd w:val="0"/>
              <w:snapToGrid w:val="0"/>
              <w:spacing w:line="520" w:lineRule="exact"/>
              <w:ind w:firstLine="480" w:firstLineChars="200"/>
              <w:jc w:val="both"/>
              <w:rPr>
                <w:rFonts w:ascii="Times New Roman" w:hAnsi="Times New Roman" w:cs="Times New Roman"/>
                <w:bCs/>
                <w:sz w:val="24"/>
                <w:szCs w:val="24"/>
                <w:lang w:val="en-US"/>
              </w:rPr>
            </w:pPr>
            <w:r>
              <w:rPr>
                <w:rFonts w:ascii="Times New Roman" w:hAnsi="Times New Roman" w:cs="Times New Roman"/>
                <w:sz w:val="24"/>
                <w:szCs w:val="24"/>
              </w:rPr>
              <w:t>经预测，项目厂界噪声的预测值可满足《工业企业厂界环境噪声排放标准》（GB12348-2008）</w:t>
            </w:r>
            <w:r>
              <w:rPr>
                <w:rFonts w:hint="eastAsia" w:ascii="Times New Roman" w:hAnsi="Times New Roman" w:cs="Times New Roman"/>
                <w:sz w:val="24"/>
                <w:szCs w:val="24"/>
                <w:lang w:val="en-US"/>
              </w:rPr>
              <w:t>3</w:t>
            </w:r>
            <w:r>
              <w:rPr>
                <w:rFonts w:ascii="Times New Roman" w:hAnsi="Times New Roman" w:cs="Times New Roman"/>
                <w:sz w:val="24"/>
                <w:szCs w:val="24"/>
              </w:rPr>
              <w:t>类标准要求。</w:t>
            </w:r>
          </w:p>
          <w:p w14:paraId="306BE657">
            <w:pPr>
              <w:autoSpaceDE/>
              <w:autoSpaceDN/>
              <w:spacing w:line="520" w:lineRule="exact"/>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本项目具体通过以下措施对噪声进行防治：</w:t>
            </w:r>
          </w:p>
          <w:p w14:paraId="0078AF58">
            <w:pPr>
              <w:autoSpaceDE/>
              <w:autoSpaceDN/>
              <w:spacing w:line="520" w:lineRule="exact"/>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①主要产噪设备均合理布置于厂房内，通过厂房隔音和距离衰减降低噪声；</w:t>
            </w:r>
          </w:p>
          <w:p w14:paraId="01C12A39">
            <w:pPr>
              <w:autoSpaceDE/>
              <w:autoSpaceDN/>
              <w:spacing w:line="520" w:lineRule="exact"/>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②使用减振垫对部分设备进行基础减振，风机安装消音器；</w:t>
            </w:r>
          </w:p>
          <w:p w14:paraId="5ED2E802">
            <w:pPr>
              <w:autoSpaceDE/>
              <w:autoSpaceDN/>
              <w:spacing w:line="520" w:lineRule="exact"/>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③定期维护生产设备、使设备运行良好；</w:t>
            </w:r>
          </w:p>
          <w:p w14:paraId="36A83226">
            <w:pPr>
              <w:autoSpaceDE/>
              <w:autoSpaceDN/>
              <w:spacing w:line="520" w:lineRule="exact"/>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④选用低噪声型号设备；</w:t>
            </w:r>
          </w:p>
          <w:p w14:paraId="7BEBE03C">
            <w:pPr>
              <w:autoSpaceDE/>
              <w:autoSpaceDN/>
              <w:spacing w:line="520" w:lineRule="exact"/>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⑤合理安排设备和厂区平面布局。</w:t>
            </w:r>
          </w:p>
          <w:p w14:paraId="2C9CAABA">
            <w:pPr>
              <w:autoSpaceDE/>
              <w:autoSpaceDN/>
              <w:spacing w:line="520" w:lineRule="exact"/>
              <w:ind w:firstLine="482"/>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（3）</w:t>
            </w:r>
            <w:r>
              <w:rPr>
                <w:rFonts w:ascii="Times New Roman" w:hAnsi="Times New Roman" w:cs="Times New Roman"/>
                <w:kern w:val="2"/>
                <w:sz w:val="24"/>
                <w:szCs w:val="24"/>
                <w:lang w:val="en-US" w:bidi="ar-SA"/>
              </w:rPr>
              <w:t>监测计划</w:t>
            </w:r>
          </w:p>
          <w:p w14:paraId="06719C36">
            <w:pPr>
              <w:autoSpaceDE/>
              <w:autoSpaceDN/>
              <w:spacing w:line="520" w:lineRule="exact"/>
              <w:ind w:firstLine="482"/>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根据《排污单位自行监测技术指南 总则》（HJ819-2017）要求，本项目噪声监测因子、监测点位和监测频率详见表4-</w:t>
            </w:r>
            <w:r>
              <w:rPr>
                <w:rFonts w:hint="eastAsia" w:ascii="Times New Roman" w:hAnsi="Times New Roman" w:cs="Times New Roman"/>
                <w:kern w:val="2"/>
                <w:sz w:val="24"/>
                <w:szCs w:val="24"/>
                <w:lang w:val="en-US" w:eastAsia="zh-CN" w:bidi="ar-SA"/>
              </w:rPr>
              <w:t>6</w:t>
            </w:r>
            <w:r>
              <w:rPr>
                <w:rFonts w:hint="eastAsia" w:ascii="Times New Roman" w:hAnsi="Times New Roman" w:cs="Times New Roman"/>
                <w:kern w:val="2"/>
                <w:sz w:val="24"/>
                <w:szCs w:val="24"/>
                <w:lang w:val="en-US" w:bidi="ar-SA"/>
              </w:rPr>
              <w:t>。</w:t>
            </w:r>
          </w:p>
          <w:p w14:paraId="181F2B7D">
            <w:pPr>
              <w:pStyle w:val="11"/>
              <w:spacing w:line="360" w:lineRule="auto"/>
              <w:jc w:val="center"/>
              <w:rPr>
                <w:rFonts w:ascii="Times New Roman" w:hAnsi="Times New Roman" w:cs="Times New Roman"/>
                <w:b/>
                <w:bCs/>
                <w:color w:val="000000"/>
              </w:rPr>
            </w:pPr>
            <w:r>
              <w:rPr>
                <w:rFonts w:ascii="Times New Roman" w:hAnsi="Times New Roman" w:cs="Times New Roman"/>
                <w:b/>
                <w:bCs/>
                <w:color w:val="000000"/>
              </w:rPr>
              <w:t>表4</w:t>
            </w:r>
            <w:r>
              <w:rPr>
                <w:rFonts w:ascii="Times New Roman" w:hAnsi="Times New Roman" w:cs="Times New Roman"/>
                <w:b/>
                <w:bCs/>
                <w:color w:val="000000"/>
                <w:lang w:val="en-US"/>
              </w:rPr>
              <w:t>-</w:t>
            </w:r>
            <w:r>
              <w:rPr>
                <w:rFonts w:hint="eastAsia" w:ascii="Times New Roman" w:hAnsi="Times New Roman" w:cs="Times New Roman"/>
                <w:b/>
                <w:bCs/>
                <w:color w:val="000000"/>
                <w:lang w:val="en-US" w:eastAsia="zh-CN"/>
              </w:rPr>
              <w:t>6</w:t>
            </w:r>
            <w:r>
              <w:rPr>
                <w:rFonts w:ascii="Times New Roman" w:hAnsi="Times New Roman" w:cs="Times New Roman"/>
                <w:b/>
                <w:bCs/>
                <w:color w:val="000000"/>
              </w:rPr>
              <w:t xml:space="preserve">    运营期环境监测计划表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1290"/>
              <w:gridCol w:w="1985"/>
              <w:gridCol w:w="1430"/>
              <w:gridCol w:w="3825"/>
            </w:tblGrid>
            <w:tr w14:paraId="0353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493" w:type="pct"/>
                  <w:tcMar>
                    <w:top w:w="0" w:type="dxa"/>
                    <w:left w:w="108" w:type="dxa"/>
                    <w:bottom w:w="0" w:type="dxa"/>
                    <w:right w:w="108" w:type="dxa"/>
                  </w:tcMar>
                  <w:vAlign w:val="center"/>
                </w:tcPr>
                <w:p w14:paraId="0F38EA6A">
                  <w:pPr>
                    <w:spacing w:line="260" w:lineRule="exact"/>
                    <w:jc w:val="center"/>
                    <w:rPr>
                      <w:rFonts w:ascii="Times New Roman" w:hAnsi="Times New Roman" w:cs="Times New Roman"/>
                      <w:color w:val="000000"/>
                      <w:spacing w:val="-10"/>
                      <w:szCs w:val="21"/>
                    </w:rPr>
                  </w:pPr>
                  <w:r>
                    <w:rPr>
                      <w:rFonts w:ascii="Times New Roman" w:hAnsi="Times New Roman" w:cs="Times New Roman"/>
                      <w:color w:val="000000"/>
                      <w:spacing w:val="-10"/>
                      <w:szCs w:val="21"/>
                    </w:rPr>
                    <w:t>污染源</w:t>
                  </w:r>
                </w:p>
              </w:tc>
              <w:tc>
                <w:tcPr>
                  <w:tcW w:w="681" w:type="pct"/>
                  <w:tcMar>
                    <w:top w:w="0" w:type="dxa"/>
                    <w:left w:w="108" w:type="dxa"/>
                    <w:bottom w:w="0" w:type="dxa"/>
                    <w:right w:w="108" w:type="dxa"/>
                  </w:tcMar>
                  <w:vAlign w:val="center"/>
                </w:tcPr>
                <w:p w14:paraId="39E03BE9">
                  <w:pPr>
                    <w:spacing w:line="260" w:lineRule="exact"/>
                    <w:jc w:val="center"/>
                    <w:rPr>
                      <w:rFonts w:ascii="Times New Roman" w:hAnsi="Times New Roman" w:cs="Times New Roman"/>
                      <w:color w:val="000000"/>
                      <w:spacing w:val="-10"/>
                      <w:szCs w:val="21"/>
                    </w:rPr>
                  </w:pPr>
                  <w:r>
                    <w:rPr>
                      <w:rFonts w:ascii="Times New Roman" w:hAnsi="Times New Roman" w:cs="Times New Roman"/>
                      <w:color w:val="000000"/>
                      <w:spacing w:val="-10"/>
                      <w:szCs w:val="21"/>
                    </w:rPr>
                    <w:t>监测项目</w:t>
                  </w:r>
                </w:p>
              </w:tc>
              <w:tc>
                <w:tcPr>
                  <w:tcW w:w="1048" w:type="pct"/>
                  <w:tcMar>
                    <w:top w:w="0" w:type="dxa"/>
                    <w:left w:w="108" w:type="dxa"/>
                    <w:bottom w:w="0" w:type="dxa"/>
                    <w:right w:w="108" w:type="dxa"/>
                  </w:tcMar>
                  <w:vAlign w:val="center"/>
                </w:tcPr>
                <w:p w14:paraId="638F4FED">
                  <w:pPr>
                    <w:spacing w:line="260" w:lineRule="exact"/>
                    <w:jc w:val="center"/>
                    <w:rPr>
                      <w:rFonts w:ascii="Times New Roman" w:hAnsi="Times New Roman" w:cs="Times New Roman"/>
                      <w:color w:val="000000"/>
                      <w:spacing w:val="-10"/>
                      <w:szCs w:val="21"/>
                    </w:rPr>
                  </w:pPr>
                  <w:r>
                    <w:rPr>
                      <w:rFonts w:ascii="Times New Roman" w:hAnsi="Times New Roman" w:cs="Times New Roman"/>
                      <w:color w:val="000000"/>
                      <w:spacing w:val="-10"/>
                      <w:szCs w:val="21"/>
                    </w:rPr>
                    <w:t>监测点位置</w:t>
                  </w:r>
                </w:p>
              </w:tc>
              <w:tc>
                <w:tcPr>
                  <w:tcW w:w="755" w:type="pct"/>
                  <w:tcMar>
                    <w:top w:w="0" w:type="dxa"/>
                    <w:left w:w="108" w:type="dxa"/>
                    <w:bottom w:w="0" w:type="dxa"/>
                    <w:right w:w="108" w:type="dxa"/>
                  </w:tcMar>
                  <w:vAlign w:val="center"/>
                </w:tcPr>
                <w:p w14:paraId="7EF911E4">
                  <w:pPr>
                    <w:spacing w:line="260" w:lineRule="exact"/>
                    <w:jc w:val="center"/>
                    <w:rPr>
                      <w:rFonts w:ascii="Times New Roman" w:hAnsi="Times New Roman" w:cs="Times New Roman"/>
                      <w:color w:val="000000"/>
                      <w:spacing w:val="-10"/>
                      <w:szCs w:val="21"/>
                    </w:rPr>
                  </w:pPr>
                  <w:r>
                    <w:rPr>
                      <w:rFonts w:ascii="Times New Roman" w:hAnsi="Times New Roman" w:cs="Times New Roman"/>
                      <w:color w:val="000000"/>
                      <w:spacing w:val="-10"/>
                      <w:szCs w:val="21"/>
                    </w:rPr>
                    <w:t>监测频率</w:t>
                  </w:r>
                </w:p>
              </w:tc>
              <w:tc>
                <w:tcPr>
                  <w:tcW w:w="2020" w:type="pct"/>
                  <w:tcMar>
                    <w:top w:w="0" w:type="dxa"/>
                    <w:left w:w="108" w:type="dxa"/>
                    <w:bottom w:w="0" w:type="dxa"/>
                    <w:right w:w="108" w:type="dxa"/>
                  </w:tcMar>
                  <w:vAlign w:val="center"/>
                </w:tcPr>
                <w:p w14:paraId="3E5594D0">
                  <w:pPr>
                    <w:spacing w:line="260" w:lineRule="exact"/>
                    <w:jc w:val="center"/>
                    <w:rPr>
                      <w:rFonts w:ascii="Times New Roman" w:hAnsi="Times New Roman" w:cs="Times New Roman"/>
                      <w:color w:val="000000"/>
                      <w:spacing w:val="-10"/>
                      <w:szCs w:val="21"/>
                    </w:rPr>
                  </w:pPr>
                  <w:r>
                    <w:rPr>
                      <w:rFonts w:ascii="Times New Roman" w:hAnsi="Times New Roman" w:cs="Times New Roman"/>
                      <w:color w:val="000000"/>
                      <w:spacing w:val="-10"/>
                      <w:szCs w:val="21"/>
                    </w:rPr>
                    <w:t>控制标准</w:t>
                  </w:r>
                </w:p>
              </w:tc>
            </w:tr>
            <w:tr w14:paraId="7415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93" w:type="pct"/>
                  <w:tcMar>
                    <w:top w:w="0" w:type="dxa"/>
                    <w:left w:w="108" w:type="dxa"/>
                    <w:bottom w:w="0" w:type="dxa"/>
                    <w:right w:w="108" w:type="dxa"/>
                  </w:tcMar>
                  <w:vAlign w:val="center"/>
                </w:tcPr>
                <w:p w14:paraId="336C6014">
                  <w:pPr>
                    <w:spacing w:line="260" w:lineRule="exact"/>
                    <w:jc w:val="center"/>
                    <w:rPr>
                      <w:rFonts w:ascii="Times New Roman" w:hAnsi="Times New Roman" w:cs="Times New Roman"/>
                      <w:color w:val="000000"/>
                      <w:szCs w:val="21"/>
                    </w:rPr>
                  </w:pPr>
                  <w:r>
                    <w:rPr>
                      <w:rFonts w:ascii="Times New Roman" w:hAnsi="Times New Roman" w:cs="Times New Roman"/>
                      <w:color w:val="000000"/>
                      <w:szCs w:val="21"/>
                    </w:rPr>
                    <w:t>噪声</w:t>
                  </w:r>
                </w:p>
              </w:tc>
              <w:tc>
                <w:tcPr>
                  <w:tcW w:w="681" w:type="pct"/>
                  <w:tcMar>
                    <w:top w:w="0" w:type="dxa"/>
                    <w:left w:w="108" w:type="dxa"/>
                    <w:bottom w:w="0" w:type="dxa"/>
                    <w:right w:w="108" w:type="dxa"/>
                  </w:tcMar>
                  <w:vAlign w:val="center"/>
                </w:tcPr>
                <w:p w14:paraId="5823D26D">
                  <w:pPr>
                    <w:spacing w:line="260" w:lineRule="exact"/>
                    <w:jc w:val="center"/>
                    <w:rPr>
                      <w:rFonts w:ascii="Times New Roman" w:hAnsi="Times New Roman" w:cs="Times New Roman"/>
                      <w:color w:val="000000"/>
                      <w:szCs w:val="21"/>
                    </w:rPr>
                  </w:pPr>
                  <w:r>
                    <w:rPr>
                      <w:rFonts w:ascii="Times New Roman" w:hAnsi="Times New Roman" w:cs="Times New Roman"/>
                      <w:color w:val="000000"/>
                      <w:szCs w:val="21"/>
                    </w:rPr>
                    <w:t>Leq（A）</w:t>
                  </w:r>
                </w:p>
              </w:tc>
              <w:tc>
                <w:tcPr>
                  <w:tcW w:w="1048" w:type="pct"/>
                  <w:tcMar>
                    <w:top w:w="0" w:type="dxa"/>
                    <w:left w:w="108" w:type="dxa"/>
                    <w:bottom w:w="0" w:type="dxa"/>
                    <w:right w:w="108" w:type="dxa"/>
                  </w:tcMar>
                  <w:vAlign w:val="center"/>
                </w:tcPr>
                <w:p w14:paraId="33010684">
                  <w:pPr>
                    <w:spacing w:line="260" w:lineRule="exact"/>
                    <w:jc w:val="center"/>
                    <w:rPr>
                      <w:rFonts w:ascii="Times New Roman" w:hAnsi="Times New Roman" w:cs="Times New Roman"/>
                      <w:color w:val="000000"/>
                      <w:szCs w:val="21"/>
                    </w:rPr>
                  </w:pPr>
                  <w:r>
                    <w:rPr>
                      <w:rFonts w:ascii="Times New Roman" w:hAnsi="Times New Roman" w:cs="Times New Roman"/>
                      <w:color w:val="000000"/>
                      <w:szCs w:val="21"/>
                    </w:rPr>
                    <w:t>在项目四周各设置1个监测点</w:t>
                  </w:r>
                </w:p>
              </w:tc>
              <w:tc>
                <w:tcPr>
                  <w:tcW w:w="755" w:type="pct"/>
                  <w:tcMar>
                    <w:top w:w="0" w:type="dxa"/>
                    <w:left w:w="108" w:type="dxa"/>
                    <w:bottom w:w="0" w:type="dxa"/>
                    <w:right w:w="108" w:type="dxa"/>
                  </w:tcMar>
                  <w:vAlign w:val="center"/>
                </w:tcPr>
                <w:p w14:paraId="7007D224">
                  <w:pPr>
                    <w:spacing w:line="260" w:lineRule="exact"/>
                    <w:jc w:val="center"/>
                    <w:rPr>
                      <w:rFonts w:ascii="Times New Roman" w:hAnsi="Times New Roman" w:cs="Times New Roman"/>
                      <w:color w:val="000000"/>
                      <w:szCs w:val="21"/>
                    </w:rPr>
                  </w:pPr>
                  <w:r>
                    <w:rPr>
                      <w:rFonts w:ascii="Times New Roman" w:hAnsi="Times New Roman" w:cs="Times New Roman"/>
                      <w:color w:val="000000"/>
                      <w:szCs w:val="21"/>
                    </w:rPr>
                    <w:t>1次/季度，必要时增加频次</w:t>
                  </w:r>
                </w:p>
              </w:tc>
              <w:tc>
                <w:tcPr>
                  <w:tcW w:w="2020" w:type="pct"/>
                  <w:tcMar>
                    <w:top w:w="0" w:type="dxa"/>
                    <w:left w:w="108" w:type="dxa"/>
                    <w:bottom w:w="0" w:type="dxa"/>
                    <w:right w:w="108" w:type="dxa"/>
                  </w:tcMar>
                  <w:vAlign w:val="center"/>
                </w:tcPr>
                <w:p w14:paraId="3693DB55">
                  <w:pPr>
                    <w:spacing w:line="260" w:lineRule="exact"/>
                    <w:ind w:right="-77" w:rightChars="-35"/>
                    <w:jc w:val="center"/>
                    <w:rPr>
                      <w:rFonts w:ascii="Times New Roman" w:hAnsi="Times New Roman" w:cs="Times New Roman"/>
                      <w:color w:val="000000"/>
                      <w:szCs w:val="21"/>
                    </w:rPr>
                  </w:pPr>
                  <w:r>
                    <w:rPr>
                      <w:rFonts w:ascii="Times New Roman" w:hAnsi="Times New Roman" w:cs="Times New Roman"/>
                      <w:color w:val="000000"/>
                      <w:szCs w:val="21"/>
                    </w:rPr>
                    <w:t>《工业企业厂界环境噪声排放标准（GB12348-2008）</w:t>
                  </w:r>
                  <w:r>
                    <w:rPr>
                      <w:rFonts w:hint="eastAsia" w:ascii="Times New Roman" w:hAnsi="Times New Roman" w:cs="Times New Roman"/>
                      <w:color w:val="000000"/>
                      <w:szCs w:val="21"/>
                      <w:lang w:val="en-US"/>
                    </w:rPr>
                    <w:t>3</w:t>
                  </w:r>
                  <w:r>
                    <w:rPr>
                      <w:rFonts w:ascii="Times New Roman" w:hAnsi="Times New Roman" w:cs="Times New Roman"/>
                      <w:color w:val="000000"/>
                      <w:szCs w:val="21"/>
                    </w:rPr>
                    <w:t>类标准</w:t>
                  </w:r>
                </w:p>
              </w:tc>
            </w:tr>
          </w:tbl>
          <w:p w14:paraId="60E543E5">
            <w:pPr>
              <w:spacing w:line="520" w:lineRule="exact"/>
              <w:ind w:firstLine="482" w:firstLineChars="200"/>
              <w:jc w:val="both"/>
              <w:rPr>
                <w:rFonts w:ascii="Times New Roman" w:hAnsi="Times New Roman" w:cs="Times New Roman"/>
                <w:b/>
                <w:bCs/>
                <w:sz w:val="24"/>
                <w:szCs w:val="24"/>
                <w:lang w:val="en-US"/>
              </w:rPr>
            </w:pPr>
            <w:r>
              <w:rPr>
                <w:rFonts w:ascii="Times New Roman" w:hAnsi="Times New Roman" w:cs="Times New Roman"/>
                <w:b/>
                <w:bCs/>
                <w:sz w:val="24"/>
                <w:szCs w:val="24"/>
              </w:rPr>
              <w:t>4、运营期固体废物环境影响和保护措施</w:t>
            </w:r>
          </w:p>
          <w:p w14:paraId="50D84FBA">
            <w:pPr>
              <w:tabs>
                <w:tab w:val="left" w:pos="0"/>
              </w:tabs>
              <w:autoSpaceDE/>
              <w:autoSpaceDN/>
              <w:spacing w:line="540" w:lineRule="exact"/>
              <w:ind w:firstLine="480" w:firstLineChars="200"/>
              <w:jc w:val="both"/>
              <w:rPr>
                <w:rFonts w:hint="eastAsia" w:ascii="Times New Roman" w:hAnsi="Times New Roman" w:cs="Times New Roman"/>
                <w:bCs/>
                <w:color w:val="auto"/>
                <w:kern w:val="2"/>
                <w:sz w:val="24"/>
                <w:szCs w:val="20"/>
                <w:lang w:val="en-US" w:bidi="ar-SA"/>
              </w:rPr>
            </w:pPr>
            <w:r>
              <w:rPr>
                <w:rFonts w:hint="eastAsia" w:ascii="Times New Roman" w:hAnsi="Times New Roman" w:cs="Times New Roman"/>
                <w:bCs/>
                <w:color w:val="auto"/>
                <w:kern w:val="2"/>
                <w:sz w:val="24"/>
                <w:szCs w:val="20"/>
                <w:lang w:val="en-US" w:bidi="ar-SA"/>
              </w:rPr>
              <w:t>（1）固体废物</w:t>
            </w:r>
          </w:p>
          <w:p w14:paraId="2CA96587">
            <w:pPr>
              <w:tabs>
                <w:tab w:val="left" w:pos="0"/>
              </w:tabs>
              <w:autoSpaceDE/>
              <w:autoSpaceDN/>
              <w:spacing w:line="540" w:lineRule="exact"/>
              <w:ind w:firstLine="480" w:firstLineChars="200"/>
              <w:jc w:val="both"/>
              <w:rPr>
                <w:rFonts w:hint="eastAsia" w:ascii="Times New Roman" w:hAnsi="Times New Roman" w:cs="Times New Roman"/>
                <w:bCs/>
                <w:color w:val="auto"/>
                <w:kern w:val="2"/>
                <w:sz w:val="24"/>
                <w:szCs w:val="20"/>
                <w:lang w:val="en-US" w:bidi="ar-SA"/>
              </w:rPr>
            </w:pPr>
            <w:r>
              <w:rPr>
                <w:rFonts w:hint="eastAsia" w:ascii="Times New Roman" w:hAnsi="Times New Roman" w:cs="Times New Roman"/>
                <w:bCs/>
                <w:color w:val="auto"/>
                <w:kern w:val="2"/>
                <w:sz w:val="24"/>
                <w:szCs w:val="20"/>
                <w:lang w:val="en-US" w:bidi="ar-SA"/>
              </w:rPr>
              <w:t>项目为煤棚扩建项目，不涉及生产设备，因此，运营期无危废及一般固废产生。</w:t>
            </w:r>
          </w:p>
          <w:p w14:paraId="1155B3B5">
            <w:pPr>
              <w:tabs>
                <w:tab w:val="left" w:pos="0"/>
              </w:tabs>
              <w:autoSpaceDE/>
              <w:autoSpaceDN/>
              <w:spacing w:line="540" w:lineRule="exact"/>
              <w:ind w:firstLine="480" w:firstLineChars="200"/>
              <w:jc w:val="both"/>
              <w:rPr>
                <w:rFonts w:hint="eastAsia" w:ascii="Times New Roman" w:hAnsi="Times New Roman" w:cs="Times New Roman"/>
                <w:bCs/>
                <w:color w:val="auto"/>
                <w:kern w:val="2"/>
                <w:sz w:val="24"/>
                <w:szCs w:val="20"/>
                <w:lang w:val="en-US" w:bidi="ar-SA"/>
              </w:rPr>
            </w:pPr>
            <w:r>
              <w:rPr>
                <w:rFonts w:hint="eastAsia" w:ascii="Times New Roman" w:hAnsi="Times New Roman" w:cs="Times New Roman"/>
                <w:bCs/>
                <w:color w:val="auto"/>
                <w:kern w:val="2"/>
                <w:sz w:val="24"/>
                <w:szCs w:val="20"/>
                <w:lang w:val="en-US" w:bidi="ar-SA"/>
              </w:rPr>
              <w:t>（2）生活垃圾</w:t>
            </w:r>
          </w:p>
          <w:p w14:paraId="450E6F1E">
            <w:pPr>
              <w:tabs>
                <w:tab w:val="left" w:pos="0"/>
              </w:tabs>
              <w:autoSpaceDE/>
              <w:autoSpaceDN/>
              <w:spacing w:line="540" w:lineRule="exact"/>
              <w:ind w:firstLine="480" w:firstLineChars="200"/>
              <w:jc w:val="both"/>
              <w:rPr>
                <w:rFonts w:ascii="Times New Roman" w:hAnsi="Times New Roman" w:cs="Times New Roman"/>
                <w:bCs/>
                <w:color w:val="auto"/>
                <w:kern w:val="2"/>
                <w:sz w:val="24"/>
                <w:szCs w:val="20"/>
                <w:lang w:val="en-US" w:bidi="ar-SA"/>
              </w:rPr>
            </w:pPr>
            <w:r>
              <w:rPr>
                <w:rFonts w:hint="eastAsia" w:ascii="Times New Roman" w:hAnsi="Times New Roman" w:cs="Times New Roman"/>
                <w:bCs/>
                <w:color w:val="auto"/>
                <w:kern w:val="2"/>
                <w:sz w:val="24"/>
                <w:szCs w:val="20"/>
                <w:lang w:val="en-US" w:bidi="ar-SA"/>
              </w:rPr>
              <w:t>项目不新增劳动定员，无生活垃圾产生。</w:t>
            </w:r>
          </w:p>
          <w:p w14:paraId="0668D45A">
            <w:pPr>
              <w:pStyle w:val="43"/>
              <w:rPr>
                <w:rFonts w:ascii="Times New Roman" w:hAnsi="Times New Roman" w:cs="Times New Roman"/>
                <w:b/>
                <w:bCs/>
                <w:color w:val="auto"/>
                <w:lang w:val="en-US"/>
              </w:rPr>
            </w:pPr>
            <w:r>
              <w:rPr>
                <w:rFonts w:hint="eastAsia" w:ascii="Times New Roman" w:hAnsi="Times New Roman" w:cs="Times New Roman"/>
                <w:b/>
                <w:bCs/>
                <w:color w:val="auto"/>
                <w:lang w:val="en-US"/>
              </w:rPr>
              <w:t>5</w:t>
            </w:r>
            <w:r>
              <w:rPr>
                <w:rFonts w:ascii="Times New Roman" w:hAnsi="Times New Roman" w:cs="Times New Roman"/>
                <w:b/>
                <w:bCs/>
                <w:color w:val="auto"/>
                <w:lang w:val="en-US"/>
              </w:rPr>
              <w:t xml:space="preserve">、地下水、土壤环境影响和保护措施 </w:t>
            </w:r>
          </w:p>
          <w:p w14:paraId="27FC2092">
            <w:pPr>
              <w:pStyle w:val="43"/>
              <w:spacing w:line="360" w:lineRule="auto"/>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5.1源头控制措施</w:t>
            </w:r>
          </w:p>
          <w:p w14:paraId="60A5E212">
            <w:pPr>
              <w:tabs>
                <w:tab w:val="left" w:pos="0"/>
              </w:tabs>
              <w:autoSpaceDE/>
              <w:autoSpaceDN/>
              <w:spacing w:line="360" w:lineRule="auto"/>
              <w:ind w:firstLine="480" w:firstLineChars="200"/>
              <w:jc w:val="both"/>
              <w:rPr>
                <w:rFonts w:hint="eastAsia" w:ascii="Times New Roman" w:hAnsi="Times New Roman" w:cs="Times New Roman"/>
                <w:bCs/>
                <w:color w:val="auto"/>
                <w:kern w:val="2"/>
                <w:sz w:val="24"/>
                <w:szCs w:val="20"/>
                <w:lang w:val="en-US" w:eastAsia="zh-CN" w:bidi="ar-SA"/>
              </w:rPr>
            </w:pPr>
            <w:r>
              <w:rPr>
                <w:rFonts w:hint="eastAsia" w:ascii="Times New Roman" w:hAnsi="Times New Roman" w:cs="Times New Roman"/>
                <w:bCs/>
                <w:color w:val="auto"/>
                <w:kern w:val="2"/>
                <w:sz w:val="24"/>
                <w:szCs w:val="20"/>
                <w:lang w:val="en-US" w:eastAsia="zh-CN" w:bidi="ar-SA"/>
              </w:rPr>
              <w:t>主要包括在管道、设备及构筑物采取相应措施，防止和降低污染物跑、冒、滴、漏，将污染物泄漏的环境风险事故降低到最低程度；管线敷设尽量采用“可视化”原则，即管道尽可能地上或架空敷设，以利于污染物泄漏“早发现、早处理”，减少管道泄漏未及时处理造成的地下水污染。</w:t>
            </w:r>
          </w:p>
          <w:p w14:paraId="6132CB9B">
            <w:pPr>
              <w:pStyle w:val="43"/>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5.2防渗区划及防渗要求</w:t>
            </w:r>
          </w:p>
          <w:p w14:paraId="649B5BD1">
            <w:pPr>
              <w:topLinePunct/>
              <w:autoSpaceDE/>
              <w:autoSpaceDN/>
              <w:spacing w:line="520" w:lineRule="exact"/>
              <w:ind w:firstLine="480" w:firstLineChars="200"/>
              <w:jc w:val="both"/>
              <w:rPr>
                <w:rFonts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①生产设备做好质量检查、验收工作，有质量问题的及时更换，阀门采用优质产品，防止设备破损导致机油“跑、冒、滴、漏”现象发生。</w:t>
            </w:r>
          </w:p>
          <w:p w14:paraId="74AC91F9">
            <w:pPr>
              <w:topLinePunct/>
              <w:autoSpaceDE/>
              <w:autoSpaceDN/>
              <w:spacing w:line="520" w:lineRule="exact"/>
              <w:ind w:firstLine="480" w:firstLineChars="200"/>
              <w:jc w:val="both"/>
              <w:rPr>
                <w:rFonts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②定期对危废贮存间等设施的渗漏性进行检查，即注满水后观察是否有渗水、漏水现象，发现问题及时解决。</w:t>
            </w:r>
          </w:p>
          <w:p w14:paraId="775EC534">
            <w:pPr>
              <w:topLinePunct/>
              <w:autoSpaceDE/>
              <w:autoSpaceDN/>
              <w:spacing w:line="360" w:lineRule="auto"/>
              <w:ind w:firstLine="480" w:firstLineChars="200"/>
              <w:jc w:val="both"/>
              <w:rPr>
                <w:rFonts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③厂区分区防渗：根据《地下水污染源防渗技术指南(试行)》和《危险废物贮存污染控制标准》(GB18597-2023)要求，厂区分区防渗。主要场地分区防渗情况见表4-</w:t>
            </w:r>
            <w:r>
              <w:rPr>
                <w:rFonts w:hint="eastAsia" w:ascii="Times New Roman" w:hAnsi="Times New Roman" w:cs="Times New Roman"/>
                <w:color w:val="auto"/>
                <w:sz w:val="24"/>
                <w:szCs w:val="24"/>
                <w:lang w:val="en-US" w:eastAsia="zh-CN"/>
              </w:rPr>
              <w:t>7</w:t>
            </w:r>
            <w:r>
              <w:rPr>
                <w:rFonts w:ascii="Times New Roman" w:hAnsi="Times New Roman" w:cs="Times New Roman"/>
                <w:color w:val="auto"/>
                <w:sz w:val="24"/>
                <w:szCs w:val="24"/>
                <w:lang w:val="en-US"/>
              </w:rPr>
              <w:t>。</w:t>
            </w:r>
          </w:p>
          <w:p w14:paraId="0EE35C05">
            <w:pPr>
              <w:pStyle w:val="11"/>
              <w:spacing w:line="360" w:lineRule="auto"/>
              <w:jc w:val="center"/>
              <w:rPr>
                <w:rFonts w:hint="eastAsia"/>
                <w:color w:val="auto"/>
                <w:lang w:val="en-US"/>
              </w:rPr>
            </w:pPr>
            <w:r>
              <w:rPr>
                <w:rFonts w:hint="eastAsia" w:ascii="Times New Roman" w:hAnsi="Times New Roman" w:cs="Times New Roman"/>
                <w:b/>
                <w:bCs/>
                <w:color w:val="auto"/>
                <w:lang w:val="en-US"/>
              </w:rPr>
              <w:t>表4-</w:t>
            </w:r>
            <w:r>
              <w:rPr>
                <w:rFonts w:hint="eastAsia" w:ascii="Times New Roman" w:hAnsi="Times New Roman" w:cs="Times New Roman"/>
                <w:b/>
                <w:bCs/>
                <w:color w:val="auto"/>
                <w:lang w:val="en-US" w:eastAsia="zh-CN"/>
              </w:rPr>
              <w:t>7</w:t>
            </w:r>
            <w:r>
              <w:rPr>
                <w:rFonts w:hint="eastAsia" w:ascii="Times New Roman" w:hAnsi="Times New Roman" w:cs="Times New Roman"/>
                <w:b/>
                <w:bCs/>
                <w:color w:val="auto"/>
                <w:lang w:val="en-US"/>
              </w:rPr>
              <w:t xml:space="preserve"> 厂区分区防渗一览表  </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
              <w:gridCol w:w="1754"/>
              <w:gridCol w:w="5912"/>
              <w:gridCol w:w="1316"/>
            </w:tblGrid>
            <w:tr w14:paraId="3451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256" w:type="pct"/>
                  <w:vAlign w:val="center"/>
                </w:tcPr>
                <w:p w14:paraId="0B10B2D9">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序号</w:t>
                  </w:r>
                </w:p>
              </w:tc>
              <w:tc>
                <w:tcPr>
                  <w:tcW w:w="926" w:type="pct"/>
                  <w:vAlign w:val="center"/>
                </w:tcPr>
                <w:p w14:paraId="4E666229">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场地</w:t>
                  </w:r>
                </w:p>
              </w:tc>
              <w:tc>
                <w:tcPr>
                  <w:tcW w:w="3121" w:type="pct"/>
                  <w:vAlign w:val="center"/>
                </w:tcPr>
                <w:p w14:paraId="046B9F2E">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防渗措施</w:t>
                  </w:r>
                </w:p>
              </w:tc>
              <w:tc>
                <w:tcPr>
                  <w:tcW w:w="695" w:type="pct"/>
                  <w:vAlign w:val="center"/>
                </w:tcPr>
                <w:p w14:paraId="3C1A9987">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防渗分区</w:t>
                  </w:r>
                </w:p>
              </w:tc>
            </w:tr>
            <w:tr w14:paraId="55C3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trPr>
              <w:tc>
                <w:tcPr>
                  <w:tcW w:w="256" w:type="pct"/>
                  <w:vAlign w:val="center"/>
                </w:tcPr>
                <w:p w14:paraId="535063CC">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1</w:t>
                  </w:r>
                </w:p>
              </w:tc>
              <w:tc>
                <w:tcPr>
                  <w:tcW w:w="926" w:type="pct"/>
                  <w:vAlign w:val="center"/>
                </w:tcPr>
                <w:p w14:paraId="44A8C6D9">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危废贮存间</w:t>
                  </w:r>
                </w:p>
              </w:tc>
              <w:tc>
                <w:tcPr>
                  <w:tcW w:w="3121" w:type="pct"/>
                  <w:vAlign w:val="center"/>
                </w:tcPr>
                <w:p w14:paraId="4E18EDDE">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按照《危险废物贮存污染控制标准》（GB18597-2023），</w:t>
                  </w:r>
                </w:p>
                <w:p w14:paraId="2CC0174F">
                  <w:pPr>
                    <w:spacing w:line="260" w:lineRule="exact"/>
                    <w:jc w:val="center"/>
                    <w:rPr>
                      <w:rFonts w:hint="eastAsia" w:ascii="Times New Roman" w:hAnsi="Times New Roman" w:cs="Times New Roman"/>
                      <w:color w:val="auto"/>
                      <w:spacing w:val="-10"/>
                      <w:szCs w:val="21"/>
                      <w:lang w:val="en-US" w:eastAsia="zh-CN"/>
                    </w:rPr>
                  </w:pPr>
                  <w:r>
                    <w:rPr>
                      <w:rFonts w:hint="eastAsia" w:ascii="Times New Roman" w:hAnsi="Times New Roman" w:cs="Times New Roman"/>
                      <w:color w:val="auto"/>
                      <w:spacing w:val="-10"/>
                      <w:szCs w:val="21"/>
                      <w:lang w:val="en-US"/>
                    </w:rPr>
                    <w:t>危废暂存库地面已进行基础防渗，防渗层为1.5mm厚的高密度聚乙烯膜，再在上层铺10-15cm的水泥进行硬化</w:t>
                  </w:r>
                  <w:r>
                    <w:rPr>
                      <w:rFonts w:hint="eastAsia" w:ascii="Times New Roman" w:hAnsi="Times New Roman" w:cs="Times New Roman"/>
                      <w:color w:val="auto"/>
                      <w:spacing w:val="-10"/>
                      <w:szCs w:val="21"/>
                      <w:lang w:val="en-US" w:eastAsia="zh-CN"/>
                    </w:rPr>
                    <w:t>；</w:t>
                  </w:r>
                </w:p>
                <w:p w14:paraId="6B0FA225">
                  <w:pPr>
                    <w:spacing w:line="260" w:lineRule="exact"/>
                    <w:jc w:val="center"/>
                    <w:rPr>
                      <w:rFonts w:hint="eastAsia" w:ascii="Times New Roman" w:hAnsi="Times New Roman" w:cs="Times New Roman"/>
                      <w:color w:val="auto"/>
                      <w:spacing w:val="-10"/>
                      <w:szCs w:val="21"/>
                      <w:lang w:val="en-US"/>
                    </w:rPr>
                  </w:pPr>
                  <w:r>
                    <w:rPr>
                      <w:rFonts w:hint="eastAsia" w:ascii="Times New Roman" w:hAnsi="Times New Roman" w:cs="Times New Roman"/>
                      <w:color w:val="auto"/>
                      <w:spacing w:val="-10"/>
                      <w:szCs w:val="21"/>
                      <w:lang w:val="en-US"/>
                    </w:rPr>
                    <w:t>导流渠：四周均设导流渠（宽20cm，高10cm），通往危废库集液池，用于将溢出废液导入集液池内；</w:t>
                  </w:r>
                </w:p>
                <w:p w14:paraId="6A92E05C">
                  <w:pPr>
                    <w:spacing w:line="260" w:lineRule="exact"/>
                    <w:jc w:val="center"/>
                    <w:rPr>
                      <w:rFonts w:hint="eastAsia" w:ascii="Times New Roman" w:hAnsi="Times New Roman" w:cs="Times New Roman"/>
                      <w:color w:val="auto"/>
                      <w:spacing w:val="-10"/>
                      <w:szCs w:val="21"/>
                      <w:lang w:val="en-US"/>
                    </w:rPr>
                  </w:pPr>
                  <w:r>
                    <w:rPr>
                      <w:rFonts w:hint="eastAsia" w:ascii="Times New Roman" w:hAnsi="Times New Roman" w:cs="Times New Roman"/>
                      <w:color w:val="auto"/>
                      <w:spacing w:val="-10"/>
                      <w:szCs w:val="21"/>
                      <w:lang w:val="en-US"/>
                    </w:rPr>
                    <w:t>裙角：墙面四周设置300mm高的裙角；</w:t>
                  </w:r>
                </w:p>
                <w:p w14:paraId="11135CC0">
                  <w:pPr>
                    <w:spacing w:line="260" w:lineRule="exact"/>
                    <w:jc w:val="center"/>
                    <w:rPr>
                      <w:rFonts w:ascii="Times New Roman" w:hAnsi="Times New Roman" w:cs="Times New Roman"/>
                      <w:color w:val="auto"/>
                      <w:spacing w:val="-10"/>
                      <w:szCs w:val="21"/>
                      <w:lang w:val="en-US"/>
                    </w:rPr>
                  </w:pPr>
                  <w:r>
                    <w:rPr>
                      <w:rFonts w:hint="eastAsia" w:ascii="Times New Roman" w:hAnsi="Times New Roman" w:cs="Times New Roman"/>
                      <w:color w:val="auto"/>
                      <w:spacing w:val="-10"/>
                      <w:szCs w:val="21"/>
                      <w:lang w:val="en-US"/>
                    </w:rPr>
                    <w:t>集液池：角落设1座集液池（容积1m3），用于收集暂存一旦发生损坏时渗漏的危险废物。渗透系数小于1×10</w:t>
                  </w:r>
                  <w:r>
                    <w:rPr>
                      <w:rFonts w:hint="eastAsia" w:ascii="Times New Roman" w:hAnsi="Times New Roman" w:cs="Times New Roman"/>
                      <w:color w:val="auto"/>
                      <w:spacing w:val="-10"/>
                      <w:szCs w:val="21"/>
                      <w:vertAlign w:val="superscript"/>
                      <w:lang w:val="en-US"/>
                    </w:rPr>
                    <w:t>-10</w:t>
                  </w:r>
                  <w:r>
                    <w:rPr>
                      <w:rFonts w:hint="eastAsia" w:ascii="Times New Roman" w:hAnsi="Times New Roman" w:cs="Times New Roman"/>
                      <w:color w:val="auto"/>
                      <w:spacing w:val="-10"/>
                      <w:szCs w:val="21"/>
                      <w:lang w:val="en-US"/>
                    </w:rPr>
                    <w:t>cm/s。</w:t>
                  </w:r>
                </w:p>
              </w:tc>
              <w:tc>
                <w:tcPr>
                  <w:tcW w:w="695" w:type="pct"/>
                  <w:vAlign w:val="center"/>
                </w:tcPr>
                <w:p w14:paraId="129046A2">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重点防渗区</w:t>
                  </w:r>
                </w:p>
              </w:tc>
            </w:tr>
            <w:tr w14:paraId="7D90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256" w:type="pct"/>
                  <w:vAlign w:val="center"/>
                </w:tcPr>
                <w:p w14:paraId="2CB0A196">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2</w:t>
                  </w:r>
                </w:p>
              </w:tc>
              <w:tc>
                <w:tcPr>
                  <w:tcW w:w="926" w:type="pct"/>
                  <w:vAlign w:val="center"/>
                </w:tcPr>
                <w:p w14:paraId="5CAA1435">
                  <w:pPr>
                    <w:spacing w:line="260" w:lineRule="exact"/>
                    <w:jc w:val="center"/>
                    <w:rPr>
                      <w:rFonts w:hint="default" w:ascii="Times New Roman" w:hAnsi="Times New Roman" w:cs="Times New Roman"/>
                      <w:color w:val="auto"/>
                      <w:spacing w:val="-10"/>
                      <w:szCs w:val="21"/>
                      <w:lang w:val="en-US" w:eastAsia="zh-CN"/>
                    </w:rPr>
                  </w:pPr>
                  <w:r>
                    <w:rPr>
                      <w:rFonts w:hint="eastAsia" w:ascii="Times New Roman" w:hAnsi="Times New Roman" w:cs="Times New Roman"/>
                      <w:color w:val="auto"/>
                      <w:spacing w:val="-10"/>
                      <w:szCs w:val="21"/>
                      <w:lang w:val="en-US" w:eastAsia="zh-CN"/>
                    </w:rPr>
                    <w:t>储煤棚</w:t>
                  </w:r>
                </w:p>
              </w:tc>
              <w:tc>
                <w:tcPr>
                  <w:tcW w:w="3121" w:type="pct"/>
                  <w:vAlign w:val="center"/>
                </w:tcPr>
                <w:p w14:paraId="16DF6E0A">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要求等效黏土防渗层满足Mb≥1.5m，渗透系数满足K≤10×10-7cm/s</w:t>
                  </w:r>
                </w:p>
              </w:tc>
              <w:tc>
                <w:tcPr>
                  <w:tcW w:w="695" w:type="pct"/>
                  <w:vAlign w:val="center"/>
                </w:tcPr>
                <w:p w14:paraId="268EA94F">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一般防渗区</w:t>
                  </w:r>
                </w:p>
              </w:tc>
            </w:tr>
            <w:tr w14:paraId="5F0A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56" w:type="pct"/>
                  <w:vAlign w:val="center"/>
                </w:tcPr>
                <w:p w14:paraId="1F1750B9">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3</w:t>
                  </w:r>
                </w:p>
              </w:tc>
              <w:tc>
                <w:tcPr>
                  <w:tcW w:w="926" w:type="pct"/>
                  <w:vAlign w:val="center"/>
                </w:tcPr>
                <w:p w14:paraId="31A53F5B">
                  <w:pPr>
                    <w:spacing w:line="260" w:lineRule="exact"/>
                    <w:jc w:val="center"/>
                    <w:rPr>
                      <w:rFonts w:ascii="Times New Roman" w:hAnsi="Times New Roman" w:cs="Times New Roman"/>
                      <w:color w:val="auto"/>
                      <w:spacing w:val="-10"/>
                      <w:szCs w:val="21"/>
                      <w:lang w:val="en-US"/>
                    </w:rPr>
                  </w:pPr>
                  <w:r>
                    <w:rPr>
                      <w:rFonts w:hint="eastAsia" w:ascii="Times New Roman" w:hAnsi="Times New Roman" w:cs="Times New Roman"/>
                      <w:color w:val="auto"/>
                      <w:spacing w:val="-10"/>
                      <w:szCs w:val="21"/>
                      <w:lang w:val="en-US"/>
                    </w:rPr>
                    <w:t>办</w:t>
                  </w:r>
                  <w:r>
                    <w:rPr>
                      <w:rFonts w:ascii="Times New Roman" w:hAnsi="Times New Roman" w:cs="Times New Roman"/>
                      <w:color w:val="auto"/>
                      <w:spacing w:val="-10"/>
                      <w:szCs w:val="21"/>
                      <w:lang w:val="en-US"/>
                    </w:rPr>
                    <w:t>公生活区</w:t>
                  </w:r>
                </w:p>
              </w:tc>
              <w:tc>
                <w:tcPr>
                  <w:tcW w:w="3121" w:type="pct"/>
                  <w:vAlign w:val="center"/>
                </w:tcPr>
                <w:p w14:paraId="245F6FC8">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一般水泥硬化</w:t>
                  </w:r>
                </w:p>
              </w:tc>
              <w:tc>
                <w:tcPr>
                  <w:tcW w:w="695" w:type="pct"/>
                  <w:vAlign w:val="center"/>
                </w:tcPr>
                <w:p w14:paraId="6C45B9BD">
                  <w:pPr>
                    <w:spacing w:line="260" w:lineRule="exact"/>
                    <w:jc w:val="center"/>
                    <w:rPr>
                      <w:rFonts w:ascii="Times New Roman" w:hAnsi="Times New Roman" w:cs="Times New Roman"/>
                      <w:color w:val="auto"/>
                      <w:spacing w:val="-10"/>
                      <w:szCs w:val="21"/>
                      <w:lang w:val="en-US"/>
                    </w:rPr>
                  </w:pPr>
                  <w:r>
                    <w:rPr>
                      <w:rFonts w:ascii="Times New Roman" w:hAnsi="Times New Roman" w:cs="Times New Roman"/>
                      <w:color w:val="auto"/>
                      <w:spacing w:val="-10"/>
                      <w:szCs w:val="21"/>
                      <w:lang w:val="en-US"/>
                    </w:rPr>
                    <w:t>简单防渗区</w:t>
                  </w:r>
                </w:p>
              </w:tc>
            </w:tr>
          </w:tbl>
          <w:p w14:paraId="10E00B1A">
            <w:pPr>
              <w:tabs>
                <w:tab w:val="left" w:pos="0"/>
              </w:tabs>
              <w:autoSpaceDE/>
              <w:autoSpaceDN/>
              <w:spacing w:line="540" w:lineRule="exact"/>
              <w:ind w:firstLine="480" w:firstLineChars="200"/>
              <w:jc w:val="both"/>
              <w:rPr>
                <w:rFonts w:hint="eastAsia" w:ascii="Times New Roman" w:hAnsi="Times New Roman" w:eastAsia="宋体" w:cs="Times New Roman"/>
                <w:bCs/>
                <w:color w:val="auto"/>
                <w:kern w:val="2"/>
                <w:sz w:val="24"/>
                <w:szCs w:val="20"/>
                <w:lang w:val="en-US" w:bidi="ar-SA"/>
              </w:rPr>
            </w:pPr>
            <w:r>
              <w:rPr>
                <w:rFonts w:hint="eastAsia" w:ascii="Times New Roman" w:hAnsi="Times New Roman" w:eastAsia="宋体" w:cs="Times New Roman"/>
                <w:bCs/>
                <w:color w:val="auto"/>
                <w:kern w:val="2"/>
                <w:sz w:val="24"/>
                <w:szCs w:val="20"/>
                <w:lang w:val="en-US" w:bidi="ar-SA"/>
              </w:rPr>
              <w:t>项目建成后，正常情况下，生活污水排入厂区内化粪池进行处理，经沉淀后进入工业场地内生活污水处理站处理后全部用于绿化、道路洒水抑尘，不外排</w:t>
            </w:r>
            <w:r>
              <w:rPr>
                <w:rFonts w:hint="eastAsia" w:ascii="Times New Roman" w:hAnsi="Times New Roman" w:eastAsia="宋体" w:cs="Times New Roman"/>
                <w:bCs/>
                <w:color w:val="auto"/>
                <w:kern w:val="2"/>
                <w:sz w:val="24"/>
                <w:szCs w:val="20"/>
                <w:lang w:val="en-US" w:eastAsia="zh-CN" w:bidi="ar-SA"/>
              </w:rPr>
              <w:t>，项目化粪池采取一般防渗措施后不会对地下水及土壤造成污染</w:t>
            </w:r>
            <w:r>
              <w:rPr>
                <w:rFonts w:hint="eastAsia" w:ascii="Times New Roman" w:hAnsi="Times New Roman" w:eastAsia="宋体" w:cs="Times New Roman"/>
                <w:bCs/>
                <w:color w:val="auto"/>
                <w:kern w:val="2"/>
                <w:sz w:val="24"/>
                <w:szCs w:val="20"/>
                <w:lang w:val="en-US" w:bidi="ar-SA"/>
              </w:rPr>
              <w:t>。</w:t>
            </w:r>
          </w:p>
          <w:p w14:paraId="28A3AC4B">
            <w:pPr>
              <w:tabs>
                <w:tab w:val="left" w:pos="0"/>
              </w:tabs>
              <w:autoSpaceDE/>
              <w:autoSpaceDN/>
              <w:spacing w:line="540" w:lineRule="exact"/>
              <w:ind w:firstLine="480" w:firstLineChars="200"/>
              <w:jc w:val="both"/>
              <w:rPr>
                <w:rFonts w:ascii="Times New Roman" w:hAnsi="Times New Roman" w:cs="Times New Roman"/>
                <w:color w:val="auto"/>
                <w:sz w:val="24"/>
                <w:szCs w:val="24"/>
                <w:lang w:val="en-US"/>
              </w:rPr>
            </w:pPr>
            <w:r>
              <w:rPr>
                <w:rFonts w:hint="eastAsia" w:ascii="Times New Roman" w:hAnsi="Times New Roman" w:eastAsia="宋体" w:cs="Times New Roman"/>
                <w:bCs/>
                <w:color w:val="auto"/>
                <w:kern w:val="2"/>
                <w:sz w:val="24"/>
                <w:szCs w:val="20"/>
                <w:lang w:val="en-US" w:bidi="ar-SA"/>
              </w:rPr>
              <w:t>初期雨水采用初期雨水收集进行收集暂存，回用于厂区道路洒水抑尘</w:t>
            </w:r>
            <w:r>
              <w:rPr>
                <w:rFonts w:hint="eastAsia" w:ascii="Times New Roman" w:hAnsi="Times New Roman" w:eastAsia="宋体" w:cs="Times New Roman"/>
                <w:bCs/>
                <w:color w:val="auto"/>
                <w:kern w:val="2"/>
                <w:sz w:val="24"/>
                <w:szCs w:val="20"/>
                <w:lang w:val="en-US" w:eastAsia="zh-CN" w:bidi="ar-SA"/>
              </w:rPr>
              <w:t>，不外排，初期雨水池采取一般防渗措施后不会对土壤及地下水造成污染</w:t>
            </w:r>
            <w:r>
              <w:rPr>
                <w:rFonts w:hint="eastAsia" w:ascii="Times New Roman" w:hAnsi="Times New Roman" w:eastAsia="宋体" w:cs="Times New Roman"/>
                <w:bCs/>
                <w:color w:val="auto"/>
                <w:kern w:val="2"/>
                <w:sz w:val="24"/>
                <w:szCs w:val="20"/>
                <w:lang w:val="en-US" w:bidi="ar-SA"/>
              </w:rPr>
              <w:t>；</w:t>
            </w:r>
          </w:p>
          <w:p w14:paraId="372165B7">
            <w:pPr>
              <w:topLinePunct/>
              <w:autoSpaceDE/>
              <w:autoSpaceDN/>
              <w:spacing w:line="520" w:lineRule="exact"/>
              <w:ind w:firstLine="480" w:firstLineChars="200"/>
              <w:jc w:val="both"/>
              <w:rPr>
                <w:rFonts w:ascii="Times New Roman" w:hAnsi="Times New Roman" w:cs="Times New Roman"/>
                <w:color w:val="auto"/>
                <w:sz w:val="24"/>
                <w:szCs w:val="24"/>
                <w:lang w:val="en-US"/>
              </w:rPr>
            </w:pPr>
            <w:r>
              <w:rPr>
                <w:rFonts w:hint="eastAsia" w:ascii="Times New Roman" w:hAnsi="Times New Roman" w:cs="Times New Roman"/>
                <w:color w:val="auto"/>
                <w:sz w:val="24"/>
                <w:szCs w:val="24"/>
                <w:lang w:val="en-US"/>
              </w:rPr>
              <w:t>危险废物贮存暂存于新建危险废物暂存库，渗结构</w:t>
            </w:r>
            <w:r>
              <w:rPr>
                <w:rFonts w:hint="eastAsia" w:ascii="Times New Roman" w:hAnsi="Times New Roman" w:cs="Times New Roman"/>
                <w:color w:val="auto"/>
                <w:sz w:val="24"/>
                <w:szCs w:val="24"/>
                <w:lang w:val="en-US" w:eastAsia="zh-CN"/>
              </w:rPr>
              <w:t>自下而上</w:t>
            </w:r>
            <w:r>
              <w:rPr>
                <w:rFonts w:hint="eastAsia" w:ascii="Times New Roman" w:hAnsi="Times New Roman" w:cs="Times New Roman"/>
                <w:color w:val="auto"/>
                <w:sz w:val="24"/>
                <w:szCs w:val="24"/>
                <w:lang w:val="en-US"/>
              </w:rPr>
              <w:t>为基础防渗+2mmHDPE膜＋15cm抗渗水泥+环氧树脂涂层防腐，防渗系数相当于2mm厚高密度聚乙烯膜（渗透系数不大于1×10</w:t>
            </w:r>
            <w:r>
              <w:rPr>
                <w:rFonts w:hint="eastAsia" w:ascii="Times New Roman" w:hAnsi="Times New Roman" w:cs="Times New Roman"/>
                <w:color w:val="auto"/>
                <w:sz w:val="24"/>
                <w:szCs w:val="24"/>
                <w:vertAlign w:val="superscript"/>
                <w:lang w:val="en-US"/>
              </w:rPr>
              <w:t>－10</w:t>
            </w:r>
            <w:r>
              <w:rPr>
                <w:rFonts w:hint="eastAsia" w:ascii="Times New Roman" w:hAnsi="Times New Roman" w:cs="Times New Roman"/>
                <w:color w:val="auto"/>
                <w:sz w:val="24"/>
                <w:szCs w:val="24"/>
                <w:lang w:val="en-US"/>
              </w:rPr>
              <w:t>cm/s）的性能。并按照《危险物贮存污染控制标准》(GB18597-2023)规范建设裙脚导流渠、集液池等配套措施。库房门口设有明显标识，库房内危险物分区存放，库房内配有相应的消防设备</w:t>
            </w:r>
            <w:r>
              <w:rPr>
                <w:rFonts w:hint="eastAsia" w:ascii="Times New Roman" w:hAnsi="Times New Roman" w:cs="Times New Roman"/>
                <w:color w:val="auto"/>
                <w:sz w:val="24"/>
                <w:szCs w:val="24"/>
                <w:lang w:val="en-US" w:eastAsia="zh-CN"/>
              </w:rPr>
              <w:t>，危废暂存库采取重点防渗措施后不会对土壤及地下水造成污染</w:t>
            </w:r>
            <w:r>
              <w:rPr>
                <w:rFonts w:hint="eastAsia" w:ascii="Times New Roman" w:hAnsi="Times New Roman" w:cs="Times New Roman"/>
                <w:color w:val="auto"/>
                <w:sz w:val="24"/>
                <w:szCs w:val="24"/>
                <w:lang w:val="en-US"/>
              </w:rPr>
              <w:t>。</w:t>
            </w:r>
          </w:p>
          <w:p w14:paraId="54E12B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lang w:val="en-US"/>
              </w:rPr>
            </w:pPr>
            <w:r>
              <w:rPr>
                <w:rFonts w:hint="eastAsia" w:ascii="Times New Roman" w:hAnsi="Times New Roman" w:cs="宋体"/>
                <w:b w:val="0"/>
                <w:bCs w:val="0"/>
                <w:color w:val="auto"/>
                <w:sz w:val="24"/>
                <w:szCs w:val="24"/>
                <w:highlight w:val="none"/>
                <w:lang w:val="en-US" w:eastAsia="zh-CN"/>
              </w:rPr>
              <w:t>经调查，</w:t>
            </w:r>
            <w:r>
              <w:rPr>
                <w:rFonts w:hint="eastAsia" w:ascii="Times New Roman" w:hAnsi="Times New Roman" w:eastAsia="宋体" w:cs="宋体"/>
                <w:color w:val="auto"/>
                <w:sz w:val="24"/>
                <w:szCs w:val="24"/>
                <w:highlight w:val="none"/>
                <w:lang w:val="en-US" w:eastAsia="zh-CN"/>
              </w:rPr>
              <w:t>本项目</w:t>
            </w:r>
            <w:r>
              <w:rPr>
                <w:rFonts w:hint="eastAsia" w:ascii="Times New Roman" w:hAnsi="Times New Roman" w:eastAsia="宋体" w:cs="宋体"/>
                <w:color w:val="auto"/>
                <w:sz w:val="24"/>
                <w:szCs w:val="24"/>
                <w:highlight w:val="none"/>
              </w:rPr>
              <w:t>厂界外500m范围内</w:t>
            </w:r>
            <w:r>
              <w:rPr>
                <w:rFonts w:hint="eastAsia" w:ascii="Times New Roman" w:hAnsi="Times New Roman" w:eastAsia="宋体" w:cs="宋体"/>
                <w:color w:val="auto"/>
                <w:sz w:val="24"/>
                <w:szCs w:val="24"/>
                <w:highlight w:val="none"/>
                <w:lang w:val="en-US" w:eastAsia="zh-CN"/>
              </w:rPr>
              <w:t>无</w:t>
            </w:r>
            <w:r>
              <w:rPr>
                <w:rFonts w:hint="eastAsia" w:ascii="Times New Roman" w:hAnsi="Times New Roman" w:eastAsia="宋体" w:cs="宋体"/>
                <w:color w:val="auto"/>
                <w:sz w:val="24"/>
                <w:szCs w:val="24"/>
                <w:highlight w:val="none"/>
              </w:rPr>
              <w:t>地下水集中式饮用水水源和热水、矿泉水、温泉等特殊地下水资源</w:t>
            </w:r>
            <w:r>
              <w:rPr>
                <w:rFonts w:hint="eastAsia" w:ascii="Times New Roman" w:hAnsi="Times New Roman" w:eastAsia="宋体" w:cs="宋体"/>
                <w:color w:val="auto"/>
                <w:sz w:val="24"/>
                <w:szCs w:val="24"/>
                <w:highlight w:val="none"/>
                <w:lang w:eastAsia="zh-CN"/>
              </w:rPr>
              <w:t>，</w:t>
            </w:r>
            <w:r>
              <w:rPr>
                <w:rFonts w:hint="eastAsia" w:ascii="Times New Roman" w:hAnsi="Times New Roman" w:eastAsia="宋体" w:cs="宋体"/>
                <w:color w:val="auto"/>
                <w:sz w:val="24"/>
                <w:szCs w:val="24"/>
                <w:highlight w:val="none"/>
                <w:lang w:val="en-US" w:eastAsia="zh-CN"/>
              </w:rPr>
              <w:t>厂界范围内无土壤环境保护目标，</w:t>
            </w:r>
            <w:r>
              <w:rPr>
                <w:rFonts w:hint="eastAsia" w:ascii="Times New Roman" w:hAnsi="Times New Roman" w:cs="宋体"/>
                <w:color w:val="auto"/>
                <w:sz w:val="24"/>
                <w:szCs w:val="24"/>
                <w:highlight w:val="none"/>
                <w:lang w:val="en-US" w:eastAsia="zh-CN"/>
              </w:rPr>
              <w:t>在采取源头防控措施及分区防渗措施后，</w:t>
            </w:r>
            <w:r>
              <w:rPr>
                <w:rFonts w:hint="eastAsia" w:ascii="Times New Roman" w:hAnsi="Times New Roman" w:cs="宋体"/>
                <w:b w:val="0"/>
                <w:bCs w:val="0"/>
                <w:color w:val="auto"/>
                <w:sz w:val="24"/>
                <w:szCs w:val="24"/>
                <w:highlight w:val="none"/>
                <w:lang w:val="en-US" w:eastAsia="zh-CN"/>
              </w:rPr>
              <w:t>本项目不会对土壤及地下水造成污染，污染防治措施可行，因此，本项目对地下水、土壤环境影响可接受。</w:t>
            </w:r>
          </w:p>
          <w:p w14:paraId="2087BFFA">
            <w:pPr>
              <w:numPr>
                <w:ilvl w:val="0"/>
                <w:numId w:val="9"/>
              </w:numPr>
              <w:spacing w:line="520" w:lineRule="exact"/>
              <w:ind w:firstLine="482" w:firstLineChars="200"/>
              <w:jc w:val="both"/>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环境风险分析</w:t>
            </w:r>
          </w:p>
          <w:p w14:paraId="6FC93ECB">
            <w:pPr>
              <w:topLinePunct/>
              <w:autoSpaceDE/>
              <w:autoSpaceDN/>
              <w:spacing w:line="520" w:lineRule="exact"/>
              <w:ind w:firstLine="480" w:firstLineChars="200"/>
              <w:jc w:val="both"/>
              <w:rPr>
                <w:rFonts w:ascii="Times New Roman" w:hAnsi="Times New Roman" w:cs="Times New Roman"/>
                <w:color w:val="auto"/>
                <w:kern w:val="2"/>
                <w:sz w:val="24"/>
                <w:szCs w:val="24"/>
                <w:lang w:val="en-GB" w:bidi="ar-SA"/>
              </w:rPr>
            </w:pPr>
            <w:r>
              <w:rPr>
                <w:rFonts w:hint="eastAsia" w:ascii="Times New Roman" w:hAnsi="Times New Roman" w:cs="Times New Roman"/>
                <w:color w:val="auto"/>
                <w:kern w:val="2"/>
                <w:sz w:val="24"/>
                <w:szCs w:val="24"/>
                <w:lang w:val="en-GB" w:bidi="ar-SA"/>
              </w:rPr>
              <w:t>本工程投入使用后，其本身不会对环境产生明显的风险影响，风</w:t>
            </w:r>
            <w:r>
              <w:rPr>
                <w:rFonts w:hint="eastAsia" w:ascii="Times New Roman" w:hAnsi="Times New Roman" w:eastAsia="宋体" w:cs="Times New Roman"/>
                <w:color w:val="auto"/>
                <w:kern w:val="2"/>
                <w:sz w:val="24"/>
                <w:szCs w:val="24"/>
                <w:lang w:val="en-GB" w:bidi="ar-SA"/>
              </w:rPr>
              <w:t>险源主要是</w:t>
            </w:r>
            <w:r>
              <w:rPr>
                <w:rFonts w:hint="eastAsia" w:ascii="Times New Roman" w:hAnsi="Times New Roman" w:eastAsia="宋体" w:cs="Times New Roman"/>
                <w:color w:val="auto"/>
                <w:kern w:val="2"/>
                <w:sz w:val="24"/>
                <w:szCs w:val="24"/>
                <w:lang w:val="en-US" w:eastAsia="zh-CN" w:bidi="ar-SA"/>
              </w:rPr>
              <w:t>原</w:t>
            </w:r>
            <w:r>
              <w:rPr>
                <w:rFonts w:hint="eastAsia" w:ascii="Times New Roman" w:hAnsi="Times New Roman" w:eastAsia="宋体" w:cs="Times New Roman"/>
                <w:color w:val="auto"/>
                <w:kern w:val="2"/>
                <w:sz w:val="24"/>
                <w:szCs w:val="24"/>
                <w:lang w:val="en-GB" w:bidi="ar-SA"/>
              </w:rPr>
              <w:t>危</w:t>
            </w:r>
            <w:r>
              <w:rPr>
                <w:rFonts w:hint="eastAsia" w:ascii="Times New Roman" w:hAnsi="Times New Roman" w:cs="Times New Roman"/>
                <w:color w:val="auto"/>
                <w:kern w:val="2"/>
                <w:sz w:val="24"/>
                <w:szCs w:val="24"/>
                <w:lang w:val="en-GB" w:bidi="ar-SA"/>
              </w:rPr>
              <w:t>废贮存库废矿物油泄漏</w:t>
            </w:r>
            <w:r>
              <w:rPr>
                <w:rFonts w:hint="eastAsia" w:ascii="Times New Roman" w:hAnsi="Times New Roman" w:cs="Times New Roman"/>
                <w:color w:val="auto"/>
                <w:kern w:val="2"/>
                <w:sz w:val="24"/>
                <w:szCs w:val="24"/>
                <w:lang w:val="en-US" w:eastAsia="zh-CN" w:bidi="ar-SA"/>
              </w:rPr>
              <w:t>，</w:t>
            </w:r>
            <w:r>
              <w:rPr>
                <w:rFonts w:hint="eastAsia" w:ascii="Times New Roman" w:hAnsi="Times New Roman" w:cs="Times New Roman"/>
                <w:color w:val="auto"/>
                <w:kern w:val="2"/>
                <w:sz w:val="24"/>
                <w:szCs w:val="24"/>
                <w:lang w:val="en-GB" w:bidi="ar-SA"/>
              </w:rPr>
              <w:t>以及生产过程中</w:t>
            </w:r>
            <w:r>
              <w:rPr>
                <w:rFonts w:hint="eastAsia" w:ascii="Times New Roman" w:hAnsi="Times New Roman" w:cs="Times New Roman"/>
                <w:color w:val="auto"/>
                <w:kern w:val="2"/>
                <w:sz w:val="24"/>
                <w:szCs w:val="24"/>
                <w:lang w:val="en-US" w:eastAsia="zh-CN" w:bidi="ar-SA"/>
              </w:rPr>
              <w:t>粉</w:t>
            </w:r>
            <w:r>
              <w:rPr>
                <w:rFonts w:hint="eastAsia" w:ascii="Times New Roman" w:hAnsi="Times New Roman" w:cs="Times New Roman"/>
                <w:color w:val="auto"/>
                <w:kern w:val="2"/>
                <w:sz w:val="24"/>
                <w:szCs w:val="24"/>
                <w:lang w:val="en-GB" w:bidi="ar-SA"/>
              </w:rPr>
              <w:t>尘爆炸引起的</w:t>
            </w:r>
            <w:r>
              <w:rPr>
                <w:rFonts w:hint="eastAsia" w:ascii="Times New Roman" w:hAnsi="Times New Roman" w:cs="Times New Roman"/>
                <w:color w:val="auto"/>
                <w:kern w:val="2"/>
                <w:sz w:val="24"/>
                <w:szCs w:val="24"/>
                <w:lang w:val="en-US" w:eastAsia="zh-CN" w:bidi="ar-SA"/>
              </w:rPr>
              <w:t>次生环境影响等</w:t>
            </w:r>
            <w:r>
              <w:rPr>
                <w:rFonts w:hint="eastAsia" w:ascii="Times New Roman" w:hAnsi="Times New Roman" w:cs="Times New Roman"/>
                <w:color w:val="auto"/>
                <w:kern w:val="2"/>
                <w:sz w:val="24"/>
                <w:szCs w:val="24"/>
                <w:lang w:val="en-GB" w:bidi="ar-SA"/>
              </w:rPr>
              <w:t>环境风险因素。</w:t>
            </w:r>
          </w:p>
          <w:p w14:paraId="54BE15F1">
            <w:pPr>
              <w:topLinePunct/>
              <w:autoSpaceDE/>
              <w:autoSpaceDN/>
              <w:spacing w:line="520" w:lineRule="exact"/>
              <w:ind w:firstLine="480" w:firstLineChars="200"/>
              <w:jc w:val="both"/>
              <w:rPr>
                <w:rFonts w:ascii="Times New Roman" w:hAnsi="Times New Roman" w:cs="Times New Roman"/>
                <w:color w:val="auto"/>
                <w:kern w:val="2"/>
                <w:sz w:val="24"/>
                <w:szCs w:val="24"/>
                <w:lang w:val="en-GB" w:bidi="ar-SA"/>
              </w:rPr>
            </w:pPr>
            <w:r>
              <w:rPr>
                <w:rFonts w:hint="eastAsia" w:ascii="Times New Roman" w:hAnsi="Times New Roman" w:cs="Times New Roman"/>
                <w:color w:val="auto"/>
                <w:kern w:val="2"/>
                <w:sz w:val="24"/>
                <w:szCs w:val="24"/>
                <w:lang w:val="en-GB" w:bidi="ar-SA"/>
              </w:rPr>
              <w:t>（1）风险物质识别</w:t>
            </w:r>
          </w:p>
          <w:p w14:paraId="2BDD0D61">
            <w:pPr>
              <w:topLinePunct/>
              <w:autoSpaceDE/>
              <w:autoSpaceDN/>
              <w:spacing w:line="520" w:lineRule="exact"/>
              <w:ind w:firstLine="480" w:firstLineChars="200"/>
              <w:jc w:val="both"/>
              <w:rPr>
                <w:rFonts w:ascii="Times New Roman" w:hAnsi="Times New Roman" w:cs="Times New Roman"/>
                <w:color w:val="auto"/>
                <w:kern w:val="2"/>
                <w:sz w:val="24"/>
                <w:szCs w:val="24"/>
                <w:lang w:val="en-GB" w:bidi="ar-SA"/>
              </w:rPr>
            </w:pPr>
            <w:r>
              <w:rPr>
                <w:rFonts w:hint="eastAsia" w:ascii="Times New Roman" w:hAnsi="Times New Roman" w:cs="Times New Roman"/>
                <w:color w:val="auto"/>
                <w:kern w:val="2"/>
                <w:sz w:val="24"/>
                <w:szCs w:val="24"/>
                <w:lang w:val="en-GB" w:bidi="ar-SA"/>
              </w:rPr>
              <w:t>本项目涉及的危险物质主要为废机油，最大储存量为0.</w:t>
            </w:r>
            <w:r>
              <w:rPr>
                <w:rFonts w:hint="eastAsia" w:ascii="Times New Roman" w:hAnsi="Times New Roman" w:cs="Times New Roman"/>
                <w:color w:val="auto"/>
                <w:kern w:val="2"/>
                <w:sz w:val="24"/>
                <w:szCs w:val="24"/>
                <w:lang w:val="en-US" w:bidi="ar-SA"/>
              </w:rPr>
              <w:t>5</w:t>
            </w:r>
            <w:r>
              <w:rPr>
                <w:rFonts w:hint="eastAsia" w:ascii="Times New Roman" w:hAnsi="Times New Roman" w:cs="Times New Roman"/>
                <w:color w:val="auto"/>
                <w:kern w:val="2"/>
                <w:sz w:val="24"/>
                <w:szCs w:val="24"/>
                <w:lang w:val="en-GB" w:bidi="ar-SA"/>
              </w:rPr>
              <w:t>t/a。根据《建设项目环境风险评价技术导则》（HJ169-2018）附录B突发环境事件风险物质及临界量表中油类物质临界量为2500t</w:t>
            </w:r>
            <w:r>
              <w:rPr>
                <w:rFonts w:ascii="Times New Roman" w:hAnsi="Times New Roman" w:cs="Times New Roman"/>
                <w:color w:val="auto"/>
                <w:kern w:val="2"/>
                <w:sz w:val="24"/>
                <w:szCs w:val="24"/>
                <w:lang w:val="en-GB" w:bidi="ar-SA"/>
              </w:rPr>
              <w:t>。</w:t>
            </w:r>
          </w:p>
          <w:p w14:paraId="291BBDCF">
            <w:pPr>
              <w:topLinePunct/>
              <w:autoSpaceDE/>
              <w:autoSpaceDN/>
              <w:spacing w:line="520" w:lineRule="exact"/>
              <w:ind w:firstLine="480" w:firstLineChars="200"/>
              <w:jc w:val="both"/>
              <w:rPr>
                <w:rFonts w:ascii="Times New Roman" w:hAnsi="Times New Roman" w:cs="Times New Roman"/>
                <w:color w:val="auto"/>
                <w:kern w:val="2"/>
                <w:sz w:val="24"/>
                <w:szCs w:val="24"/>
                <w:lang w:val="en-GB" w:bidi="ar-SA"/>
              </w:rPr>
            </w:pPr>
            <w:r>
              <w:rPr>
                <w:rFonts w:hint="eastAsia" w:ascii="Times New Roman" w:hAnsi="Times New Roman" w:cs="Times New Roman"/>
                <w:color w:val="auto"/>
                <w:kern w:val="2"/>
                <w:sz w:val="24"/>
                <w:szCs w:val="24"/>
                <w:lang w:val="en-GB" w:bidi="ar-SA"/>
              </w:rPr>
              <w:t>厂区危险物质储存量与其临界量比值（Q）按下式计算：Q=0.00</w:t>
            </w:r>
            <w:r>
              <w:rPr>
                <w:rFonts w:hint="eastAsia" w:ascii="Times New Roman" w:hAnsi="Times New Roman" w:cs="Times New Roman"/>
                <w:color w:val="auto"/>
                <w:kern w:val="2"/>
                <w:sz w:val="24"/>
                <w:szCs w:val="24"/>
                <w:lang w:val="en-US" w:eastAsia="zh-CN" w:bidi="ar-SA"/>
              </w:rPr>
              <w:t>02</w:t>
            </w:r>
            <w:r>
              <w:rPr>
                <w:rFonts w:hint="eastAsia" w:ascii="Times New Roman" w:hAnsi="Times New Roman" w:cs="Times New Roman"/>
                <w:color w:val="auto"/>
                <w:kern w:val="2"/>
                <w:sz w:val="24"/>
                <w:szCs w:val="24"/>
                <w:lang w:val="en-GB" w:bidi="ar-SA"/>
              </w:rPr>
              <w:t>＜1</w:t>
            </w:r>
            <w:r>
              <w:rPr>
                <w:rFonts w:hint="eastAsia" w:ascii="Times New Roman" w:hAnsi="Times New Roman" w:cs="Times New Roman"/>
                <w:color w:val="auto"/>
                <w:kern w:val="2"/>
                <w:sz w:val="24"/>
                <w:szCs w:val="24"/>
                <w:lang w:val="en-GB" w:eastAsia="zh-CN" w:bidi="ar-SA"/>
              </w:rPr>
              <w:t>，环</w:t>
            </w:r>
            <w:r>
              <w:rPr>
                <w:rFonts w:hint="eastAsia" w:ascii="Times New Roman" w:hAnsi="Times New Roman" w:cs="Times New Roman"/>
                <w:color w:val="auto"/>
                <w:kern w:val="2"/>
                <w:sz w:val="24"/>
                <w:szCs w:val="24"/>
                <w:lang w:val="en-GB" w:bidi="ar-SA"/>
              </w:rPr>
              <w:t>境风险潜势为I，仅进行简单分析。</w:t>
            </w:r>
          </w:p>
          <w:p w14:paraId="6F1BEC64">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drawing>
                <wp:anchor distT="0" distB="0" distL="114300" distR="114300" simplePos="0" relativeHeight="251666432" behindDoc="0" locked="0" layoutInCell="1" allowOverlap="1">
                  <wp:simplePos x="0" y="0"/>
                  <wp:positionH relativeFrom="column">
                    <wp:posOffset>384175</wp:posOffset>
                  </wp:positionH>
                  <wp:positionV relativeFrom="paragraph">
                    <wp:posOffset>153670</wp:posOffset>
                  </wp:positionV>
                  <wp:extent cx="2386965" cy="858520"/>
                  <wp:effectExtent l="0" t="0" r="635" b="5080"/>
                  <wp:wrapNone/>
                  <wp:docPr id="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
                          <pic:cNvPicPr>
                            <a:picLocks noChangeAspect="1"/>
                          </pic:cNvPicPr>
                        </pic:nvPicPr>
                        <pic:blipFill>
                          <a:blip r:embed="rId19" cstate="print"/>
                          <a:stretch>
                            <a:fillRect/>
                          </a:stretch>
                        </pic:blipFill>
                        <pic:spPr>
                          <a:xfrm>
                            <a:off x="0" y="0"/>
                            <a:ext cx="2386965" cy="858520"/>
                          </a:xfrm>
                          <a:prstGeom prst="rect">
                            <a:avLst/>
                          </a:prstGeom>
                          <a:noFill/>
                          <a:ln>
                            <a:noFill/>
                          </a:ln>
                        </pic:spPr>
                      </pic:pic>
                    </a:graphicData>
                  </a:graphic>
                </wp:anchor>
              </w:drawing>
            </w:r>
          </w:p>
          <w:p w14:paraId="5971E9EF">
            <w:pPr>
              <w:topLinePunct/>
              <w:autoSpaceDE/>
              <w:autoSpaceDN/>
              <w:spacing w:line="520" w:lineRule="exact"/>
              <w:ind w:firstLine="480" w:firstLineChars="200"/>
              <w:jc w:val="both"/>
              <w:rPr>
                <w:rFonts w:ascii="Times New Roman" w:hAnsi="Times New Roman" w:cs="Times New Roman"/>
                <w:kern w:val="2"/>
                <w:sz w:val="24"/>
                <w:szCs w:val="24"/>
                <w:lang w:val="en-US" w:bidi="ar-SA"/>
              </w:rPr>
            </w:pPr>
          </w:p>
          <w:p w14:paraId="1FA87263">
            <w:pPr>
              <w:topLinePunct/>
              <w:autoSpaceDE/>
              <w:autoSpaceDN/>
              <w:spacing w:line="520" w:lineRule="exact"/>
              <w:ind w:firstLine="480" w:firstLineChars="200"/>
              <w:jc w:val="both"/>
              <w:rPr>
                <w:rFonts w:ascii="Times New Roman" w:hAnsi="Times New Roman" w:cs="Times New Roman"/>
                <w:kern w:val="2"/>
                <w:sz w:val="24"/>
                <w:szCs w:val="24"/>
                <w:lang w:val="en-US" w:bidi="ar-SA"/>
              </w:rPr>
            </w:pPr>
          </w:p>
          <w:p w14:paraId="1FED1470">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 xml:space="preserve">式中：q1，q2，...，qn——每种危险物质的最大存在总量，t； </w:t>
            </w:r>
          </w:p>
          <w:p w14:paraId="49ADC7B4">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 xml:space="preserve">Q1，Q2，…，Qn——每种危险物质的临界量，t； </w:t>
            </w:r>
          </w:p>
          <w:p w14:paraId="02CB42EB">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 xml:space="preserve">当Q&lt;1时，该项目环境风险潜势为Ⅰ。 </w:t>
            </w:r>
          </w:p>
          <w:p w14:paraId="61ECE45C">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 xml:space="preserve">当Q≥1时，将Q值划分为：（1）1≤Q&lt;10；（2）10≤Q&lt;100（3）Q≥100 </w:t>
            </w:r>
          </w:p>
          <w:p w14:paraId="4C78B8E6">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（2）风险源分布情况及可能影响途径</w:t>
            </w:r>
          </w:p>
          <w:p w14:paraId="120E4DE6">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①物质危险性识别</w:t>
            </w:r>
          </w:p>
          <w:p w14:paraId="21405C25">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本项目涉及的危险物质存放在危废贮存间中，存在危险因素主要为储存设备腐蚀、老化、员工违章操作等引起危险物质事故泄漏对土壤和地下水造成污染及遇明火引发火灾、爆炸伴生/次生污染物排放对大气造成污染。</w:t>
            </w:r>
          </w:p>
          <w:p w14:paraId="139CC31D">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②生产过程危险性识别</w:t>
            </w:r>
          </w:p>
          <w:p w14:paraId="180DA611">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原</w:t>
            </w:r>
            <w:r>
              <w:rPr>
                <w:rFonts w:hint="eastAsia" w:ascii="Times New Roman" w:hAnsi="Times New Roman" w:cs="Times New Roman"/>
                <w:kern w:val="2"/>
                <w:sz w:val="24"/>
                <w:szCs w:val="24"/>
                <w:lang w:val="en-US" w:eastAsia="zh-CN" w:bidi="ar-SA"/>
              </w:rPr>
              <w:t>煤装卸</w:t>
            </w:r>
            <w:r>
              <w:rPr>
                <w:rFonts w:hint="eastAsia" w:ascii="Times New Roman" w:hAnsi="Times New Roman" w:cs="Times New Roman"/>
                <w:kern w:val="2"/>
                <w:sz w:val="24"/>
                <w:szCs w:val="24"/>
                <w:lang w:val="en-US" w:bidi="ar-SA"/>
              </w:rPr>
              <w:t>过程中产生的粉尘，存在危险因素为煤尘遇明火容易引发火灾、爆炸，火灾、爆炸产生的伴生/次生污染物排放到大气中造成污染。煤尘粒径越小，越易悬浮，表面积越大，燃烧速度越快，升压越快，爆炸压力越大。</w:t>
            </w:r>
          </w:p>
          <w:p w14:paraId="2FE6EFAD">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（3）环境风险防范措施</w:t>
            </w:r>
          </w:p>
          <w:p w14:paraId="5C4FC3A5">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①加强安全管理，提高员工的安全管理操作意识；</w:t>
            </w:r>
          </w:p>
          <w:p w14:paraId="52BF6021">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②加强对煤尘的管理，加强煤尘收集和处理工作，及时清理厂区和机械设备厂区及周围环境中的煤尘；</w:t>
            </w:r>
          </w:p>
          <w:p w14:paraId="1C5869FB">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③加强防火工作，禁止在厂区内吸烟、使用明火，严禁在有煤尘飞扬的场地使用明火作业，防止电器设备、机器设备或其他热源引起的火源；</w:t>
            </w:r>
          </w:p>
          <w:p w14:paraId="7AF52732">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④严格按照《危险废物贮存污染控制标准》要求建设危废贮存间，对地面进行防渗，设置围堰等；</w:t>
            </w:r>
          </w:p>
          <w:p w14:paraId="40F26916">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bidi="ar-SA"/>
              </w:rPr>
              <w:t>⑤盛装危险废物的容器材质和衬里要与危险废物相容（不相互反应）；容器外应贴上危险废物标签等警示标志，并对包装容器进行定期检查；在落实有效的环境风险措施后，本次评价认为项目环境风险可降至可防控水平</w:t>
            </w:r>
            <w:r>
              <w:rPr>
                <w:rFonts w:ascii="Times New Roman" w:hAnsi="Times New Roman" w:cs="Times New Roman"/>
                <w:kern w:val="2"/>
                <w:sz w:val="24"/>
                <w:szCs w:val="24"/>
                <w:lang w:val="en-US" w:bidi="ar-SA"/>
              </w:rPr>
              <w:t>。</w:t>
            </w:r>
          </w:p>
          <w:p w14:paraId="51A611DC">
            <w:pPr>
              <w:pStyle w:val="2"/>
              <w:spacing w:line="560" w:lineRule="exact"/>
              <w:ind w:left="0" w:right="0"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w:t>
            </w:r>
            <w:r>
              <w:rPr>
                <w:rFonts w:ascii="Times New Roman" w:hAnsi="Times New Roman" w:eastAsia="宋体" w:cs="Times New Roman"/>
                <w:sz w:val="24"/>
                <w:szCs w:val="24"/>
                <w:lang w:val="en-US"/>
              </w:rPr>
              <w:t>4</w:t>
            </w:r>
            <w:r>
              <w:rPr>
                <w:rFonts w:ascii="Times New Roman" w:hAnsi="Times New Roman" w:eastAsia="宋体" w:cs="Times New Roman"/>
                <w:sz w:val="24"/>
                <w:szCs w:val="24"/>
              </w:rPr>
              <w:t xml:space="preserve">）粉尘爆炸防治措施 </w:t>
            </w:r>
          </w:p>
          <w:p w14:paraId="633D732F">
            <w:pPr>
              <w:pStyle w:val="2"/>
              <w:spacing w:line="560" w:lineRule="exact"/>
              <w:ind w:left="0" w:right="0"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①对</w:t>
            </w:r>
            <w:r>
              <w:rPr>
                <w:rFonts w:hint="eastAsia" w:ascii="Times New Roman" w:hAnsi="Times New Roman" w:eastAsia="宋体" w:cs="Times New Roman"/>
                <w:sz w:val="24"/>
                <w:szCs w:val="24"/>
                <w:lang w:val="en-US" w:eastAsia="zh-CN"/>
              </w:rPr>
              <w:t>储煤棚</w:t>
            </w:r>
            <w:r>
              <w:rPr>
                <w:rFonts w:ascii="Times New Roman" w:hAnsi="Times New Roman" w:eastAsia="宋体" w:cs="Times New Roman"/>
                <w:sz w:val="24"/>
                <w:szCs w:val="24"/>
              </w:rPr>
              <w:t>内堆放的</w:t>
            </w:r>
            <w:r>
              <w:rPr>
                <w:rFonts w:hint="eastAsia" w:ascii="Times New Roman" w:hAnsi="Times New Roman" w:eastAsia="宋体" w:cs="Times New Roman"/>
                <w:sz w:val="24"/>
                <w:szCs w:val="24"/>
                <w:lang w:val="en-US" w:eastAsia="zh-CN"/>
              </w:rPr>
              <w:t>原煤</w:t>
            </w:r>
            <w:r>
              <w:rPr>
                <w:rFonts w:ascii="Times New Roman" w:hAnsi="Times New Roman" w:eastAsia="宋体" w:cs="Times New Roman"/>
                <w:sz w:val="24"/>
                <w:szCs w:val="24"/>
              </w:rPr>
              <w:t>定期洒水抑尘，尤其是在春、秋干燥季节，使</w:t>
            </w:r>
            <w:r>
              <w:rPr>
                <w:rFonts w:hint="eastAsia" w:ascii="Times New Roman" w:hAnsi="Times New Roman" w:eastAsia="宋体" w:cs="Times New Roman"/>
                <w:sz w:val="24"/>
                <w:szCs w:val="24"/>
                <w:lang w:val="en-US"/>
              </w:rPr>
              <w:t>储</w:t>
            </w:r>
            <w:r>
              <w:rPr>
                <w:rFonts w:ascii="Times New Roman" w:hAnsi="Times New Roman" w:eastAsia="宋体" w:cs="Times New Roman"/>
                <w:sz w:val="24"/>
                <w:szCs w:val="24"/>
              </w:rPr>
              <w:t>棚内</w:t>
            </w:r>
            <w:r>
              <w:rPr>
                <w:rFonts w:hint="eastAsia" w:ascii="Times New Roman" w:hAnsi="Times New Roman" w:eastAsia="宋体" w:cs="Times New Roman"/>
                <w:sz w:val="24"/>
                <w:szCs w:val="24"/>
                <w:lang w:val="en-US"/>
              </w:rPr>
              <w:t>粉</w:t>
            </w:r>
            <w:r>
              <w:rPr>
                <w:rFonts w:ascii="Times New Roman" w:hAnsi="Times New Roman" w:eastAsia="宋体" w:cs="Times New Roman"/>
                <w:sz w:val="24"/>
                <w:szCs w:val="24"/>
              </w:rPr>
              <w:t>尘浓度控制在爆炸限度之外；</w:t>
            </w:r>
          </w:p>
          <w:p w14:paraId="629CB048">
            <w:pPr>
              <w:pStyle w:val="2"/>
              <w:spacing w:line="560" w:lineRule="exact"/>
              <w:ind w:left="0" w:right="0"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②加强管理措施，</w:t>
            </w:r>
            <w:r>
              <w:rPr>
                <w:rFonts w:hint="eastAsia" w:ascii="Times New Roman" w:hAnsi="Times New Roman" w:eastAsia="宋体" w:cs="Times New Roman"/>
                <w:sz w:val="24"/>
                <w:szCs w:val="24"/>
                <w:lang w:val="en-US" w:eastAsia="zh-CN"/>
              </w:rPr>
              <w:t>储煤棚</w:t>
            </w:r>
            <w:r>
              <w:rPr>
                <w:rFonts w:ascii="Times New Roman" w:hAnsi="Times New Roman" w:eastAsia="宋体" w:cs="Times New Roman"/>
                <w:sz w:val="24"/>
                <w:szCs w:val="24"/>
              </w:rPr>
              <w:t>内及周边一定范围严格控制烟火，杜绝一切明火发生。通过采取以上措施，本项目环境风险较小，在可接受范围内。</w:t>
            </w:r>
          </w:p>
          <w:p w14:paraId="1B61E17E">
            <w:pPr>
              <w:pStyle w:val="2"/>
              <w:spacing w:line="560" w:lineRule="exact"/>
              <w:ind w:left="0" w:right="0" w:firstLine="480" w:firstLineChars="200"/>
              <w:jc w:val="both"/>
              <w:rPr>
                <w:rFonts w:ascii="Times New Roman" w:hAnsi="Times New Roman" w:eastAsia="宋体" w:cs="Times New Roman"/>
                <w:sz w:val="24"/>
                <w:szCs w:val="24"/>
              </w:rPr>
            </w:pPr>
            <w:r>
              <w:rPr>
                <w:rFonts w:ascii="Times New Roman" w:hAnsi="Times New Roman" w:cs="Times New Roman"/>
                <w:sz w:val="24"/>
                <w:szCs w:val="24"/>
                <w:lang w:val="en-US"/>
              </w:rPr>
              <w:t>②</w:t>
            </w:r>
            <w:r>
              <w:rPr>
                <w:rFonts w:ascii="Times New Roman" w:hAnsi="Times New Roman" w:eastAsia="宋体" w:cs="Times New Roman"/>
                <w:sz w:val="24"/>
                <w:szCs w:val="24"/>
              </w:rPr>
              <w:t>地面建筑安装《建筑设计防火规范》（GB50016-2010）修订本的相关规定进行设计，生产类别分别为丙类和戊类，耐火等级分别为二级和三级。</w:t>
            </w:r>
          </w:p>
          <w:p w14:paraId="00462535">
            <w:pPr>
              <w:pStyle w:val="2"/>
              <w:spacing w:line="560" w:lineRule="exact"/>
              <w:ind w:left="0" w:right="0"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③按照国家基本建设的有关政策和“预防为主，防消结合”的消防工作方针，项目充分考虑防火设计，集装站各建（构）筑物的楼梯、出入口、安全通道及消防灭火系统按有关要求设计，建（构）筑物之间均保持了规范要求的安全距离；建筑物与栈桥</w:t>
            </w:r>
            <w:r>
              <w:rPr>
                <w:rFonts w:hint="eastAsia" w:ascii="Times New Roman" w:hAnsi="Times New Roman" w:eastAsia="宋体" w:cs="Times New Roman"/>
                <w:sz w:val="24"/>
                <w:szCs w:val="24"/>
                <w:lang w:eastAsia="zh-CN"/>
              </w:rPr>
              <w:t>连</w:t>
            </w:r>
            <w:r>
              <w:rPr>
                <w:rFonts w:ascii="Times New Roman" w:hAnsi="Times New Roman" w:eastAsia="宋体" w:cs="Times New Roman"/>
                <w:sz w:val="24"/>
                <w:szCs w:val="24"/>
              </w:rPr>
              <w:t>接口处设置水幕；建（构）筑物本身按规范要求采取了必要的防火措施，如：配置手提式灭火器、外围护采用内夹阻燃材料的保温型</w:t>
            </w:r>
            <w:r>
              <w:rPr>
                <w:rFonts w:hint="eastAsia" w:ascii="Times New Roman" w:hAnsi="Times New Roman" w:eastAsia="宋体" w:cs="Times New Roman"/>
                <w:sz w:val="24"/>
                <w:szCs w:val="24"/>
                <w:lang w:eastAsia="zh-CN"/>
              </w:rPr>
              <w:t>彩涂钢板</w:t>
            </w:r>
            <w:r>
              <w:rPr>
                <w:rFonts w:ascii="Times New Roman" w:hAnsi="Times New Roman" w:eastAsia="宋体" w:cs="Times New Roman"/>
                <w:sz w:val="24"/>
                <w:szCs w:val="24"/>
              </w:rPr>
              <w:t>、钢结构栈桥钢结构表面均刷防火涂料等。</w:t>
            </w:r>
          </w:p>
          <w:p w14:paraId="5D1C9869">
            <w:pPr>
              <w:pStyle w:val="2"/>
              <w:spacing w:line="560" w:lineRule="exact"/>
              <w:ind w:left="0" w:right="0"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④配电室土建工程满足现行规范要求，并留有防火隔离间距，且配置干粉灭火器；选用不延燃材料的电缆，全厂电线采用穿阻燃 PVC 管敷设；各用电设备的动力电缆与热力管道均沿不同路径敷设。</w:t>
            </w:r>
          </w:p>
          <w:p w14:paraId="04C60224">
            <w:pPr>
              <w:pStyle w:val="2"/>
              <w:spacing w:line="560" w:lineRule="exact"/>
              <w:ind w:left="0" w:right="0"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⑤为防止由雷电造成火灾，主要建（构）筑物设有以避雷针为主的防雷接地系统；在有可能产生静电的设备处设置</w:t>
            </w:r>
            <w:r>
              <w:rPr>
                <w:rFonts w:hint="eastAsia" w:ascii="Times New Roman" w:hAnsi="Times New Roman" w:eastAsia="宋体" w:cs="Times New Roman"/>
                <w:sz w:val="24"/>
                <w:szCs w:val="24"/>
                <w:lang w:eastAsia="zh-CN"/>
              </w:rPr>
              <w:t>防雷接地</w:t>
            </w:r>
            <w:r>
              <w:rPr>
                <w:rFonts w:ascii="Times New Roman" w:hAnsi="Times New Roman" w:eastAsia="宋体" w:cs="Times New Roman"/>
                <w:sz w:val="24"/>
                <w:szCs w:val="24"/>
              </w:rPr>
              <w:t>。</w:t>
            </w:r>
          </w:p>
          <w:p w14:paraId="25B0ECC8">
            <w:pPr>
              <w:pStyle w:val="2"/>
              <w:spacing w:line="560" w:lineRule="exact"/>
              <w:ind w:left="0" w:right="0"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⑥各主要</w:t>
            </w:r>
            <w:r>
              <w:rPr>
                <w:rFonts w:ascii="Times New Roman" w:hAnsi="Times New Roman" w:eastAsia="宋体" w:cs="Times New Roman"/>
                <w:sz w:val="24"/>
                <w:szCs w:val="24"/>
                <w:lang w:val="en-US"/>
              </w:rPr>
              <w:t>生产线</w:t>
            </w:r>
            <w:r>
              <w:rPr>
                <w:rFonts w:ascii="Times New Roman" w:hAnsi="Times New Roman" w:eastAsia="宋体" w:cs="Times New Roman"/>
                <w:sz w:val="24"/>
                <w:szCs w:val="24"/>
              </w:rPr>
              <w:t>照明电源采用不同电源交叉供电，主要通道及重要场所均设置应急灯，确保火灾发生时人员顺利、迅速地疏散。</w:t>
            </w:r>
          </w:p>
          <w:p w14:paraId="41527782">
            <w:pPr>
              <w:pStyle w:val="2"/>
              <w:spacing w:line="560" w:lineRule="exact"/>
              <w:ind w:left="0" w:right="0"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⑦定时喷雾洒水抑尘，控制空气中的煤尘浓度在安全范围</w:t>
            </w:r>
            <w:r>
              <w:rPr>
                <w:rFonts w:hint="eastAsia" w:ascii="Times New Roman" w:hAnsi="Times New Roman" w:eastAsia="宋体" w:cs="Times New Roman"/>
                <w:sz w:val="24"/>
                <w:szCs w:val="24"/>
                <w:lang w:eastAsia="zh-CN"/>
              </w:rPr>
              <w:t>之内</w:t>
            </w:r>
            <w:r>
              <w:rPr>
                <w:rFonts w:ascii="Times New Roman" w:hAnsi="Times New Roman" w:eastAsia="宋体" w:cs="Times New Roman"/>
                <w:sz w:val="24"/>
                <w:szCs w:val="24"/>
              </w:rPr>
              <w:t>。</w:t>
            </w:r>
          </w:p>
          <w:p w14:paraId="2FAD8CEB">
            <w:pPr>
              <w:pStyle w:val="2"/>
              <w:spacing w:line="560" w:lineRule="exact"/>
              <w:ind w:left="0" w:right="0"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⑧项目的主要设备均选用先进、安全、自动化程度高、经生产实践检验的可靠设备，设有自动控制系统并与全厂自动控制系统联网，可以有效减轻劳动强度，保证安全生产。主要设备工艺设有宽敞的操作工作面，利于操作和通行，在运输设备两侧留有适宜宽度的安全通道，以利于生产工人和检修人员操作、通行，保证其人身安全；各机电设备的机械转动部件外露时，均设置安全防护装置，</w:t>
            </w:r>
            <w:r>
              <w:rPr>
                <w:rFonts w:hint="eastAsia" w:ascii="Times New Roman" w:hAnsi="Times New Roman" w:eastAsia="宋体" w:cs="Times New Roman"/>
                <w:sz w:val="24"/>
                <w:szCs w:val="24"/>
                <w:lang w:eastAsia="zh-CN"/>
              </w:rPr>
              <w:t>并作到</w:t>
            </w:r>
            <w:r>
              <w:rPr>
                <w:rFonts w:ascii="Times New Roman" w:hAnsi="Times New Roman" w:eastAsia="宋体" w:cs="Times New Roman"/>
                <w:sz w:val="24"/>
                <w:szCs w:val="24"/>
              </w:rPr>
              <w:t>轻巧稳固、易于装卸，避免工作人员接近时发生意外。</w:t>
            </w:r>
          </w:p>
          <w:p w14:paraId="6842BFDD">
            <w:pPr>
              <w:pStyle w:val="2"/>
              <w:spacing w:line="560" w:lineRule="exact"/>
              <w:ind w:left="0" w:right="0"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⑨强化安全生产管理，必须制定岗位责任制，严格遵守操作规程；强化安全生产及环境保护意识的教育，提高职工的素质，加强操作人员的上岗前培训，进行生产、消防、环保、工业卫生等方面的技术培训教育。建立健全环保和安全管理部门，该部门应加强监督检查，及时发现潜在风险隐患，立即处理，</w:t>
            </w:r>
            <w:r>
              <w:rPr>
                <w:rFonts w:hint="eastAsia" w:ascii="Times New Roman" w:hAnsi="Times New Roman" w:eastAsia="宋体" w:cs="Times New Roman"/>
                <w:sz w:val="24"/>
                <w:szCs w:val="24"/>
                <w:lang w:eastAsia="zh-CN"/>
              </w:rPr>
              <w:t>防患未然</w:t>
            </w:r>
            <w:r>
              <w:rPr>
                <w:rFonts w:ascii="Times New Roman" w:hAnsi="Times New Roman" w:eastAsia="宋体" w:cs="Times New Roman"/>
                <w:sz w:val="24"/>
                <w:szCs w:val="24"/>
              </w:rPr>
              <w:t>。必须经常检查安全消防设施的完好性，使其处于</w:t>
            </w:r>
            <w:r>
              <w:rPr>
                <w:rFonts w:hint="eastAsia" w:ascii="Times New Roman" w:hAnsi="Times New Roman" w:eastAsia="宋体" w:cs="Times New Roman"/>
                <w:sz w:val="24"/>
                <w:szCs w:val="24"/>
                <w:lang w:eastAsia="zh-CN"/>
              </w:rPr>
              <w:t>备用状态</w:t>
            </w:r>
            <w:r>
              <w:rPr>
                <w:rFonts w:ascii="Times New Roman" w:hAnsi="Times New Roman" w:eastAsia="宋体" w:cs="Times New Roman"/>
                <w:sz w:val="24"/>
                <w:szCs w:val="24"/>
              </w:rPr>
              <w:t>，以备事故发生时能及时、高效率</w:t>
            </w:r>
            <w:r>
              <w:rPr>
                <w:rFonts w:hint="eastAsia" w:ascii="Times New Roman" w:hAnsi="Times New Roman" w:eastAsia="宋体" w:cs="Times New Roman"/>
                <w:sz w:val="24"/>
                <w:szCs w:val="24"/>
                <w:lang w:eastAsia="zh-CN"/>
              </w:rPr>
              <w:t>地</w:t>
            </w:r>
            <w:r>
              <w:rPr>
                <w:rFonts w:ascii="Times New Roman" w:hAnsi="Times New Roman" w:eastAsia="宋体" w:cs="Times New Roman"/>
                <w:sz w:val="24"/>
                <w:szCs w:val="24"/>
              </w:rPr>
              <w:t>发挥作用。</w:t>
            </w:r>
          </w:p>
          <w:p w14:paraId="074EA680">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（5）应急预案</w:t>
            </w:r>
          </w:p>
          <w:p w14:paraId="47D86B59">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为及时、迅速、有序地处理事故，避免事故的扩大，减少人员伤亡、财产损失，减少对事故现场周边环境及社会的负面影响，达到迅速控制危险源，维护正常的生产秩序的目的，按照“安全第一，预防为主”和“以人为本”的方针，并根据</w:t>
            </w:r>
            <w:r>
              <w:rPr>
                <w:rFonts w:hint="eastAsia" w:ascii="Times New Roman" w:hAnsi="Times New Roman" w:cs="Times New Roman"/>
                <w:kern w:val="2"/>
                <w:sz w:val="24"/>
                <w:szCs w:val="24"/>
                <w:lang w:val="en-US" w:eastAsia="zh-CN" w:bidi="ar-SA"/>
              </w:rPr>
              <w:t>国家</w:t>
            </w:r>
            <w:r>
              <w:rPr>
                <w:rFonts w:ascii="Times New Roman" w:hAnsi="Times New Roman" w:cs="Times New Roman"/>
                <w:kern w:val="2"/>
                <w:sz w:val="24"/>
                <w:szCs w:val="24"/>
                <w:lang w:val="en-US" w:bidi="ar-SA"/>
              </w:rPr>
              <w:t>《</w:t>
            </w:r>
            <w:r>
              <w:rPr>
                <w:rFonts w:hint="eastAsia" w:ascii="Times New Roman" w:hAnsi="Times New Roman" w:cs="Times New Roman"/>
                <w:kern w:val="2"/>
                <w:sz w:val="24"/>
                <w:szCs w:val="24"/>
                <w:lang w:val="en-US" w:eastAsia="zh-CN" w:bidi="ar-SA"/>
              </w:rPr>
              <w:t>中华人民共和国安全生产法》《</w:t>
            </w:r>
            <w:r>
              <w:rPr>
                <w:rFonts w:ascii="Times New Roman" w:hAnsi="Times New Roman" w:cs="Times New Roman"/>
                <w:kern w:val="2"/>
                <w:sz w:val="24"/>
                <w:szCs w:val="24"/>
                <w:lang w:val="en-US" w:bidi="ar-SA"/>
              </w:rPr>
              <w:t>危险化学品安全管理条例》和国务院《</w:t>
            </w:r>
            <w:r>
              <w:rPr>
                <w:rFonts w:hint="eastAsia" w:ascii="Times New Roman" w:hAnsi="Times New Roman" w:cs="Times New Roman"/>
                <w:kern w:val="2"/>
                <w:sz w:val="24"/>
                <w:szCs w:val="24"/>
                <w:lang w:val="en-US" w:eastAsia="zh-CN" w:bidi="ar-SA"/>
              </w:rPr>
              <w:t>国务院关于特大安全事故行政责任追究的规定</w:t>
            </w:r>
            <w:r>
              <w:rPr>
                <w:rFonts w:ascii="Times New Roman" w:hAnsi="Times New Roman" w:cs="Times New Roman"/>
                <w:kern w:val="2"/>
                <w:sz w:val="24"/>
                <w:szCs w:val="24"/>
                <w:lang w:val="en-US" w:bidi="ar-SA"/>
              </w:rPr>
              <w:t>》，特制定环境风险预案。</w:t>
            </w:r>
          </w:p>
          <w:p w14:paraId="766CF98F">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（1）工作原则</w:t>
            </w:r>
          </w:p>
          <w:p w14:paraId="6B9F4719">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①统一指挥</w:t>
            </w:r>
          </w:p>
          <w:p w14:paraId="643F30F5">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hint="eastAsia" w:ascii="Times New Roman" w:hAnsi="Times New Roman" w:cs="Times New Roman"/>
                <w:kern w:val="2"/>
                <w:sz w:val="24"/>
                <w:szCs w:val="24"/>
                <w:lang w:val="en-US" w:eastAsia="zh-CN" w:bidi="ar-SA"/>
              </w:rPr>
              <w:t>伊金霍洛旗鑫海洗煤厂（普通合伙）</w:t>
            </w:r>
            <w:r>
              <w:rPr>
                <w:rFonts w:ascii="Times New Roman" w:hAnsi="Times New Roman" w:cs="Times New Roman"/>
                <w:kern w:val="2"/>
                <w:sz w:val="24"/>
                <w:szCs w:val="24"/>
                <w:lang w:val="en-US" w:bidi="ar-SA"/>
              </w:rPr>
              <w:t>设立专门机构负责事故处理及救援工作的集中统一指挥。</w:t>
            </w:r>
          </w:p>
          <w:p w14:paraId="2B5F916C">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②分级管理</w:t>
            </w:r>
          </w:p>
          <w:p w14:paraId="4C1FDC42">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根据事故状况，应急预案应实施分级管理。发生事故时，启动相应级别的应急预案。</w:t>
            </w:r>
          </w:p>
          <w:p w14:paraId="5024B05F">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③共同参与</w:t>
            </w:r>
          </w:p>
          <w:p w14:paraId="0AFA0A02">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根据事故状况，应急领导小组应请求所在地人民政府、公安、消防、环保、水利、劳卫、武警部队等部门的支持、救援，最大限度地减少人员伤亡、财产损失和对事故现场周边环境及社会的负面影响。</w:t>
            </w:r>
          </w:p>
          <w:p w14:paraId="037F5A30">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（2）组织机构及职责</w:t>
            </w:r>
          </w:p>
          <w:p w14:paraId="3175C5EB">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建设单位应</w:t>
            </w:r>
            <w:r>
              <w:rPr>
                <w:rFonts w:hint="eastAsia" w:ascii="Times New Roman" w:hAnsi="Times New Roman" w:cs="Times New Roman"/>
                <w:kern w:val="2"/>
                <w:sz w:val="24"/>
                <w:szCs w:val="24"/>
                <w:lang w:val="en-US" w:eastAsia="zh-CN" w:bidi="ar-SA"/>
              </w:rPr>
              <w:t>设置</w:t>
            </w:r>
            <w:r>
              <w:rPr>
                <w:rFonts w:ascii="Times New Roman" w:hAnsi="Times New Roman" w:cs="Times New Roman"/>
                <w:kern w:val="2"/>
                <w:sz w:val="24"/>
                <w:szCs w:val="24"/>
                <w:lang w:val="en-US" w:bidi="ar-SA"/>
              </w:rPr>
              <w:t>专门机构负责项目建设及运营期的环境安全。其职责包括：</w:t>
            </w:r>
          </w:p>
          <w:p w14:paraId="236C24D7">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①负责统一协调突发环境事件的应对工作，负责应急统一指挥，同时还负责与项目区外界环境保持紧密联系，将事态的发展向外部的支持保障机构发出信号，并及时将反馈信息应用于事故应急的领导和指挥当中。</w:t>
            </w:r>
          </w:p>
          <w:p w14:paraId="5DBFBE00">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②保证应急事故的各项资源，包括建立企业救援队，并与社会可利用资源建立长期合作关系；当建设单位内部资源不足、不能应对环境事故，需要区域内其他部门增援时，由建设单位的环境安全管理部门提出增援请求。</w:t>
            </w:r>
          </w:p>
          <w:p w14:paraId="331E5000">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③在事故处理终止或者处理过程中，要向公众及时、准确地发布反映环境安全事故的信息，引导正确的舆论导向，对社会和公众负责。</w:t>
            </w:r>
          </w:p>
          <w:p w14:paraId="20001B97">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（3）应急预案内容</w:t>
            </w:r>
          </w:p>
          <w:p w14:paraId="7DCAAE91">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从应急工作程序上，可以分为预防预警、应急响应、应急处理、应急终止、信息发布五个步骤。建设单位编制的环境事故应急预案应对以下内容进行细化，并明确各项工作的负责人。</w:t>
            </w:r>
          </w:p>
          <w:p w14:paraId="75F91215">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①预防预警。预防与预警是处理环境安全突发性事件的必要前提。根据突发事故的严重性、紧急程度和可能波及的范围，划分预警级别，并根据事态的发展情况和采取措施的效果，提高或者降低应急预警级别。</w:t>
            </w:r>
          </w:p>
          <w:p w14:paraId="03F59C7F">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②应急响应。环境安全突发事件发生后，应立即启动并实施相应应急预案，及时向当地环保局以及自治区相关部门上报；同时，启动建设单位应急专业指挥机构；应急救援力量应立即开展应急救援工作；需要其他应急救援力量支援时，应及时向相关部门提出申请。</w:t>
            </w:r>
          </w:p>
          <w:p w14:paraId="458969EB">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③应急处理。对各类环境事故，根据</w:t>
            </w:r>
            <w:r>
              <w:rPr>
                <w:rFonts w:hint="eastAsia" w:ascii="Times New Roman" w:hAnsi="Times New Roman" w:cs="Times New Roman"/>
                <w:kern w:val="2"/>
                <w:sz w:val="24"/>
                <w:szCs w:val="24"/>
                <w:lang w:val="en-US" w:eastAsia="zh-CN" w:bidi="ar-SA"/>
              </w:rPr>
              <w:t>相应</w:t>
            </w:r>
            <w:r>
              <w:rPr>
                <w:rFonts w:ascii="Times New Roman" w:hAnsi="Times New Roman" w:cs="Times New Roman"/>
                <w:kern w:val="2"/>
                <w:sz w:val="24"/>
                <w:szCs w:val="24"/>
                <w:lang w:val="en-US" w:bidi="ar-SA"/>
              </w:rPr>
              <w:t>的救援方案进行</w:t>
            </w:r>
            <w:r>
              <w:rPr>
                <w:rFonts w:hint="eastAsia" w:ascii="Times New Roman" w:hAnsi="Times New Roman" w:cs="Times New Roman"/>
                <w:kern w:val="2"/>
                <w:sz w:val="24"/>
                <w:szCs w:val="24"/>
                <w:lang w:val="en-US" w:eastAsia="zh-CN" w:bidi="ar-SA"/>
              </w:rPr>
              <w:t>救援</w:t>
            </w:r>
            <w:r>
              <w:rPr>
                <w:rFonts w:ascii="Times New Roman" w:hAnsi="Times New Roman" w:cs="Times New Roman"/>
                <w:kern w:val="2"/>
                <w:sz w:val="24"/>
                <w:szCs w:val="24"/>
                <w:lang w:val="en-US" w:bidi="ar-SA"/>
              </w:rPr>
              <w:t>处理，同时应进行应急环境监测。根据监测结果，综合分析突发环境事件污染变化趋势，并通过专家咨询和讨论的方式，预测并报告突发环境事件的发展情况和污染物的变化情况，作为突发环境事件应急决策的依据。</w:t>
            </w:r>
          </w:p>
          <w:p w14:paraId="1617306A">
            <w:pPr>
              <w:topLinePunct/>
              <w:autoSpaceDE/>
              <w:autoSpaceDN/>
              <w:spacing w:line="520" w:lineRule="exact"/>
              <w:ind w:firstLine="480" w:firstLineChars="200"/>
              <w:jc w:val="both"/>
              <w:rPr>
                <w:rFonts w:ascii="Times New Roman" w:hAnsi="Times New Roman" w:cs="Times New Roman"/>
                <w:kern w:val="2"/>
                <w:sz w:val="24"/>
                <w:szCs w:val="24"/>
                <w:lang w:val="en-US" w:bidi="ar-SA"/>
              </w:rPr>
            </w:pPr>
            <w:r>
              <w:rPr>
                <w:rFonts w:ascii="Times New Roman" w:hAnsi="Times New Roman" w:cs="Times New Roman"/>
                <w:kern w:val="2"/>
                <w:sz w:val="24"/>
                <w:szCs w:val="24"/>
                <w:lang w:val="en-US" w:bidi="ar-SA"/>
              </w:rPr>
              <w:t>④应急终止。应急终止须经现场救援指挥部确认，由现场救援指挥部向所属各专业应急救援队伍下达应急终止命令。 应急状态终止后，建设单位应根据上级有关指示和实际情况，继续进行环境监测和评价工作，直至其他补救措施无需继续进行为止。</w:t>
            </w:r>
          </w:p>
          <w:p w14:paraId="190943D2">
            <w:pPr>
              <w:topLinePunct/>
              <w:autoSpaceDE/>
              <w:autoSpaceDN/>
              <w:spacing w:line="520" w:lineRule="exact"/>
              <w:ind w:firstLine="480" w:firstLineChars="200"/>
              <w:jc w:val="both"/>
              <w:rPr>
                <w:rFonts w:ascii="Times New Roman" w:hAnsi="Times New Roman" w:cs="Times New Roman"/>
                <w:color w:val="auto"/>
                <w:kern w:val="2"/>
                <w:sz w:val="24"/>
                <w:szCs w:val="24"/>
                <w:lang w:val="en-US" w:bidi="ar-SA"/>
              </w:rPr>
            </w:pPr>
            <w:r>
              <w:rPr>
                <w:rFonts w:ascii="Times New Roman" w:hAnsi="Times New Roman" w:cs="Times New Roman"/>
                <w:kern w:val="2"/>
                <w:sz w:val="24"/>
                <w:szCs w:val="24"/>
                <w:lang w:val="en-US" w:bidi="ar-SA"/>
              </w:rPr>
              <w:t>⑤信息发布。突发环境安全事件终止后，要通过报纸、广播、电视和网络等多种媒体方式，及时发布准确、权威的信息，正确引导社会舆论，增强对于环境安全应急措施的透明</w:t>
            </w:r>
            <w:r>
              <w:rPr>
                <w:rFonts w:ascii="Times New Roman" w:hAnsi="Times New Roman" w:cs="Times New Roman"/>
                <w:color w:val="auto"/>
                <w:kern w:val="2"/>
                <w:sz w:val="24"/>
                <w:szCs w:val="24"/>
                <w:lang w:val="en-US" w:bidi="ar-SA"/>
              </w:rPr>
              <w:t>度。</w:t>
            </w:r>
          </w:p>
          <w:p w14:paraId="380D3C75">
            <w:pPr>
              <w:topLinePunct/>
              <w:autoSpaceDE/>
              <w:autoSpaceDN/>
              <w:spacing w:line="520" w:lineRule="exact"/>
              <w:ind w:firstLine="482" w:firstLineChars="200"/>
              <w:jc w:val="both"/>
              <w:rPr>
                <w:rFonts w:ascii="Times New Roman" w:hAnsi="Times New Roman" w:cs="Times New Roman"/>
                <w:b/>
                <w:bCs/>
                <w:color w:val="auto"/>
                <w:kern w:val="2"/>
                <w:sz w:val="24"/>
                <w:szCs w:val="24"/>
                <w:lang w:val="en-GB" w:bidi="ar-SA"/>
              </w:rPr>
            </w:pPr>
            <w:r>
              <w:rPr>
                <w:rFonts w:ascii="Times New Roman" w:hAnsi="Times New Roman" w:cs="Times New Roman"/>
                <w:b/>
                <w:bCs/>
                <w:color w:val="auto"/>
                <w:kern w:val="2"/>
                <w:sz w:val="24"/>
                <w:szCs w:val="24"/>
                <w:lang w:val="en-US" w:bidi="ar-SA"/>
              </w:rPr>
              <w:t>7</w:t>
            </w:r>
            <w:r>
              <w:rPr>
                <w:rFonts w:ascii="Times New Roman" w:hAnsi="Times New Roman" w:cs="Times New Roman"/>
                <w:b/>
                <w:bCs/>
                <w:color w:val="auto"/>
                <w:kern w:val="2"/>
                <w:sz w:val="24"/>
                <w:szCs w:val="24"/>
                <w:lang w:val="en-GB" w:bidi="ar-SA"/>
              </w:rPr>
              <w:t>、</w:t>
            </w:r>
            <w:r>
              <w:rPr>
                <w:rFonts w:hint="eastAsia" w:ascii="Times New Roman" w:hAnsi="Times New Roman" w:cs="Times New Roman"/>
                <w:b/>
                <w:bCs/>
                <w:color w:val="auto"/>
                <w:kern w:val="2"/>
                <w:sz w:val="24"/>
                <w:szCs w:val="24"/>
                <w:lang w:val="en-GB" w:bidi="ar-SA"/>
              </w:rPr>
              <w:t>“三本账”分析</w:t>
            </w:r>
          </w:p>
          <w:p w14:paraId="2EC93F66">
            <w:pPr>
              <w:topLinePunct/>
              <w:autoSpaceDE/>
              <w:autoSpaceDN/>
              <w:spacing w:line="520" w:lineRule="exact"/>
              <w:ind w:firstLine="480" w:firstLineChars="200"/>
              <w:jc w:val="both"/>
              <w:rPr>
                <w:rFonts w:hint="eastAsia" w:ascii="Times New Roman" w:hAnsi="Times New Roman" w:cs="Times New Roman"/>
                <w:color w:val="auto"/>
                <w:kern w:val="2"/>
                <w:sz w:val="24"/>
                <w:szCs w:val="24"/>
                <w:lang w:val="en-US" w:eastAsia="zh-CN" w:bidi="ar-SA"/>
              </w:rPr>
            </w:pPr>
            <w:r>
              <w:rPr>
                <w:rFonts w:hint="eastAsia" w:ascii="Times New Roman" w:hAnsi="Times New Roman" w:cs="Times New Roman"/>
                <w:color w:val="auto"/>
                <w:kern w:val="2"/>
                <w:sz w:val="24"/>
                <w:szCs w:val="24"/>
                <w:lang w:val="en-US" w:eastAsia="zh-CN" w:bidi="ar-SA"/>
              </w:rPr>
              <w:t>本项目建设前、后污染物排放情况汇总见表4-8。</w:t>
            </w:r>
          </w:p>
          <w:p w14:paraId="037B190A">
            <w:pPr>
              <w:spacing w:line="520" w:lineRule="exact"/>
              <w:jc w:val="center"/>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表4-</w:t>
            </w:r>
            <w:r>
              <w:rPr>
                <w:rFonts w:hint="eastAsia" w:ascii="Times New Roman" w:hAnsi="Times New Roman" w:cs="Times New Roman"/>
                <w:b/>
                <w:bCs/>
                <w:color w:val="auto"/>
                <w:sz w:val="24"/>
                <w:szCs w:val="24"/>
                <w:lang w:val="en-US" w:eastAsia="zh-CN"/>
              </w:rPr>
              <w:t>8</w:t>
            </w:r>
            <w:r>
              <w:rPr>
                <w:rFonts w:ascii="Times New Roman" w:hAnsi="Times New Roman" w:cs="Times New Roman"/>
                <w:b/>
                <w:bCs/>
                <w:color w:val="auto"/>
                <w:sz w:val="24"/>
                <w:szCs w:val="24"/>
                <w:lang w:val="en-US"/>
              </w:rPr>
              <w:t xml:space="preserve">   </w:t>
            </w:r>
            <w:r>
              <w:rPr>
                <w:rFonts w:hint="eastAsia" w:ascii="Times New Roman" w:hAnsi="Times New Roman" w:cs="Times New Roman"/>
                <w:b/>
                <w:bCs/>
                <w:color w:val="auto"/>
                <w:sz w:val="24"/>
                <w:szCs w:val="24"/>
                <w:lang w:val="en-US"/>
              </w:rPr>
              <w:t>本项目建设前、后污染物排放情况对比一览表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7"/>
              <w:gridCol w:w="955"/>
              <w:gridCol w:w="1817"/>
              <w:gridCol w:w="1891"/>
              <w:gridCol w:w="1789"/>
              <w:gridCol w:w="1328"/>
            </w:tblGrid>
            <w:tr w14:paraId="2616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890" w:type="pct"/>
                  <w:shd w:val="clear" w:color="auto" w:fill="auto"/>
                  <w:noWrap/>
                  <w:vAlign w:val="center"/>
                </w:tcPr>
                <w:p w14:paraId="629E2504">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类别</w:t>
                  </w:r>
                </w:p>
              </w:tc>
              <w:tc>
                <w:tcPr>
                  <w:tcW w:w="504" w:type="pct"/>
                  <w:shd w:val="clear" w:color="auto" w:fill="auto"/>
                  <w:vAlign w:val="center"/>
                </w:tcPr>
                <w:p w14:paraId="4BB2D961">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污染物名称</w:t>
                  </w:r>
                </w:p>
              </w:tc>
              <w:tc>
                <w:tcPr>
                  <w:tcW w:w="959" w:type="pct"/>
                  <w:shd w:val="clear" w:color="auto" w:fill="auto"/>
                  <w:vAlign w:val="center"/>
                </w:tcPr>
                <w:p w14:paraId="338F7425">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zh-CN"/>
                    </w:rPr>
                    <w:t>现有项目排放量</w:t>
                  </w:r>
                  <w:r>
                    <w:rPr>
                      <w:rFonts w:hint="eastAsia" w:ascii="Times New Roman" w:hAnsi="Times New Roman" w:eastAsia="宋体" w:cs="Times New Roman"/>
                      <w:color w:val="auto"/>
                      <w:kern w:val="0"/>
                      <w:sz w:val="21"/>
                      <w:szCs w:val="21"/>
                      <w:lang w:val="en-US"/>
                    </w:rPr>
                    <w:t>或排放浓度</w:t>
                  </w:r>
                </w:p>
              </w:tc>
              <w:tc>
                <w:tcPr>
                  <w:tcW w:w="998" w:type="pct"/>
                  <w:shd w:val="clear" w:color="auto" w:fill="auto"/>
                  <w:vAlign w:val="center"/>
                </w:tcPr>
                <w:p w14:paraId="742607FD">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本项目排放量</w:t>
                  </w:r>
                </w:p>
              </w:tc>
              <w:tc>
                <w:tcPr>
                  <w:tcW w:w="944" w:type="pct"/>
                  <w:shd w:val="clear" w:color="auto" w:fill="auto"/>
                  <w:vAlign w:val="center"/>
                </w:tcPr>
                <w:p w14:paraId="3B5E1ECC">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本项目建成后全厂总排放量或排放浓度</w:t>
                  </w:r>
                </w:p>
              </w:tc>
              <w:tc>
                <w:tcPr>
                  <w:tcW w:w="701" w:type="pct"/>
                  <w:shd w:val="clear" w:color="auto" w:fill="auto"/>
                  <w:vAlign w:val="center"/>
                </w:tcPr>
                <w:p w14:paraId="5B52FF4B">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增减量</w:t>
                  </w:r>
                </w:p>
              </w:tc>
            </w:tr>
            <w:tr w14:paraId="718F8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90" w:type="pct"/>
                  <w:shd w:val="clear" w:color="auto" w:fill="auto"/>
                  <w:noWrap/>
                  <w:vAlign w:val="center"/>
                </w:tcPr>
                <w:p w14:paraId="32ECA166">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废气（无组织）</w:t>
                  </w:r>
                </w:p>
              </w:tc>
              <w:tc>
                <w:tcPr>
                  <w:tcW w:w="504" w:type="pct"/>
                  <w:shd w:val="clear" w:color="auto" w:fill="auto"/>
                  <w:vAlign w:val="center"/>
                </w:tcPr>
                <w:p w14:paraId="73B06EBA">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颗粒物</w:t>
                  </w:r>
                </w:p>
              </w:tc>
              <w:tc>
                <w:tcPr>
                  <w:tcW w:w="959" w:type="pct"/>
                  <w:shd w:val="clear" w:color="auto" w:fill="auto"/>
                  <w:vAlign w:val="center"/>
                </w:tcPr>
                <w:p w14:paraId="6BB5AAEA">
                  <w:pPr>
                    <w:spacing w:line="360" w:lineRule="exact"/>
                    <w:contextualSpacing/>
                    <w:jc w:val="center"/>
                    <w:rPr>
                      <w:rFonts w:hint="eastAsia"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lang w:val="en-US" w:eastAsia="zh-CN"/>
                    </w:rPr>
                    <w:t>17.768t/a（</w:t>
                  </w:r>
                  <w:r>
                    <w:rPr>
                      <w:rFonts w:hint="default" w:ascii="Times New Roman" w:hAnsi="Times New Roman" w:eastAsia="宋体" w:cs="Times New Roman"/>
                      <w:color w:val="auto"/>
                      <w:kern w:val="0"/>
                      <w:sz w:val="21"/>
                      <w:szCs w:val="21"/>
                      <w:lang w:val="en-US"/>
                    </w:rPr>
                    <w:t>&lt;1mg/m</w:t>
                  </w:r>
                  <w:r>
                    <w:rPr>
                      <w:rFonts w:hint="default" w:ascii="Times New Roman" w:hAnsi="Times New Roman" w:eastAsia="宋体" w:cs="Times New Roman"/>
                      <w:color w:val="auto"/>
                      <w:kern w:val="0"/>
                      <w:sz w:val="21"/>
                      <w:szCs w:val="21"/>
                      <w:vertAlign w:val="superscript"/>
                      <w:lang w:val="en-US"/>
                    </w:rPr>
                    <w:t>3</w:t>
                  </w:r>
                  <w:r>
                    <w:rPr>
                      <w:rFonts w:hint="eastAsia" w:ascii="Times New Roman" w:hAnsi="Times New Roman" w:cs="Times New Roman"/>
                      <w:color w:val="auto"/>
                      <w:kern w:val="0"/>
                      <w:sz w:val="21"/>
                      <w:szCs w:val="21"/>
                      <w:vertAlign w:val="baseline"/>
                      <w:lang w:val="en-US" w:eastAsia="zh-CN"/>
                    </w:rPr>
                    <w:t>）</w:t>
                  </w:r>
                </w:p>
              </w:tc>
              <w:tc>
                <w:tcPr>
                  <w:tcW w:w="998" w:type="pct"/>
                  <w:shd w:val="clear" w:color="auto" w:fill="auto"/>
                  <w:vAlign w:val="center"/>
                </w:tcPr>
                <w:p w14:paraId="3486EBD6">
                  <w:pPr>
                    <w:spacing w:line="360" w:lineRule="exact"/>
                    <w:contextualSpacing/>
                    <w:jc w:val="center"/>
                    <w:rPr>
                      <w:rFonts w:hint="eastAsia" w:ascii="Times New Roman" w:hAnsi="Times New Roman" w:eastAsia="宋体" w:cs="Times New Roman"/>
                      <w:color w:val="auto"/>
                      <w:kern w:val="0"/>
                      <w:sz w:val="21"/>
                      <w:szCs w:val="21"/>
                      <w:vertAlign w:val="baseline"/>
                      <w:lang w:val="en-US" w:eastAsia="zh-CN"/>
                    </w:rPr>
                  </w:pPr>
                  <w:r>
                    <w:rPr>
                      <w:rFonts w:hint="eastAsia" w:ascii="Times New Roman" w:hAnsi="Times New Roman" w:cs="Times New Roman"/>
                      <w:color w:val="auto"/>
                      <w:kern w:val="0"/>
                      <w:sz w:val="21"/>
                      <w:szCs w:val="21"/>
                      <w:lang w:val="en-US" w:eastAsia="zh-CN"/>
                    </w:rPr>
                    <w:t>7.588t/a（</w:t>
                  </w:r>
                  <w:r>
                    <w:rPr>
                      <w:rFonts w:hint="default" w:ascii="Times New Roman" w:hAnsi="Times New Roman" w:eastAsia="宋体" w:cs="Times New Roman"/>
                      <w:color w:val="auto"/>
                      <w:kern w:val="0"/>
                      <w:sz w:val="21"/>
                      <w:szCs w:val="21"/>
                      <w:lang w:val="en-US"/>
                    </w:rPr>
                    <w:t>&lt;1mg/m</w:t>
                  </w:r>
                  <w:r>
                    <w:rPr>
                      <w:rFonts w:hint="default" w:ascii="Times New Roman" w:hAnsi="Times New Roman" w:eastAsia="宋体" w:cs="Times New Roman"/>
                      <w:color w:val="auto"/>
                      <w:kern w:val="0"/>
                      <w:sz w:val="21"/>
                      <w:szCs w:val="21"/>
                      <w:vertAlign w:val="superscript"/>
                      <w:lang w:val="en-US"/>
                    </w:rPr>
                    <w:t>3</w:t>
                  </w:r>
                  <w:r>
                    <w:rPr>
                      <w:rFonts w:hint="eastAsia" w:ascii="Times New Roman" w:hAnsi="Times New Roman" w:cs="Times New Roman"/>
                      <w:color w:val="auto"/>
                      <w:kern w:val="0"/>
                      <w:sz w:val="21"/>
                      <w:szCs w:val="21"/>
                      <w:vertAlign w:val="baseline"/>
                      <w:lang w:val="en-US" w:eastAsia="zh-CN"/>
                    </w:rPr>
                    <w:t>）</w:t>
                  </w:r>
                </w:p>
              </w:tc>
              <w:tc>
                <w:tcPr>
                  <w:tcW w:w="944" w:type="pct"/>
                  <w:shd w:val="clear" w:color="auto" w:fill="auto"/>
                  <w:vAlign w:val="center"/>
                </w:tcPr>
                <w:p w14:paraId="6343736C">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cs="Times New Roman"/>
                      <w:color w:val="auto"/>
                      <w:kern w:val="0"/>
                      <w:sz w:val="21"/>
                      <w:szCs w:val="21"/>
                      <w:lang w:val="en-US" w:eastAsia="zh-CN"/>
                    </w:rPr>
                    <w:t>7.588t/a（</w:t>
                  </w:r>
                  <w:r>
                    <w:rPr>
                      <w:rFonts w:hint="default" w:ascii="Times New Roman" w:hAnsi="Times New Roman" w:eastAsia="宋体" w:cs="Times New Roman"/>
                      <w:color w:val="auto"/>
                      <w:kern w:val="0"/>
                      <w:sz w:val="21"/>
                      <w:szCs w:val="21"/>
                      <w:lang w:val="en-US"/>
                    </w:rPr>
                    <w:t>&lt;1mg/m</w:t>
                  </w:r>
                  <w:r>
                    <w:rPr>
                      <w:rFonts w:hint="default" w:ascii="Times New Roman" w:hAnsi="Times New Roman" w:eastAsia="宋体" w:cs="Times New Roman"/>
                      <w:color w:val="auto"/>
                      <w:kern w:val="0"/>
                      <w:sz w:val="21"/>
                      <w:szCs w:val="21"/>
                      <w:vertAlign w:val="superscript"/>
                      <w:lang w:val="en-US"/>
                    </w:rPr>
                    <w:t>3</w:t>
                  </w:r>
                  <w:r>
                    <w:rPr>
                      <w:rFonts w:hint="eastAsia" w:ascii="Times New Roman" w:hAnsi="Times New Roman" w:cs="Times New Roman"/>
                      <w:color w:val="auto"/>
                      <w:kern w:val="0"/>
                      <w:sz w:val="21"/>
                      <w:szCs w:val="21"/>
                      <w:vertAlign w:val="baseline"/>
                      <w:lang w:val="en-US" w:eastAsia="zh-CN"/>
                    </w:rPr>
                    <w:t>）</w:t>
                  </w:r>
                </w:p>
              </w:tc>
              <w:tc>
                <w:tcPr>
                  <w:tcW w:w="701" w:type="pct"/>
                  <w:shd w:val="clear" w:color="auto" w:fill="auto"/>
                  <w:vAlign w:val="center"/>
                </w:tcPr>
                <w:p w14:paraId="746581D9">
                  <w:pPr>
                    <w:spacing w:line="360" w:lineRule="exact"/>
                    <w:contextualSpacing/>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-10.18t/a（</w:t>
                  </w:r>
                  <w:r>
                    <w:rPr>
                      <w:rFonts w:hint="default" w:ascii="Times New Roman" w:hAnsi="Times New Roman" w:eastAsia="宋体" w:cs="Times New Roman"/>
                      <w:color w:val="auto"/>
                      <w:kern w:val="0"/>
                      <w:sz w:val="21"/>
                      <w:szCs w:val="21"/>
                      <w:lang w:val="en-US"/>
                    </w:rPr>
                    <w:t>/</w:t>
                  </w:r>
                  <w:r>
                    <w:rPr>
                      <w:rFonts w:hint="eastAsia" w:ascii="Times New Roman" w:hAnsi="Times New Roman" w:cs="Times New Roman"/>
                      <w:color w:val="auto"/>
                      <w:kern w:val="0"/>
                      <w:sz w:val="21"/>
                      <w:szCs w:val="21"/>
                      <w:lang w:val="en-US" w:eastAsia="zh-CN"/>
                    </w:rPr>
                    <w:t>）</w:t>
                  </w:r>
                </w:p>
              </w:tc>
            </w:tr>
            <w:tr w14:paraId="5C38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90" w:type="pct"/>
                  <w:vMerge w:val="restart"/>
                  <w:shd w:val="clear" w:color="auto" w:fill="auto"/>
                  <w:noWrap/>
                  <w:vAlign w:val="center"/>
                </w:tcPr>
                <w:p w14:paraId="314C1CAF">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噪声</w:t>
                  </w:r>
                </w:p>
              </w:tc>
              <w:tc>
                <w:tcPr>
                  <w:tcW w:w="504" w:type="pct"/>
                  <w:vMerge w:val="restart"/>
                  <w:shd w:val="clear" w:color="auto" w:fill="auto"/>
                  <w:vAlign w:val="center"/>
                </w:tcPr>
                <w:p w14:paraId="1AC17049">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机械设备噪声</w:t>
                  </w:r>
                </w:p>
              </w:tc>
              <w:tc>
                <w:tcPr>
                  <w:tcW w:w="959" w:type="pct"/>
                  <w:shd w:val="clear" w:color="auto" w:fill="auto"/>
                  <w:vAlign w:val="center"/>
                </w:tcPr>
                <w:p w14:paraId="3C4ADCB2">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昼间</w:t>
                  </w:r>
                  <w:r>
                    <w:rPr>
                      <w:rFonts w:hint="default" w:ascii="Times New Roman" w:hAnsi="Times New Roman" w:eastAsia="宋体" w:cs="Times New Roman"/>
                      <w:color w:val="auto"/>
                      <w:kern w:val="0"/>
                      <w:sz w:val="21"/>
                      <w:szCs w:val="21"/>
                      <w:lang w:val="en-US"/>
                    </w:rPr>
                    <w:t>&lt;60 dB</w:t>
                  </w:r>
                  <w:r>
                    <w:rPr>
                      <w:rFonts w:hint="eastAsia" w:ascii="Times New Roman" w:hAnsi="Times New Roman" w:eastAsia="宋体" w:cs="Times New Roman"/>
                      <w:color w:val="auto"/>
                      <w:kern w:val="0"/>
                      <w:sz w:val="21"/>
                      <w:szCs w:val="21"/>
                      <w:lang w:val="en-US"/>
                    </w:rPr>
                    <w:t>（</w:t>
                  </w:r>
                  <w:r>
                    <w:rPr>
                      <w:rFonts w:hint="default" w:ascii="Times New Roman" w:hAnsi="Times New Roman" w:eastAsia="宋体" w:cs="Times New Roman"/>
                      <w:color w:val="auto"/>
                      <w:kern w:val="0"/>
                      <w:sz w:val="21"/>
                      <w:szCs w:val="21"/>
                      <w:lang w:val="en-US"/>
                    </w:rPr>
                    <w:t>A</w:t>
                  </w:r>
                  <w:r>
                    <w:rPr>
                      <w:rFonts w:hint="eastAsia" w:ascii="Times New Roman" w:hAnsi="Times New Roman" w:eastAsia="宋体" w:cs="Times New Roman"/>
                      <w:color w:val="auto"/>
                      <w:kern w:val="0"/>
                      <w:sz w:val="21"/>
                      <w:szCs w:val="21"/>
                      <w:lang w:val="en-US"/>
                    </w:rPr>
                    <w:t>）</w:t>
                  </w:r>
                </w:p>
              </w:tc>
              <w:tc>
                <w:tcPr>
                  <w:tcW w:w="998" w:type="pct"/>
                  <w:shd w:val="clear" w:color="auto" w:fill="auto"/>
                  <w:vAlign w:val="center"/>
                </w:tcPr>
                <w:p w14:paraId="518CDDE9">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昼间</w:t>
                  </w:r>
                  <w:r>
                    <w:rPr>
                      <w:rFonts w:hint="default" w:ascii="Times New Roman" w:hAnsi="Times New Roman" w:eastAsia="宋体" w:cs="Times New Roman"/>
                      <w:color w:val="auto"/>
                      <w:kern w:val="0"/>
                      <w:sz w:val="21"/>
                      <w:szCs w:val="21"/>
                      <w:lang w:val="en-US"/>
                    </w:rPr>
                    <w:t>&lt;60 dB</w:t>
                  </w:r>
                  <w:r>
                    <w:rPr>
                      <w:rFonts w:hint="eastAsia" w:ascii="Times New Roman" w:hAnsi="Times New Roman" w:eastAsia="宋体" w:cs="Times New Roman"/>
                      <w:color w:val="auto"/>
                      <w:kern w:val="0"/>
                      <w:sz w:val="21"/>
                      <w:szCs w:val="21"/>
                      <w:lang w:val="en-US"/>
                    </w:rPr>
                    <w:t>（</w:t>
                  </w:r>
                  <w:r>
                    <w:rPr>
                      <w:rFonts w:hint="default" w:ascii="Times New Roman" w:hAnsi="Times New Roman" w:eastAsia="宋体" w:cs="Times New Roman"/>
                      <w:color w:val="auto"/>
                      <w:kern w:val="0"/>
                      <w:sz w:val="21"/>
                      <w:szCs w:val="21"/>
                      <w:lang w:val="en-US"/>
                    </w:rPr>
                    <w:t>A</w:t>
                  </w:r>
                  <w:r>
                    <w:rPr>
                      <w:rFonts w:hint="eastAsia" w:ascii="Times New Roman" w:hAnsi="Times New Roman" w:eastAsia="宋体" w:cs="Times New Roman"/>
                      <w:color w:val="auto"/>
                      <w:kern w:val="0"/>
                      <w:sz w:val="21"/>
                      <w:szCs w:val="21"/>
                      <w:lang w:val="en-US"/>
                    </w:rPr>
                    <w:t>）</w:t>
                  </w:r>
                </w:p>
              </w:tc>
              <w:tc>
                <w:tcPr>
                  <w:tcW w:w="944" w:type="pct"/>
                  <w:shd w:val="clear" w:color="auto" w:fill="auto"/>
                  <w:vAlign w:val="center"/>
                </w:tcPr>
                <w:p w14:paraId="0783723A">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昼间</w:t>
                  </w:r>
                  <w:r>
                    <w:rPr>
                      <w:rFonts w:hint="default" w:ascii="Times New Roman" w:hAnsi="Times New Roman" w:eastAsia="宋体" w:cs="Times New Roman"/>
                      <w:color w:val="auto"/>
                      <w:kern w:val="0"/>
                      <w:sz w:val="21"/>
                      <w:szCs w:val="21"/>
                      <w:lang w:val="en-US"/>
                    </w:rPr>
                    <w:t>&lt;60 dB</w:t>
                  </w:r>
                  <w:r>
                    <w:rPr>
                      <w:rFonts w:hint="eastAsia" w:ascii="Times New Roman" w:hAnsi="Times New Roman" w:eastAsia="宋体" w:cs="Times New Roman"/>
                      <w:color w:val="auto"/>
                      <w:kern w:val="0"/>
                      <w:sz w:val="21"/>
                      <w:szCs w:val="21"/>
                      <w:lang w:val="en-US"/>
                    </w:rPr>
                    <w:t>（</w:t>
                  </w:r>
                  <w:r>
                    <w:rPr>
                      <w:rFonts w:hint="default" w:ascii="Times New Roman" w:hAnsi="Times New Roman" w:eastAsia="宋体" w:cs="Times New Roman"/>
                      <w:color w:val="auto"/>
                      <w:kern w:val="0"/>
                      <w:sz w:val="21"/>
                      <w:szCs w:val="21"/>
                      <w:lang w:val="en-US"/>
                    </w:rPr>
                    <w:t>A</w:t>
                  </w:r>
                  <w:r>
                    <w:rPr>
                      <w:rFonts w:hint="eastAsia" w:ascii="Times New Roman" w:hAnsi="Times New Roman" w:eastAsia="宋体" w:cs="Times New Roman"/>
                      <w:color w:val="auto"/>
                      <w:kern w:val="0"/>
                      <w:sz w:val="21"/>
                      <w:szCs w:val="21"/>
                      <w:lang w:val="en-US"/>
                    </w:rPr>
                    <w:t>）</w:t>
                  </w:r>
                </w:p>
              </w:tc>
              <w:tc>
                <w:tcPr>
                  <w:tcW w:w="701" w:type="pct"/>
                  <w:shd w:val="clear" w:color="auto" w:fill="auto"/>
                  <w:vAlign w:val="center"/>
                </w:tcPr>
                <w:p w14:paraId="7760A262">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昼间</w:t>
                  </w:r>
                  <w:r>
                    <w:rPr>
                      <w:rFonts w:hint="default" w:ascii="Times New Roman" w:hAnsi="Times New Roman" w:eastAsia="宋体" w:cs="Times New Roman"/>
                      <w:color w:val="auto"/>
                      <w:kern w:val="0"/>
                      <w:sz w:val="21"/>
                      <w:szCs w:val="21"/>
                      <w:lang w:val="en-US"/>
                    </w:rPr>
                    <w:t>&lt;60 dB</w:t>
                  </w:r>
                  <w:r>
                    <w:rPr>
                      <w:rFonts w:hint="eastAsia" w:ascii="Times New Roman" w:hAnsi="Times New Roman" w:eastAsia="宋体" w:cs="Times New Roman"/>
                      <w:color w:val="auto"/>
                      <w:kern w:val="0"/>
                      <w:sz w:val="21"/>
                      <w:szCs w:val="21"/>
                      <w:lang w:val="en-US"/>
                    </w:rPr>
                    <w:t>（</w:t>
                  </w:r>
                  <w:r>
                    <w:rPr>
                      <w:rFonts w:hint="default" w:ascii="Times New Roman" w:hAnsi="Times New Roman" w:eastAsia="宋体" w:cs="Times New Roman"/>
                      <w:color w:val="auto"/>
                      <w:kern w:val="0"/>
                      <w:sz w:val="21"/>
                      <w:szCs w:val="21"/>
                      <w:lang w:val="en-US"/>
                    </w:rPr>
                    <w:t>A</w:t>
                  </w:r>
                  <w:r>
                    <w:rPr>
                      <w:rFonts w:hint="eastAsia" w:ascii="Times New Roman" w:hAnsi="Times New Roman" w:eastAsia="宋体" w:cs="Times New Roman"/>
                      <w:color w:val="auto"/>
                      <w:kern w:val="0"/>
                      <w:sz w:val="21"/>
                      <w:szCs w:val="21"/>
                      <w:lang w:val="en-US"/>
                    </w:rPr>
                    <w:t>）</w:t>
                  </w:r>
                </w:p>
              </w:tc>
            </w:tr>
            <w:tr w14:paraId="68AF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0" w:type="pct"/>
                  <w:vMerge w:val="continue"/>
                  <w:shd w:val="clear" w:color="auto" w:fill="auto"/>
                  <w:noWrap/>
                  <w:vAlign w:val="center"/>
                </w:tcPr>
                <w:p w14:paraId="6B91DA92">
                  <w:pPr>
                    <w:spacing w:line="360" w:lineRule="exact"/>
                    <w:contextualSpacing/>
                    <w:jc w:val="center"/>
                    <w:rPr>
                      <w:rFonts w:hint="default" w:ascii="Times New Roman" w:hAnsi="Times New Roman" w:eastAsia="宋体" w:cs="Times New Roman"/>
                      <w:color w:val="auto"/>
                      <w:kern w:val="0"/>
                      <w:sz w:val="21"/>
                      <w:szCs w:val="21"/>
                      <w:lang w:val="en-US"/>
                    </w:rPr>
                  </w:pPr>
                </w:p>
              </w:tc>
              <w:tc>
                <w:tcPr>
                  <w:tcW w:w="504" w:type="pct"/>
                  <w:vMerge w:val="continue"/>
                  <w:shd w:val="clear" w:color="auto" w:fill="auto"/>
                  <w:vAlign w:val="center"/>
                </w:tcPr>
                <w:p w14:paraId="73D83340">
                  <w:pPr>
                    <w:spacing w:line="360" w:lineRule="exact"/>
                    <w:contextualSpacing/>
                    <w:jc w:val="center"/>
                    <w:rPr>
                      <w:rFonts w:hint="default" w:ascii="Times New Roman" w:hAnsi="Times New Roman" w:eastAsia="宋体" w:cs="Times New Roman"/>
                      <w:color w:val="auto"/>
                      <w:kern w:val="0"/>
                      <w:sz w:val="21"/>
                      <w:szCs w:val="21"/>
                      <w:lang w:val="en-US"/>
                    </w:rPr>
                  </w:pPr>
                </w:p>
              </w:tc>
              <w:tc>
                <w:tcPr>
                  <w:tcW w:w="959" w:type="pct"/>
                  <w:shd w:val="clear" w:color="auto" w:fill="auto"/>
                  <w:vAlign w:val="center"/>
                </w:tcPr>
                <w:p w14:paraId="7D801A5F">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夜间</w:t>
                  </w:r>
                  <w:r>
                    <w:rPr>
                      <w:rFonts w:hint="default" w:ascii="Times New Roman" w:hAnsi="Times New Roman" w:eastAsia="宋体" w:cs="Times New Roman"/>
                      <w:color w:val="auto"/>
                      <w:kern w:val="0"/>
                      <w:sz w:val="21"/>
                      <w:szCs w:val="21"/>
                      <w:lang w:val="en-US"/>
                    </w:rPr>
                    <w:t>&lt;50 dB</w:t>
                  </w:r>
                  <w:r>
                    <w:rPr>
                      <w:rFonts w:hint="eastAsia" w:ascii="Times New Roman" w:hAnsi="Times New Roman" w:eastAsia="宋体" w:cs="Times New Roman"/>
                      <w:color w:val="auto"/>
                      <w:kern w:val="0"/>
                      <w:sz w:val="21"/>
                      <w:szCs w:val="21"/>
                      <w:lang w:val="en-US"/>
                    </w:rPr>
                    <w:t>（</w:t>
                  </w:r>
                  <w:r>
                    <w:rPr>
                      <w:rFonts w:hint="default" w:ascii="Times New Roman" w:hAnsi="Times New Roman" w:eastAsia="宋体" w:cs="Times New Roman"/>
                      <w:color w:val="auto"/>
                      <w:kern w:val="0"/>
                      <w:sz w:val="21"/>
                      <w:szCs w:val="21"/>
                      <w:lang w:val="en-US"/>
                    </w:rPr>
                    <w:t>A</w:t>
                  </w:r>
                  <w:r>
                    <w:rPr>
                      <w:rFonts w:hint="eastAsia" w:ascii="Times New Roman" w:hAnsi="Times New Roman" w:eastAsia="宋体" w:cs="Times New Roman"/>
                      <w:color w:val="auto"/>
                      <w:kern w:val="0"/>
                      <w:sz w:val="21"/>
                      <w:szCs w:val="21"/>
                      <w:lang w:val="en-US"/>
                    </w:rPr>
                    <w:t>）</w:t>
                  </w:r>
                </w:p>
              </w:tc>
              <w:tc>
                <w:tcPr>
                  <w:tcW w:w="998" w:type="pct"/>
                  <w:shd w:val="clear" w:color="auto" w:fill="auto"/>
                  <w:vAlign w:val="center"/>
                </w:tcPr>
                <w:p w14:paraId="23503FB7">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夜间</w:t>
                  </w:r>
                  <w:r>
                    <w:rPr>
                      <w:rFonts w:hint="default" w:ascii="Times New Roman" w:hAnsi="Times New Roman" w:eastAsia="宋体" w:cs="Times New Roman"/>
                      <w:color w:val="auto"/>
                      <w:kern w:val="0"/>
                      <w:sz w:val="21"/>
                      <w:szCs w:val="21"/>
                      <w:lang w:val="en-US"/>
                    </w:rPr>
                    <w:t>&lt;50 dB</w:t>
                  </w:r>
                  <w:r>
                    <w:rPr>
                      <w:rFonts w:hint="eastAsia" w:ascii="Times New Roman" w:hAnsi="Times New Roman" w:eastAsia="宋体" w:cs="Times New Roman"/>
                      <w:color w:val="auto"/>
                      <w:kern w:val="0"/>
                      <w:sz w:val="21"/>
                      <w:szCs w:val="21"/>
                      <w:lang w:val="en-US"/>
                    </w:rPr>
                    <w:t>（</w:t>
                  </w:r>
                  <w:r>
                    <w:rPr>
                      <w:rFonts w:hint="default" w:ascii="Times New Roman" w:hAnsi="Times New Roman" w:eastAsia="宋体" w:cs="Times New Roman"/>
                      <w:color w:val="auto"/>
                      <w:kern w:val="0"/>
                      <w:sz w:val="21"/>
                      <w:szCs w:val="21"/>
                      <w:lang w:val="en-US"/>
                    </w:rPr>
                    <w:t>A</w:t>
                  </w:r>
                  <w:r>
                    <w:rPr>
                      <w:rFonts w:hint="eastAsia" w:ascii="Times New Roman" w:hAnsi="Times New Roman" w:eastAsia="宋体" w:cs="Times New Roman"/>
                      <w:color w:val="auto"/>
                      <w:kern w:val="0"/>
                      <w:sz w:val="21"/>
                      <w:szCs w:val="21"/>
                      <w:lang w:val="en-US"/>
                    </w:rPr>
                    <w:t>）</w:t>
                  </w:r>
                </w:p>
              </w:tc>
              <w:tc>
                <w:tcPr>
                  <w:tcW w:w="944" w:type="pct"/>
                  <w:shd w:val="clear" w:color="auto" w:fill="auto"/>
                  <w:vAlign w:val="center"/>
                </w:tcPr>
                <w:p w14:paraId="2E7584C3">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夜间</w:t>
                  </w:r>
                  <w:r>
                    <w:rPr>
                      <w:rFonts w:hint="default" w:ascii="Times New Roman" w:hAnsi="Times New Roman" w:eastAsia="宋体" w:cs="Times New Roman"/>
                      <w:color w:val="auto"/>
                      <w:kern w:val="0"/>
                      <w:sz w:val="21"/>
                      <w:szCs w:val="21"/>
                      <w:lang w:val="en-US"/>
                    </w:rPr>
                    <w:t>&lt;50 dB</w:t>
                  </w:r>
                  <w:r>
                    <w:rPr>
                      <w:rFonts w:hint="eastAsia" w:ascii="Times New Roman" w:hAnsi="Times New Roman" w:eastAsia="宋体" w:cs="Times New Roman"/>
                      <w:color w:val="auto"/>
                      <w:kern w:val="0"/>
                      <w:sz w:val="21"/>
                      <w:szCs w:val="21"/>
                      <w:lang w:val="en-US"/>
                    </w:rPr>
                    <w:t>（</w:t>
                  </w:r>
                  <w:r>
                    <w:rPr>
                      <w:rFonts w:hint="default" w:ascii="Times New Roman" w:hAnsi="Times New Roman" w:eastAsia="宋体" w:cs="Times New Roman"/>
                      <w:color w:val="auto"/>
                      <w:kern w:val="0"/>
                      <w:sz w:val="21"/>
                      <w:szCs w:val="21"/>
                      <w:lang w:val="en-US"/>
                    </w:rPr>
                    <w:t>A</w:t>
                  </w:r>
                  <w:r>
                    <w:rPr>
                      <w:rFonts w:hint="eastAsia" w:ascii="Times New Roman" w:hAnsi="Times New Roman" w:eastAsia="宋体" w:cs="Times New Roman"/>
                      <w:color w:val="auto"/>
                      <w:kern w:val="0"/>
                      <w:sz w:val="21"/>
                      <w:szCs w:val="21"/>
                      <w:lang w:val="en-US"/>
                    </w:rPr>
                    <w:t>）</w:t>
                  </w:r>
                </w:p>
              </w:tc>
              <w:tc>
                <w:tcPr>
                  <w:tcW w:w="701" w:type="pct"/>
                  <w:shd w:val="clear" w:color="auto" w:fill="auto"/>
                  <w:vAlign w:val="center"/>
                </w:tcPr>
                <w:p w14:paraId="0ACF8F96">
                  <w:pPr>
                    <w:spacing w:line="360" w:lineRule="exact"/>
                    <w:contextualSpacing/>
                    <w:jc w:val="center"/>
                    <w:rPr>
                      <w:rFonts w:hint="default"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夜间</w:t>
                  </w:r>
                  <w:r>
                    <w:rPr>
                      <w:rFonts w:hint="default" w:ascii="Times New Roman" w:hAnsi="Times New Roman" w:eastAsia="宋体" w:cs="Times New Roman"/>
                      <w:color w:val="auto"/>
                      <w:kern w:val="0"/>
                      <w:sz w:val="21"/>
                      <w:szCs w:val="21"/>
                      <w:lang w:val="en-US"/>
                    </w:rPr>
                    <w:t>&lt;50 dB</w:t>
                  </w:r>
                  <w:r>
                    <w:rPr>
                      <w:rFonts w:hint="eastAsia" w:ascii="Times New Roman" w:hAnsi="Times New Roman" w:eastAsia="宋体" w:cs="Times New Roman"/>
                      <w:color w:val="auto"/>
                      <w:kern w:val="0"/>
                      <w:sz w:val="21"/>
                      <w:szCs w:val="21"/>
                      <w:lang w:val="en-US"/>
                    </w:rPr>
                    <w:t>（</w:t>
                  </w:r>
                  <w:r>
                    <w:rPr>
                      <w:rFonts w:hint="default" w:ascii="Times New Roman" w:hAnsi="Times New Roman" w:eastAsia="宋体" w:cs="Times New Roman"/>
                      <w:color w:val="auto"/>
                      <w:kern w:val="0"/>
                      <w:sz w:val="21"/>
                      <w:szCs w:val="21"/>
                      <w:lang w:val="en-US"/>
                    </w:rPr>
                    <w:t>A</w:t>
                  </w:r>
                  <w:r>
                    <w:rPr>
                      <w:rFonts w:hint="eastAsia" w:ascii="Times New Roman" w:hAnsi="Times New Roman" w:eastAsia="宋体" w:cs="Times New Roman"/>
                      <w:color w:val="auto"/>
                      <w:kern w:val="0"/>
                      <w:sz w:val="21"/>
                      <w:szCs w:val="21"/>
                      <w:lang w:val="en-US"/>
                    </w:rPr>
                    <w:t>）</w:t>
                  </w:r>
                </w:p>
              </w:tc>
            </w:tr>
          </w:tbl>
          <w:p w14:paraId="12E9E2A0">
            <w:pPr>
              <w:topLinePunct/>
              <w:autoSpaceDE/>
              <w:autoSpaceDN/>
              <w:spacing w:line="520" w:lineRule="exact"/>
              <w:ind w:firstLine="482" w:firstLineChars="200"/>
              <w:jc w:val="both"/>
              <w:rPr>
                <w:rFonts w:ascii="Times New Roman" w:hAnsi="Times New Roman" w:cs="Times New Roman"/>
                <w:b/>
                <w:bCs/>
                <w:color w:val="auto"/>
                <w:kern w:val="2"/>
                <w:sz w:val="24"/>
                <w:szCs w:val="24"/>
                <w:lang w:val="en-GB" w:bidi="ar-SA"/>
              </w:rPr>
            </w:pPr>
            <w:r>
              <w:rPr>
                <w:rFonts w:hint="eastAsia" w:ascii="Times New Roman" w:hAnsi="Times New Roman" w:cs="Times New Roman"/>
                <w:b/>
                <w:bCs/>
                <w:color w:val="auto"/>
                <w:kern w:val="2"/>
                <w:sz w:val="24"/>
                <w:szCs w:val="24"/>
                <w:lang w:val="en-US" w:eastAsia="zh-CN" w:bidi="ar-SA"/>
              </w:rPr>
              <w:t>8</w:t>
            </w:r>
            <w:r>
              <w:rPr>
                <w:rFonts w:ascii="Times New Roman" w:hAnsi="Times New Roman" w:cs="Times New Roman"/>
                <w:b/>
                <w:bCs/>
                <w:color w:val="auto"/>
                <w:kern w:val="2"/>
                <w:sz w:val="24"/>
                <w:szCs w:val="24"/>
                <w:lang w:val="en-GB" w:bidi="ar-SA"/>
              </w:rPr>
              <w:t>、环保投资估算</w:t>
            </w:r>
          </w:p>
          <w:p w14:paraId="1626F1A4">
            <w:pPr>
              <w:topLinePunct/>
              <w:autoSpaceDE/>
              <w:autoSpaceDN/>
              <w:spacing w:line="520" w:lineRule="exact"/>
              <w:ind w:firstLine="480" w:firstLineChars="200"/>
              <w:jc w:val="both"/>
              <w:rPr>
                <w:rFonts w:hint="eastAsia" w:ascii="Times New Roman" w:hAnsi="Times New Roman" w:cs="Times New Roman"/>
                <w:color w:val="auto"/>
                <w:kern w:val="2"/>
                <w:sz w:val="24"/>
                <w:szCs w:val="24"/>
                <w:lang w:val="en-US" w:eastAsia="zh-CN" w:bidi="ar-SA"/>
              </w:rPr>
            </w:pPr>
            <w:r>
              <w:rPr>
                <w:rFonts w:hint="eastAsia" w:ascii="Times New Roman" w:hAnsi="Times New Roman" w:cs="Times New Roman"/>
                <w:color w:val="auto"/>
                <w:kern w:val="2"/>
                <w:sz w:val="24"/>
                <w:szCs w:val="24"/>
                <w:lang w:val="en-US" w:eastAsia="zh-CN" w:bidi="ar-SA"/>
              </w:rPr>
              <w:t>本项目环保投资438万元，占总投资的100%，环保投资估算一览见下表。</w:t>
            </w:r>
          </w:p>
          <w:p w14:paraId="6F10EB0E">
            <w:pPr>
              <w:pStyle w:val="6"/>
              <w:spacing w:line="440" w:lineRule="exact"/>
              <w:jc w:val="center"/>
              <w:rPr>
                <w:rFonts w:eastAsia="黑体"/>
                <w:b/>
                <w:bCs/>
                <w:color w:val="auto"/>
                <w:kern w:val="0"/>
                <w:szCs w:val="20"/>
              </w:rPr>
            </w:pPr>
            <w:bookmarkStart w:id="22" w:name="_Hlk100237701"/>
            <w:r>
              <w:rPr>
                <w:rFonts w:hint="eastAsia"/>
                <w:b/>
                <w:bCs/>
                <w:color w:val="auto"/>
                <w:sz w:val="24"/>
                <w:lang w:val="en-US" w:eastAsia="zh-CN"/>
              </w:rPr>
              <w:t xml:space="preserve">                        </w:t>
            </w:r>
            <w:r>
              <w:rPr>
                <w:b/>
                <w:bCs/>
                <w:color w:val="auto"/>
                <w:sz w:val="24"/>
              </w:rPr>
              <w:t>表4-</w:t>
            </w:r>
            <w:r>
              <w:rPr>
                <w:rFonts w:hint="eastAsia"/>
                <w:b/>
                <w:bCs/>
                <w:color w:val="auto"/>
                <w:sz w:val="24"/>
                <w:lang w:val="en-US" w:eastAsia="zh-CN"/>
              </w:rPr>
              <w:t>9</w:t>
            </w:r>
            <w:r>
              <w:rPr>
                <w:rFonts w:hint="eastAsia"/>
                <w:b/>
                <w:bCs/>
                <w:color w:val="auto"/>
                <w:sz w:val="24"/>
              </w:rPr>
              <w:t xml:space="preserve">  </w:t>
            </w:r>
            <w:r>
              <w:rPr>
                <w:b/>
                <w:bCs/>
                <w:color w:val="auto"/>
                <w:sz w:val="24"/>
              </w:rPr>
              <w:t>环保投资一览表</w:t>
            </w:r>
            <w:r>
              <w:rPr>
                <w:rFonts w:hint="eastAsia"/>
                <w:b/>
                <w:bCs/>
                <w:color w:val="auto"/>
                <w:sz w:val="24"/>
              </w:rPr>
              <w:t xml:space="preserve">   </w:t>
            </w:r>
            <w:r>
              <w:rPr>
                <w:rFonts w:hint="eastAsia"/>
                <w:b/>
                <w:bCs/>
                <w:color w:val="auto"/>
                <w:sz w:val="24"/>
                <w:lang w:val="en-US" w:eastAsia="zh-CN"/>
              </w:rPr>
              <w:t xml:space="preserve">   </w:t>
            </w:r>
            <w:r>
              <w:rPr>
                <w:rFonts w:hint="eastAsia"/>
                <w:b/>
                <w:bCs/>
                <w:color w:val="auto"/>
                <w:sz w:val="24"/>
              </w:rPr>
              <w:t xml:space="preserve">    </w:t>
            </w:r>
            <w:r>
              <w:rPr>
                <w:rFonts w:hint="eastAsia"/>
                <w:b/>
                <w:bCs/>
                <w:color w:val="auto"/>
                <w:sz w:val="24"/>
                <w:lang w:val="en-US" w:eastAsia="zh-CN"/>
              </w:rPr>
              <w:t xml:space="preserve">    </w:t>
            </w:r>
            <w:r>
              <w:rPr>
                <w:rFonts w:hint="eastAsia"/>
                <w:b/>
                <w:bCs/>
                <w:color w:val="auto"/>
                <w:sz w:val="24"/>
              </w:rPr>
              <w:t xml:space="preserve"> </w:t>
            </w:r>
            <w:r>
              <w:rPr>
                <w:b/>
                <w:bCs/>
                <w:color w:val="auto"/>
                <w:sz w:val="24"/>
              </w:rPr>
              <w:t>单位：万元</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2"/>
              <w:gridCol w:w="2293"/>
              <w:gridCol w:w="5541"/>
              <w:gridCol w:w="961"/>
            </w:tblGrid>
            <w:tr w14:paraId="7F63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5" w:type="pct"/>
                  <w:vAlign w:val="center"/>
                </w:tcPr>
                <w:p w14:paraId="7716670D">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类别</w:t>
                  </w:r>
                </w:p>
              </w:tc>
              <w:tc>
                <w:tcPr>
                  <w:tcW w:w="1211" w:type="pct"/>
                  <w:vAlign w:val="center"/>
                </w:tcPr>
                <w:p w14:paraId="317C5E60">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污染源</w:t>
                  </w:r>
                </w:p>
              </w:tc>
              <w:tc>
                <w:tcPr>
                  <w:tcW w:w="2925" w:type="pct"/>
                  <w:vAlign w:val="center"/>
                </w:tcPr>
                <w:p w14:paraId="0B3D5E12">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治理措施</w:t>
                  </w:r>
                </w:p>
              </w:tc>
              <w:tc>
                <w:tcPr>
                  <w:tcW w:w="507" w:type="pct"/>
                  <w:vAlign w:val="center"/>
                </w:tcPr>
                <w:p w14:paraId="4C4EA02C">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投资</w:t>
                  </w:r>
                </w:p>
              </w:tc>
            </w:tr>
            <w:tr w14:paraId="3ABC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5" w:type="pct"/>
                  <w:vMerge w:val="restart"/>
                  <w:vAlign w:val="center"/>
                </w:tcPr>
                <w:p w14:paraId="27D8B49B">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废气</w:t>
                  </w:r>
                </w:p>
              </w:tc>
              <w:tc>
                <w:tcPr>
                  <w:tcW w:w="1211" w:type="pct"/>
                  <w:vAlign w:val="center"/>
                </w:tcPr>
                <w:p w14:paraId="3F955E5F">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煤炭储存及装载粉尘</w:t>
                  </w:r>
                </w:p>
              </w:tc>
              <w:tc>
                <w:tcPr>
                  <w:tcW w:w="2925" w:type="pct"/>
                  <w:vAlign w:val="center"/>
                </w:tcPr>
                <w:p w14:paraId="605247F7">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设备及煤棚全封闭，煤棚顶部设施喷淋抑尘系统；煤棚安装视频监控设施，并与环保部门平台联网。</w:t>
                  </w:r>
                </w:p>
              </w:tc>
              <w:tc>
                <w:tcPr>
                  <w:tcW w:w="507" w:type="pct"/>
                  <w:vMerge w:val="restart"/>
                  <w:vAlign w:val="center"/>
                </w:tcPr>
                <w:p w14:paraId="4F9FA652">
                  <w:pPr>
                    <w:spacing w:line="360" w:lineRule="exact"/>
                    <w:contextualSpacing/>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435</w:t>
                  </w:r>
                </w:p>
              </w:tc>
            </w:tr>
            <w:tr w14:paraId="0759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5" w:type="pct"/>
                  <w:vMerge w:val="continue"/>
                  <w:vAlign w:val="center"/>
                </w:tcPr>
                <w:p w14:paraId="6C5148C9">
                  <w:pPr>
                    <w:spacing w:line="360" w:lineRule="exact"/>
                    <w:contextualSpacing/>
                    <w:jc w:val="center"/>
                    <w:rPr>
                      <w:rFonts w:hint="eastAsia" w:ascii="Times New Roman" w:hAnsi="Times New Roman" w:eastAsia="宋体" w:cs="Times New Roman"/>
                      <w:color w:val="auto"/>
                      <w:kern w:val="0"/>
                      <w:sz w:val="21"/>
                      <w:szCs w:val="21"/>
                      <w:lang w:val="en-US"/>
                    </w:rPr>
                  </w:pPr>
                </w:p>
              </w:tc>
              <w:tc>
                <w:tcPr>
                  <w:tcW w:w="1211" w:type="pct"/>
                  <w:vAlign w:val="center"/>
                </w:tcPr>
                <w:p w14:paraId="0562305F">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厂区运输扬尘</w:t>
                  </w:r>
                </w:p>
              </w:tc>
              <w:tc>
                <w:tcPr>
                  <w:tcW w:w="2925" w:type="pct"/>
                  <w:vAlign w:val="center"/>
                </w:tcPr>
                <w:p w14:paraId="22E66EFA">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场内道路绿化，封闭运输，配备洒水车，定期洒水，厂区地面及进出厂区道路硬化</w:t>
                  </w:r>
                </w:p>
              </w:tc>
              <w:tc>
                <w:tcPr>
                  <w:tcW w:w="507" w:type="pct"/>
                  <w:vMerge w:val="continue"/>
                  <w:vAlign w:val="center"/>
                </w:tcPr>
                <w:p w14:paraId="7D3C24B7">
                  <w:pPr>
                    <w:spacing w:line="360" w:lineRule="exact"/>
                    <w:contextualSpacing/>
                    <w:jc w:val="center"/>
                    <w:rPr>
                      <w:rFonts w:hint="eastAsia" w:ascii="Times New Roman" w:hAnsi="Times New Roman" w:eastAsia="宋体" w:cs="Times New Roman"/>
                      <w:color w:val="auto"/>
                      <w:kern w:val="0"/>
                      <w:sz w:val="21"/>
                      <w:szCs w:val="21"/>
                      <w:lang w:val="en-US"/>
                    </w:rPr>
                  </w:pPr>
                </w:p>
              </w:tc>
            </w:tr>
            <w:tr w14:paraId="1556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5" w:type="pct"/>
                  <w:vAlign w:val="center"/>
                </w:tcPr>
                <w:p w14:paraId="14D96503">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废水</w:t>
                  </w:r>
                </w:p>
              </w:tc>
              <w:tc>
                <w:tcPr>
                  <w:tcW w:w="1211" w:type="pct"/>
                  <w:vAlign w:val="center"/>
                </w:tcPr>
                <w:p w14:paraId="7304EA72">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生产及生活废水</w:t>
                  </w:r>
                </w:p>
              </w:tc>
              <w:tc>
                <w:tcPr>
                  <w:tcW w:w="2925" w:type="pct"/>
                  <w:vAlign w:val="center"/>
                </w:tcPr>
                <w:p w14:paraId="1EA306C3">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项目抑尘用水全部蒸发损耗；不新增劳动定员，无新增生活废水。</w:t>
                  </w:r>
                </w:p>
              </w:tc>
              <w:tc>
                <w:tcPr>
                  <w:tcW w:w="507" w:type="pct"/>
                  <w:vAlign w:val="center"/>
                </w:tcPr>
                <w:p w14:paraId="6F471751">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w:t>
                  </w:r>
                </w:p>
              </w:tc>
            </w:tr>
            <w:tr w14:paraId="417B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355" w:type="pct"/>
                  <w:vAlign w:val="center"/>
                </w:tcPr>
                <w:p w14:paraId="63BDD5F0">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噪声</w:t>
                  </w:r>
                </w:p>
              </w:tc>
              <w:tc>
                <w:tcPr>
                  <w:tcW w:w="1211" w:type="pct"/>
                  <w:vAlign w:val="center"/>
                </w:tcPr>
                <w:p w14:paraId="04C541C4">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装载设备、洒水车</w:t>
                  </w:r>
                </w:p>
              </w:tc>
              <w:tc>
                <w:tcPr>
                  <w:tcW w:w="2925" w:type="pct"/>
                  <w:vAlign w:val="center"/>
                </w:tcPr>
                <w:p w14:paraId="1E78AD0F">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合理规划项目场地道路交通， 加强管理，采用低噪声、低能耗设备。</w:t>
                  </w:r>
                </w:p>
              </w:tc>
              <w:tc>
                <w:tcPr>
                  <w:tcW w:w="507" w:type="pct"/>
                  <w:vAlign w:val="center"/>
                </w:tcPr>
                <w:p w14:paraId="1693DC69">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3</w:t>
                  </w:r>
                </w:p>
              </w:tc>
            </w:tr>
            <w:tr w14:paraId="6463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492" w:type="pct"/>
                  <w:gridSpan w:val="3"/>
                  <w:noWrap/>
                  <w:vAlign w:val="center"/>
                </w:tcPr>
                <w:p w14:paraId="38C3A2E7">
                  <w:pPr>
                    <w:spacing w:line="360" w:lineRule="exact"/>
                    <w:contextualSpacing/>
                    <w:jc w:val="center"/>
                    <w:rPr>
                      <w:rFonts w:hint="eastAsia" w:ascii="Times New Roman" w:hAnsi="Times New Roman" w:eastAsia="宋体" w:cs="Times New Roman"/>
                      <w:color w:val="auto"/>
                      <w:kern w:val="0"/>
                      <w:sz w:val="21"/>
                      <w:szCs w:val="21"/>
                      <w:lang w:val="en-US"/>
                    </w:rPr>
                  </w:pPr>
                  <w:r>
                    <w:rPr>
                      <w:rFonts w:hint="eastAsia" w:ascii="Times New Roman" w:hAnsi="Times New Roman" w:eastAsia="宋体" w:cs="Times New Roman"/>
                      <w:color w:val="auto"/>
                      <w:kern w:val="0"/>
                      <w:sz w:val="21"/>
                      <w:szCs w:val="21"/>
                      <w:lang w:val="en-US"/>
                    </w:rPr>
                    <w:t>总计</w:t>
                  </w:r>
                </w:p>
              </w:tc>
              <w:tc>
                <w:tcPr>
                  <w:tcW w:w="507" w:type="pct"/>
                  <w:vAlign w:val="center"/>
                </w:tcPr>
                <w:p w14:paraId="444D4BD6">
                  <w:pPr>
                    <w:spacing w:line="360" w:lineRule="exact"/>
                    <w:contextualSpacing/>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cs="Times New Roman"/>
                      <w:color w:val="auto"/>
                      <w:kern w:val="0"/>
                      <w:sz w:val="21"/>
                      <w:szCs w:val="21"/>
                      <w:lang w:val="en-US" w:eastAsia="zh-CN"/>
                    </w:rPr>
                    <w:t>438</w:t>
                  </w:r>
                </w:p>
              </w:tc>
            </w:tr>
            <w:bookmarkEnd w:id="22"/>
          </w:tbl>
          <w:p w14:paraId="7C4C9145">
            <w:pPr>
              <w:topLinePunct/>
              <w:autoSpaceDE/>
              <w:autoSpaceDN/>
              <w:spacing w:line="520" w:lineRule="exact"/>
              <w:ind w:firstLine="480" w:firstLineChars="200"/>
              <w:jc w:val="both"/>
              <w:rPr>
                <w:rFonts w:ascii="Times New Roman" w:hAnsi="Times New Roman" w:cs="Times New Roman"/>
                <w:sz w:val="24"/>
                <w:szCs w:val="24"/>
                <w:lang w:val="en-US"/>
              </w:rPr>
            </w:pPr>
          </w:p>
        </w:tc>
      </w:tr>
    </w:tbl>
    <w:p w14:paraId="4E1AE754">
      <w:pPr>
        <w:spacing w:before="124"/>
        <w:ind w:left="442" w:right="465"/>
        <w:jc w:val="center"/>
        <w:outlineLvl w:val="0"/>
        <w:rPr>
          <w:rFonts w:ascii="Times New Roman" w:hAnsi="Times New Roman" w:eastAsia="黑体" w:cs="Times New Roman"/>
          <w:sz w:val="30"/>
        </w:rPr>
      </w:pPr>
      <w:r>
        <w:rPr>
          <w:rFonts w:ascii="Times New Roman" w:hAnsi="Times New Roman" w:eastAsia="黑体" w:cs="Times New Roman"/>
          <w:sz w:val="30"/>
          <w:lang w:val="en-US"/>
        </w:rPr>
        <w:t>五</w:t>
      </w:r>
      <w:r>
        <w:rPr>
          <w:rFonts w:ascii="Times New Roman" w:hAnsi="Times New Roman" w:eastAsia="黑体" w:cs="Times New Roman"/>
          <w:sz w:val="30"/>
        </w:rPr>
        <w:t>、环境保护措施监督检查清单</w:t>
      </w:r>
      <w:bookmarkEnd w:id="21"/>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1203"/>
        <w:gridCol w:w="1215"/>
        <w:gridCol w:w="711"/>
        <w:gridCol w:w="3246"/>
        <w:gridCol w:w="3869"/>
      </w:tblGrid>
      <w:tr w14:paraId="5AE17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587" w:type="pct"/>
            <w:tcBorders>
              <w:tl2br w:val="single" w:color="auto" w:sz="4" w:space="0"/>
            </w:tcBorders>
          </w:tcPr>
          <w:p w14:paraId="25FEF4D3">
            <w:pPr>
              <w:adjustRightInd w:val="0"/>
              <w:snapToGrid w:val="0"/>
              <w:ind w:firstLine="240" w:firstLineChars="1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内容</w:t>
            </w:r>
          </w:p>
          <w:p w14:paraId="4102FDC5">
            <w:pPr>
              <w:adjustRightInd w:val="0"/>
              <w:snapToGrid w:val="0"/>
              <w:rPr>
                <w:rFonts w:hint="default" w:ascii="Times New Roman" w:hAnsi="Times New Roman" w:eastAsia="宋体" w:cs="Times New Roman"/>
                <w:color w:val="auto"/>
                <w:sz w:val="24"/>
                <w:szCs w:val="24"/>
              </w:rPr>
            </w:pPr>
          </w:p>
          <w:p w14:paraId="2ACE5478">
            <w:pPr>
              <w:adjustRightInd w:val="0"/>
              <w:snapToGrid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要素</w:t>
            </w:r>
          </w:p>
        </w:tc>
        <w:tc>
          <w:tcPr>
            <w:tcW w:w="593" w:type="pct"/>
            <w:vAlign w:val="center"/>
          </w:tcPr>
          <w:p w14:paraId="488B5AA2">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排放口(编号、名称)/污染源</w:t>
            </w:r>
          </w:p>
        </w:tc>
        <w:tc>
          <w:tcPr>
            <w:tcW w:w="347" w:type="pct"/>
            <w:vAlign w:val="center"/>
          </w:tcPr>
          <w:p w14:paraId="2520C6EE">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污染物</w:t>
            </w:r>
          </w:p>
          <w:p w14:paraId="757C5646">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w:t>
            </w:r>
          </w:p>
        </w:tc>
        <w:tc>
          <w:tcPr>
            <w:tcW w:w="1584" w:type="pct"/>
            <w:vAlign w:val="center"/>
          </w:tcPr>
          <w:p w14:paraId="3E06B603">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环境保护措施</w:t>
            </w:r>
          </w:p>
        </w:tc>
        <w:tc>
          <w:tcPr>
            <w:tcW w:w="1887" w:type="pct"/>
            <w:vAlign w:val="center"/>
          </w:tcPr>
          <w:p w14:paraId="2281713A">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执行标准</w:t>
            </w:r>
          </w:p>
        </w:tc>
      </w:tr>
      <w:tr w14:paraId="542D8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73" w:hRule="atLeast"/>
          <w:jc w:val="center"/>
        </w:trPr>
        <w:tc>
          <w:tcPr>
            <w:tcW w:w="587" w:type="pct"/>
            <w:vMerge w:val="restart"/>
            <w:tcBorders>
              <w:bottom w:val="single" w:color="auto" w:sz="4" w:space="0"/>
            </w:tcBorders>
            <w:vAlign w:val="center"/>
          </w:tcPr>
          <w:p w14:paraId="160FF68F">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大气</w:t>
            </w:r>
          </w:p>
          <w:p w14:paraId="7D729347">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环境</w:t>
            </w:r>
          </w:p>
        </w:tc>
        <w:tc>
          <w:tcPr>
            <w:tcW w:w="593" w:type="pct"/>
            <w:vAlign w:val="center"/>
          </w:tcPr>
          <w:p w14:paraId="2F890800">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煤炭储存及装载粉尘</w:t>
            </w:r>
          </w:p>
        </w:tc>
        <w:tc>
          <w:tcPr>
            <w:tcW w:w="347" w:type="pct"/>
            <w:vAlign w:val="center"/>
          </w:tcPr>
          <w:p w14:paraId="3704AF8F">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颗粒物</w:t>
            </w:r>
          </w:p>
        </w:tc>
        <w:tc>
          <w:tcPr>
            <w:tcW w:w="1584" w:type="pct"/>
            <w:vAlign w:val="center"/>
          </w:tcPr>
          <w:p w14:paraId="49CFC655">
            <w:pPr>
              <w:adjustRightInd w:val="0"/>
              <w:snapToGrid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设备及煤棚全封闭，</w:t>
            </w:r>
            <w:r>
              <w:rPr>
                <w:rFonts w:hint="eastAsia" w:ascii="Times New Roman" w:hAnsi="Times New Roman" w:eastAsia="宋体" w:cs="Times New Roman"/>
                <w:color w:val="auto"/>
                <w:sz w:val="24"/>
                <w:szCs w:val="24"/>
                <w:lang w:val="en-US" w:eastAsia="zh-CN"/>
              </w:rPr>
              <w:t>生产时洒水抑尘</w:t>
            </w:r>
            <w:r>
              <w:rPr>
                <w:rFonts w:hint="default" w:ascii="Times New Roman" w:hAnsi="Times New Roman" w:eastAsia="宋体" w:cs="Times New Roman"/>
                <w:color w:val="auto"/>
                <w:sz w:val="24"/>
                <w:szCs w:val="24"/>
              </w:rPr>
              <w:t>。</w:t>
            </w:r>
          </w:p>
        </w:tc>
        <w:tc>
          <w:tcPr>
            <w:tcW w:w="1887" w:type="pct"/>
            <w:vMerge w:val="restart"/>
            <w:vAlign w:val="center"/>
          </w:tcPr>
          <w:p w14:paraId="42F88C5C">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《煤炭工业污染物排放标准》（GB20426-2006）表 5 煤炭工业无组织排放限值要求</w:t>
            </w:r>
          </w:p>
        </w:tc>
      </w:tr>
      <w:tr w14:paraId="4C1F5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587" w:type="pct"/>
            <w:vMerge w:val="continue"/>
            <w:vAlign w:val="center"/>
          </w:tcPr>
          <w:p w14:paraId="7246CA30">
            <w:pPr>
              <w:adjustRightInd w:val="0"/>
              <w:snapToGrid w:val="0"/>
              <w:jc w:val="center"/>
              <w:rPr>
                <w:rFonts w:hint="default" w:ascii="Times New Roman" w:hAnsi="Times New Roman" w:eastAsia="宋体" w:cs="Times New Roman"/>
                <w:color w:val="auto"/>
                <w:sz w:val="24"/>
                <w:szCs w:val="24"/>
              </w:rPr>
            </w:pPr>
          </w:p>
        </w:tc>
        <w:tc>
          <w:tcPr>
            <w:tcW w:w="593" w:type="pct"/>
            <w:vAlign w:val="center"/>
          </w:tcPr>
          <w:p w14:paraId="20C787E1">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厂区道路运输扬尘</w:t>
            </w:r>
          </w:p>
        </w:tc>
        <w:tc>
          <w:tcPr>
            <w:tcW w:w="347" w:type="pct"/>
            <w:vAlign w:val="center"/>
          </w:tcPr>
          <w:p w14:paraId="21B480B5">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颗粒物</w:t>
            </w:r>
          </w:p>
        </w:tc>
        <w:tc>
          <w:tcPr>
            <w:tcW w:w="1584" w:type="pct"/>
            <w:vAlign w:val="center"/>
          </w:tcPr>
          <w:p w14:paraId="24BA5B8C">
            <w:pPr>
              <w:adjustRightInd w:val="0"/>
              <w:snapToGrid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封闭运输，定期洒水，厂区地面及进出厂区道路混凝土硬化；运输车辆要严密遮盖， 减少物料散落。</w:t>
            </w:r>
          </w:p>
        </w:tc>
        <w:tc>
          <w:tcPr>
            <w:tcW w:w="1887" w:type="pct"/>
            <w:vMerge w:val="continue"/>
            <w:vAlign w:val="center"/>
          </w:tcPr>
          <w:p w14:paraId="1C56E1C1">
            <w:pPr>
              <w:pStyle w:val="38"/>
              <w:rPr>
                <w:rFonts w:hint="default" w:ascii="Times New Roman" w:hAnsi="Times New Roman" w:eastAsia="宋体" w:cs="Times New Roman"/>
                <w:color w:val="auto"/>
                <w:sz w:val="24"/>
                <w:szCs w:val="24"/>
              </w:rPr>
            </w:pPr>
          </w:p>
        </w:tc>
      </w:tr>
      <w:tr w14:paraId="454B6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7" w:hRule="atLeast"/>
          <w:jc w:val="center"/>
        </w:trPr>
        <w:tc>
          <w:tcPr>
            <w:tcW w:w="587" w:type="pct"/>
            <w:vMerge w:val="restart"/>
            <w:vAlign w:val="center"/>
          </w:tcPr>
          <w:p w14:paraId="6A8EBA42">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地表水环境</w:t>
            </w:r>
          </w:p>
        </w:tc>
        <w:tc>
          <w:tcPr>
            <w:tcW w:w="593" w:type="pct"/>
            <w:vAlign w:val="center"/>
          </w:tcPr>
          <w:p w14:paraId="008C60D4">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生活污水</w:t>
            </w:r>
          </w:p>
        </w:tc>
        <w:tc>
          <w:tcPr>
            <w:tcW w:w="3819" w:type="pct"/>
            <w:gridSpan w:val="3"/>
            <w:vMerge w:val="restart"/>
            <w:vAlign w:val="center"/>
          </w:tcPr>
          <w:p w14:paraId="246B593E">
            <w:pPr>
              <w:adjustRightInd w:val="0"/>
              <w:snapToGrid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项目抑尘用水全部蒸发损耗；不新增劳动定员，无新增</w:t>
            </w:r>
            <w:r>
              <w:rPr>
                <w:rFonts w:hint="eastAsia" w:ascii="Times New Roman" w:hAnsi="Times New Roman" w:cs="Times New Roman"/>
                <w:color w:val="auto"/>
                <w:sz w:val="24"/>
                <w:szCs w:val="24"/>
                <w:lang w:eastAsia="zh-CN"/>
              </w:rPr>
              <w:t>生活污水</w:t>
            </w:r>
            <w:r>
              <w:rPr>
                <w:rFonts w:hint="default" w:ascii="Times New Roman" w:hAnsi="Times New Roman" w:eastAsia="宋体" w:cs="Times New Roman"/>
                <w:color w:val="auto"/>
                <w:sz w:val="24"/>
                <w:szCs w:val="24"/>
              </w:rPr>
              <w:t>。</w:t>
            </w:r>
          </w:p>
        </w:tc>
      </w:tr>
      <w:tr w14:paraId="52C712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587" w:type="pct"/>
            <w:vMerge w:val="continue"/>
            <w:vAlign w:val="center"/>
          </w:tcPr>
          <w:p w14:paraId="79343C35">
            <w:pPr>
              <w:adjustRightInd w:val="0"/>
              <w:snapToGrid w:val="0"/>
              <w:jc w:val="center"/>
              <w:rPr>
                <w:rFonts w:hint="default" w:ascii="Times New Roman" w:hAnsi="Times New Roman" w:eastAsia="宋体" w:cs="Times New Roman"/>
                <w:color w:val="auto"/>
                <w:sz w:val="24"/>
                <w:szCs w:val="24"/>
              </w:rPr>
            </w:pPr>
          </w:p>
        </w:tc>
        <w:tc>
          <w:tcPr>
            <w:tcW w:w="593" w:type="pct"/>
            <w:vAlign w:val="center"/>
          </w:tcPr>
          <w:p w14:paraId="63F6C446">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生产废水</w:t>
            </w:r>
          </w:p>
        </w:tc>
        <w:tc>
          <w:tcPr>
            <w:tcW w:w="3819" w:type="pct"/>
            <w:gridSpan w:val="3"/>
            <w:vMerge w:val="continue"/>
            <w:vAlign w:val="center"/>
          </w:tcPr>
          <w:p w14:paraId="0CD4978F">
            <w:pPr>
              <w:adjustRightInd w:val="0"/>
              <w:snapToGrid w:val="0"/>
              <w:rPr>
                <w:rFonts w:hint="default" w:ascii="Times New Roman" w:hAnsi="Times New Roman" w:eastAsia="宋体" w:cs="Times New Roman"/>
                <w:color w:val="auto"/>
                <w:sz w:val="24"/>
                <w:szCs w:val="24"/>
              </w:rPr>
            </w:pPr>
          </w:p>
        </w:tc>
      </w:tr>
      <w:tr w14:paraId="43E4AC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160" w:hRule="atLeast"/>
          <w:jc w:val="center"/>
        </w:trPr>
        <w:tc>
          <w:tcPr>
            <w:tcW w:w="587" w:type="pct"/>
            <w:vAlign w:val="center"/>
          </w:tcPr>
          <w:p w14:paraId="3A1EAD1E">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声环境</w:t>
            </w:r>
          </w:p>
        </w:tc>
        <w:tc>
          <w:tcPr>
            <w:tcW w:w="593" w:type="pct"/>
            <w:vAlign w:val="center"/>
          </w:tcPr>
          <w:p w14:paraId="45E43D34">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生产设备</w:t>
            </w:r>
          </w:p>
        </w:tc>
        <w:tc>
          <w:tcPr>
            <w:tcW w:w="347" w:type="pct"/>
            <w:vAlign w:val="center"/>
          </w:tcPr>
          <w:p w14:paraId="600CBD8B">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等效连续A声级</w:t>
            </w:r>
          </w:p>
        </w:tc>
        <w:tc>
          <w:tcPr>
            <w:tcW w:w="1584" w:type="pct"/>
            <w:vAlign w:val="center"/>
          </w:tcPr>
          <w:p w14:paraId="63D06C8A">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合理规划项目场地道路交通， 加强管理，采用低噪声、低能耗设备</w:t>
            </w:r>
          </w:p>
        </w:tc>
        <w:tc>
          <w:tcPr>
            <w:tcW w:w="1887" w:type="pct"/>
            <w:vAlign w:val="center"/>
          </w:tcPr>
          <w:p w14:paraId="4DE0CB50">
            <w:pPr>
              <w:adjustRightInd w:val="0"/>
              <w:snapToGrid w:val="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《工业企业厂界环境噪声排放标准》（GB12348-2008）2类标准</w:t>
            </w:r>
          </w:p>
        </w:tc>
      </w:tr>
      <w:tr w14:paraId="2B9A50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9" w:hRule="atLeast"/>
          <w:jc w:val="center"/>
        </w:trPr>
        <w:tc>
          <w:tcPr>
            <w:tcW w:w="587" w:type="pct"/>
            <w:vAlign w:val="center"/>
          </w:tcPr>
          <w:p w14:paraId="36B8C9AA">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电磁</w:t>
            </w:r>
          </w:p>
          <w:p w14:paraId="6A1D4B55">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辐射</w:t>
            </w:r>
          </w:p>
        </w:tc>
        <w:tc>
          <w:tcPr>
            <w:tcW w:w="593" w:type="pct"/>
            <w:vAlign w:val="center"/>
          </w:tcPr>
          <w:p w14:paraId="00DFEE26">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347" w:type="pct"/>
            <w:vAlign w:val="center"/>
          </w:tcPr>
          <w:p w14:paraId="29BFDB5B">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1584" w:type="pct"/>
            <w:vAlign w:val="center"/>
          </w:tcPr>
          <w:p w14:paraId="404F0AB3">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1887" w:type="pct"/>
            <w:vAlign w:val="center"/>
          </w:tcPr>
          <w:p w14:paraId="335A55CC">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r>
      <w:tr w14:paraId="45DB68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20" w:hRule="atLeast"/>
          <w:jc w:val="center"/>
        </w:trPr>
        <w:tc>
          <w:tcPr>
            <w:tcW w:w="587" w:type="pct"/>
            <w:vAlign w:val="center"/>
          </w:tcPr>
          <w:p w14:paraId="5A083221">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固体</w:t>
            </w:r>
          </w:p>
          <w:p w14:paraId="0777FBC0">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废物</w:t>
            </w:r>
          </w:p>
        </w:tc>
        <w:tc>
          <w:tcPr>
            <w:tcW w:w="4412" w:type="pct"/>
            <w:gridSpan w:val="4"/>
            <w:vAlign w:val="center"/>
          </w:tcPr>
          <w:p w14:paraId="5F28CAA7">
            <w:pPr>
              <w:adjustRightInd w:val="0"/>
              <w:snapToGrid w:val="0"/>
              <w:spacing w:line="440" w:lineRule="exact"/>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本</w:t>
            </w:r>
            <w:r>
              <w:rPr>
                <w:rFonts w:hint="eastAsia" w:ascii="Times New Roman" w:hAnsi="Times New Roman" w:eastAsia="宋体" w:cs="Times New Roman"/>
                <w:color w:val="auto"/>
                <w:sz w:val="24"/>
                <w:szCs w:val="24"/>
              </w:rPr>
              <w:t>项目为煤棚扩建项目，不涉及生产设备，因此运营期无新增危废及一般固废产生。</w:t>
            </w:r>
          </w:p>
          <w:p w14:paraId="5868C1B0">
            <w:pPr>
              <w:adjustRightInd w:val="0"/>
              <w:snapToGrid w:val="0"/>
              <w:spacing w:line="440" w:lineRule="exact"/>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生活垃圾：本次不新增劳动定员，无新增生活垃圾。</w:t>
            </w:r>
          </w:p>
        </w:tc>
      </w:tr>
      <w:tr w14:paraId="037A20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91" w:hRule="atLeast"/>
          <w:jc w:val="center"/>
        </w:trPr>
        <w:tc>
          <w:tcPr>
            <w:tcW w:w="587" w:type="pct"/>
            <w:vAlign w:val="center"/>
          </w:tcPr>
          <w:p w14:paraId="0D4EC2EE">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土壤及地下水污染防治措施</w:t>
            </w:r>
          </w:p>
        </w:tc>
        <w:tc>
          <w:tcPr>
            <w:tcW w:w="4412" w:type="pct"/>
            <w:gridSpan w:val="4"/>
            <w:vAlign w:val="center"/>
          </w:tcPr>
          <w:p w14:paraId="2198DFE2">
            <w:pPr>
              <w:adjustRightInd w:val="0"/>
              <w:snapToGrid w:val="0"/>
              <w:spacing w:line="440" w:lineRule="exac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对煤棚地面部分进行硬化处理，地基先用三合土夯实后，再在上层铺 10～15cm 的水泥进行硬化，渗透系数≤1×10</w:t>
            </w:r>
            <w:r>
              <w:rPr>
                <w:rFonts w:hint="default" w:ascii="Times New Roman" w:hAnsi="Times New Roman" w:eastAsia="宋体" w:cs="Times New Roman"/>
                <w:color w:val="auto"/>
                <w:sz w:val="24"/>
                <w:szCs w:val="24"/>
                <w:vertAlign w:val="superscript"/>
              </w:rPr>
              <w:t>-7</w:t>
            </w:r>
            <w:r>
              <w:rPr>
                <w:rFonts w:hint="default" w:ascii="Times New Roman" w:hAnsi="Times New Roman" w:eastAsia="宋体" w:cs="Times New Roman"/>
                <w:color w:val="auto"/>
                <w:sz w:val="24"/>
                <w:szCs w:val="24"/>
              </w:rPr>
              <w:t>cm/s。</w:t>
            </w:r>
          </w:p>
        </w:tc>
      </w:tr>
      <w:tr w14:paraId="67A0E0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587" w:type="pct"/>
            <w:vAlign w:val="center"/>
          </w:tcPr>
          <w:p w14:paraId="7F4628C7">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生态保护措施</w:t>
            </w:r>
          </w:p>
        </w:tc>
        <w:tc>
          <w:tcPr>
            <w:tcW w:w="4412" w:type="pct"/>
            <w:gridSpan w:val="4"/>
            <w:vAlign w:val="center"/>
          </w:tcPr>
          <w:p w14:paraId="4197623F">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无</w:t>
            </w:r>
          </w:p>
        </w:tc>
      </w:tr>
      <w:tr w14:paraId="139F77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35" w:hRule="atLeast"/>
          <w:jc w:val="center"/>
        </w:trPr>
        <w:tc>
          <w:tcPr>
            <w:tcW w:w="587" w:type="pct"/>
            <w:vAlign w:val="center"/>
          </w:tcPr>
          <w:p w14:paraId="21D28C7D">
            <w:pPr>
              <w:adjustRightInd w:val="0"/>
              <w:snapToGrid w:val="0"/>
              <w:jc w:val="center"/>
              <w:rPr>
                <w:rFonts w:hint="default" w:ascii="Times New Roman" w:hAnsi="Times New Roman" w:eastAsia="宋体" w:cs="Times New Roman"/>
                <w:color w:val="auto"/>
                <w:spacing w:val="-8"/>
                <w:sz w:val="24"/>
                <w:szCs w:val="24"/>
              </w:rPr>
            </w:pPr>
            <w:r>
              <w:rPr>
                <w:rFonts w:hint="default" w:ascii="Times New Roman" w:hAnsi="Times New Roman" w:eastAsia="宋体" w:cs="Times New Roman"/>
                <w:color w:val="auto"/>
                <w:spacing w:val="-8"/>
                <w:sz w:val="24"/>
                <w:szCs w:val="24"/>
              </w:rPr>
              <w:t>环境风险防范措施</w:t>
            </w:r>
          </w:p>
        </w:tc>
        <w:tc>
          <w:tcPr>
            <w:tcW w:w="4412" w:type="pct"/>
            <w:gridSpan w:val="4"/>
            <w:vAlign w:val="center"/>
          </w:tcPr>
          <w:p w14:paraId="25644B0A">
            <w:pPr>
              <w:adjustRightInd w:val="0"/>
              <w:snapToGrid w:val="0"/>
              <w:spacing w:line="440" w:lineRule="exact"/>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根据相关文件及管理部门要求落实风险措施。</w:t>
            </w:r>
          </w:p>
        </w:tc>
      </w:tr>
      <w:tr w14:paraId="24787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587" w:type="pct"/>
            <w:vAlign w:val="center"/>
          </w:tcPr>
          <w:p w14:paraId="67C6C3E2">
            <w:pPr>
              <w:adjustRightInd w:val="0"/>
              <w:snapToGrid w:val="0"/>
              <w:jc w:val="center"/>
              <w:rPr>
                <w:rFonts w:hint="default" w:ascii="Times New Roman" w:hAnsi="Times New Roman" w:eastAsia="宋体" w:cs="Times New Roman"/>
                <w:color w:val="auto"/>
                <w:spacing w:val="-8"/>
                <w:sz w:val="24"/>
                <w:szCs w:val="24"/>
              </w:rPr>
            </w:pPr>
            <w:r>
              <w:rPr>
                <w:rFonts w:hint="default" w:ascii="Times New Roman" w:hAnsi="Times New Roman" w:eastAsia="宋体" w:cs="Times New Roman"/>
                <w:color w:val="auto"/>
                <w:spacing w:val="-8"/>
                <w:sz w:val="24"/>
                <w:szCs w:val="24"/>
              </w:rPr>
              <w:t>其他环境管理要求</w:t>
            </w:r>
          </w:p>
        </w:tc>
        <w:tc>
          <w:tcPr>
            <w:tcW w:w="4412" w:type="pct"/>
            <w:gridSpan w:val="4"/>
            <w:vAlign w:val="center"/>
          </w:tcPr>
          <w:p w14:paraId="4F55AA70">
            <w:pPr>
              <w:adjustRightInd w:val="0"/>
              <w:snapToGrid w:val="0"/>
              <w:spacing w:line="360" w:lineRule="exac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建设单位建立环境管理台账记录制度，落实环境管理台账记录的责任单位和责任人，明确工作职责， 并对环境管理台账的真实性、完整性和规范性负责。</w:t>
            </w:r>
          </w:p>
        </w:tc>
      </w:tr>
    </w:tbl>
    <w:p w14:paraId="61F34061">
      <w:pPr>
        <w:spacing w:before="124"/>
        <w:ind w:left="442" w:right="465"/>
        <w:jc w:val="center"/>
        <w:outlineLvl w:val="0"/>
        <w:rPr>
          <w:rFonts w:ascii="Times New Roman" w:hAnsi="Times New Roman" w:eastAsia="黑体" w:cs="Times New Roman"/>
          <w:sz w:val="30"/>
        </w:rPr>
      </w:pPr>
      <w:bookmarkStart w:id="28" w:name="_GoBack"/>
      <w:bookmarkEnd w:id="28"/>
    </w:p>
    <w:p w14:paraId="239C208B">
      <w:pPr>
        <w:pageBreakBefore/>
        <w:spacing w:before="124"/>
        <w:ind w:left="442" w:right="465"/>
        <w:jc w:val="center"/>
        <w:outlineLvl w:val="0"/>
        <w:rPr>
          <w:rFonts w:ascii="Times New Roman" w:hAnsi="Times New Roman" w:eastAsia="黑体" w:cs="Times New Roman"/>
          <w:sz w:val="30"/>
        </w:rPr>
      </w:pPr>
      <w:bookmarkStart w:id="23" w:name="_Toc29739"/>
      <w:r>
        <w:rPr>
          <w:rFonts w:ascii="Times New Roman" w:hAnsi="Times New Roman" w:eastAsia="黑体" w:cs="Times New Roman"/>
          <w:sz w:val="30"/>
        </w:rPr>
        <w:t>六、结论</w:t>
      </w:r>
      <w:bookmarkEnd w:id="23"/>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6"/>
      </w:tblGrid>
      <w:tr w14:paraId="67E4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4" w:hRule="atLeast"/>
        </w:trPr>
        <w:tc>
          <w:tcPr>
            <w:tcW w:w="10347" w:type="dxa"/>
            <w:vAlign w:val="center"/>
          </w:tcPr>
          <w:p w14:paraId="0E852571">
            <w:pPr>
              <w:spacing w:line="520" w:lineRule="exact"/>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综上所述，</w:t>
            </w:r>
            <w:r>
              <w:rPr>
                <w:rFonts w:hint="eastAsia" w:ascii="Times New Roman" w:hAnsi="Times New Roman" w:cs="Times New Roman"/>
                <w:sz w:val="24"/>
                <w:szCs w:val="24"/>
                <w:lang w:val="en-US" w:eastAsia="zh-CN"/>
              </w:rPr>
              <w:t>内蒙古鄂尔多斯市伊金霍洛旗札萨克镇鑫海洗煤厂扩建项目</w:t>
            </w:r>
            <w:r>
              <w:rPr>
                <w:rFonts w:ascii="Times New Roman" w:hAnsi="Times New Roman" w:cs="Times New Roman"/>
                <w:sz w:val="24"/>
                <w:szCs w:val="24"/>
                <w:lang w:val="en-US"/>
              </w:rPr>
              <w:t>符合国家产业政策，项目选址可行。通过本项目所在地环境现状调查、污染分析、环境影响分析可知，只要建设方在生产过程中充分落实本环评提出的各项污染防治对策，认真做好</w:t>
            </w:r>
            <w:r>
              <w:rPr>
                <w:rFonts w:hint="eastAsia" w:ascii="宋体" w:hAnsi="宋体" w:eastAsia="宋体" w:cs="宋体"/>
                <w:sz w:val="24"/>
                <w:szCs w:val="24"/>
                <w:lang w:val="en-US"/>
              </w:rPr>
              <w:t>“三同时”</w:t>
            </w:r>
            <w:r>
              <w:rPr>
                <w:rFonts w:ascii="Times New Roman" w:hAnsi="Times New Roman" w:cs="Times New Roman"/>
                <w:sz w:val="24"/>
                <w:szCs w:val="24"/>
                <w:lang w:val="en-US"/>
              </w:rPr>
              <w:t>及日常环保管理工作，项目对环境的影响可降至最小。从环保角度出发，本项目的建设可行。</w:t>
            </w:r>
          </w:p>
          <w:p w14:paraId="15712FCE">
            <w:pPr>
              <w:spacing w:line="520" w:lineRule="exact"/>
              <w:ind w:firstLine="600" w:firstLineChars="200"/>
              <w:jc w:val="both"/>
              <w:rPr>
                <w:rFonts w:ascii="Times New Roman" w:hAnsi="Times New Roman" w:eastAsia="黑体" w:cs="Times New Roman"/>
                <w:sz w:val="30"/>
                <w:lang w:val="en-US"/>
              </w:rPr>
            </w:pPr>
          </w:p>
        </w:tc>
      </w:tr>
    </w:tbl>
    <w:p w14:paraId="48D1E649">
      <w:pPr>
        <w:spacing w:before="124"/>
        <w:ind w:left="442" w:right="464"/>
        <w:jc w:val="center"/>
        <w:rPr>
          <w:rFonts w:ascii="Times New Roman" w:hAnsi="Times New Roman" w:eastAsia="黑体" w:cs="Times New Roman"/>
          <w:sz w:val="30"/>
        </w:rPr>
      </w:pPr>
    </w:p>
    <w:p w14:paraId="66EE350A">
      <w:pPr>
        <w:spacing w:line="364" w:lineRule="auto"/>
        <w:rPr>
          <w:rFonts w:ascii="Times New Roman" w:hAnsi="Times New Roman" w:cs="Times New Roman"/>
        </w:rPr>
        <w:sectPr>
          <w:footerReference r:id="rId9" w:type="default"/>
          <w:pgSz w:w="11910" w:h="16840"/>
          <w:pgMar w:top="1440" w:right="879" w:bottom="1219" w:left="901" w:header="720" w:footer="1043" w:gutter="0"/>
          <w:cols w:space="0" w:num="1"/>
        </w:sectPr>
      </w:pPr>
    </w:p>
    <w:p w14:paraId="2066A197">
      <w:pPr>
        <w:pStyle w:val="11"/>
        <w:rPr>
          <w:rFonts w:ascii="Times New Roman" w:hAnsi="Times New Roman" w:cs="Times New Roman"/>
          <w:sz w:val="22"/>
        </w:rPr>
      </w:pPr>
    </w:p>
    <w:p w14:paraId="3499959F">
      <w:pPr>
        <w:spacing w:before="54"/>
        <w:ind w:left="140"/>
        <w:rPr>
          <w:rFonts w:ascii="Times New Roman" w:hAnsi="Times New Roman" w:cs="Times New Roman"/>
          <w:sz w:val="20"/>
        </w:rPr>
      </w:pPr>
      <w:bookmarkStart w:id="24" w:name="附表"/>
      <w:bookmarkEnd w:id="24"/>
      <w:r>
        <w:rPr>
          <w:rFonts w:ascii="Times New Roman" w:hAnsi="Times New Roman" w:eastAsia="黑体" w:cs="Times New Roman"/>
          <w:sz w:val="32"/>
        </w:rPr>
        <w:t>附表</w:t>
      </w:r>
    </w:p>
    <w:p w14:paraId="1D96DF49">
      <w:pPr>
        <w:pStyle w:val="2"/>
        <w:spacing w:line="520" w:lineRule="exact"/>
        <w:ind w:left="0" w:right="0"/>
        <w:rPr>
          <w:rFonts w:ascii="Times New Roman" w:hAnsi="Times New Roman" w:cs="Times New Roman"/>
        </w:rPr>
      </w:pPr>
      <w:bookmarkStart w:id="25" w:name="建设项目污染物排放量汇总表"/>
      <w:bookmarkEnd w:id="25"/>
      <w:bookmarkStart w:id="26" w:name="_Toc31751"/>
      <w:bookmarkStart w:id="27" w:name="_Toc27198"/>
      <w:r>
        <w:rPr>
          <w:rFonts w:ascii="Times New Roman" w:hAnsi="Times New Roman" w:cs="Times New Roman"/>
        </w:rPr>
        <w:t>建设项目污染物排放量汇总表</w:t>
      </w:r>
      <w:bookmarkEnd w:id="26"/>
      <w:bookmarkEnd w:id="27"/>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483"/>
        <w:gridCol w:w="1775"/>
        <w:gridCol w:w="1354"/>
        <w:gridCol w:w="1929"/>
        <w:gridCol w:w="1718"/>
        <w:gridCol w:w="1890"/>
        <w:gridCol w:w="2104"/>
        <w:gridCol w:w="1295"/>
      </w:tblGrid>
      <w:tr w14:paraId="7B03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9" w:type="dxa"/>
            <w:tcBorders>
              <w:tl2br w:val="single" w:color="auto" w:sz="4" w:space="0"/>
            </w:tcBorders>
            <w:vAlign w:val="center"/>
          </w:tcPr>
          <w:p w14:paraId="7C47ED39">
            <w:pPr>
              <w:spacing w:line="360" w:lineRule="exact"/>
              <w:jc w:val="right"/>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项目</w:t>
            </w:r>
          </w:p>
          <w:p w14:paraId="4396E21E">
            <w:pPr>
              <w:spacing w:line="360" w:lineRule="exact"/>
              <w:jc w:val="center"/>
              <w:rPr>
                <w:rFonts w:ascii="Times New Roman" w:hAnsi="Times New Roman" w:cs="Times New Roman"/>
                <w:color w:val="auto"/>
                <w:sz w:val="21"/>
                <w:szCs w:val="21"/>
                <w:lang w:val="en-US"/>
              </w:rPr>
            </w:pPr>
          </w:p>
          <w:p w14:paraId="7C2A853C">
            <w:pPr>
              <w:spacing w:line="360" w:lineRule="exact"/>
              <w:jc w:val="both"/>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分类</w:t>
            </w:r>
          </w:p>
        </w:tc>
        <w:tc>
          <w:tcPr>
            <w:tcW w:w="1483" w:type="dxa"/>
            <w:vAlign w:val="center"/>
          </w:tcPr>
          <w:p w14:paraId="28968393">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污染物名称</w:t>
            </w:r>
          </w:p>
        </w:tc>
        <w:tc>
          <w:tcPr>
            <w:tcW w:w="1775" w:type="dxa"/>
            <w:vAlign w:val="center"/>
          </w:tcPr>
          <w:p w14:paraId="7A049DE9">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现有工程</w:t>
            </w:r>
          </w:p>
          <w:p w14:paraId="15E40CCA">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排放量（固体废物产生量）①</w:t>
            </w:r>
          </w:p>
        </w:tc>
        <w:tc>
          <w:tcPr>
            <w:tcW w:w="1354" w:type="dxa"/>
            <w:vAlign w:val="center"/>
          </w:tcPr>
          <w:p w14:paraId="5BF63306">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现有工程</w:t>
            </w:r>
          </w:p>
          <w:p w14:paraId="711001D2">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许可排放量</w:t>
            </w:r>
          </w:p>
          <w:p w14:paraId="4C42E4A5">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②</w:t>
            </w:r>
          </w:p>
        </w:tc>
        <w:tc>
          <w:tcPr>
            <w:tcW w:w="1929" w:type="dxa"/>
            <w:vAlign w:val="center"/>
          </w:tcPr>
          <w:p w14:paraId="16E0396C">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在建工程</w:t>
            </w:r>
          </w:p>
          <w:p w14:paraId="6FC1BF31">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排放</w:t>
            </w:r>
            <w:r>
              <w:rPr>
                <w:rFonts w:ascii="Times New Roman" w:hAnsi="Times New Roman" w:cs="Times New Roman"/>
                <w:color w:val="auto"/>
                <w:sz w:val="21"/>
                <w:szCs w:val="21"/>
                <w:lang w:val="en-US"/>
              </w:rPr>
              <w:t>量</w:t>
            </w:r>
            <w:r>
              <w:rPr>
                <w:rFonts w:ascii="Times New Roman" w:hAnsi="Times New Roman" w:cs="Times New Roman"/>
                <w:color w:val="auto"/>
                <w:sz w:val="21"/>
                <w:szCs w:val="21"/>
              </w:rPr>
              <w:t>（固体废物产生量）③</w:t>
            </w:r>
          </w:p>
        </w:tc>
        <w:tc>
          <w:tcPr>
            <w:tcW w:w="1718" w:type="dxa"/>
            <w:vAlign w:val="center"/>
          </w:tcPr>
          <w:p w14:paraId="6D990F4E">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本项目</w:t>
            </w:r>
          </w:p>
          <w:p w14:paraId="261A8C6C">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排放量（固体废物产生量）④</w:t>
            </w:r>
          </w:p>
        </w:tc>
        <w:tc>
          <w:tcPr>
            <w:tcW w:w="1890" w:type="dxa"/>
            <w:vAlign w:val="center"/>
          </w:tcPr>
          <w:p w14:paraId="6BC9026C">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以新带老削减量</w:t>
            </w:r>
          </w:p>
          <w:p w14:paraId="2FABC1D5">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（新建项目不填）</w:t>
            </w:r>
          </w:p>
          <w:p w14:paraId="077D35E4">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⑤</w:t>
            </w:r>
          </w:p>
        </w:tc>
        <w:tc>
          <w:tcPr>
            <w:tcW w:w="2104" w:type="dxa"/>
            <w:vAlign w:val="center"/>
          </w:tcPr>
          <w:p w14:paraId="21486200">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本项目建成后</w:t>
            </w:r>
          </w:p>
          <w:p w14:paraId="3E4B9C66">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全厂排放量（固体废物产生量）⑥</w:t>
            </w:r>
          </w:p>
        </w:tc>
        <w:tc>
          <w:tcPr>
            <w:tcW w:w="1295" w:type="dxa"/>
            <w:vAlign w:val="center"/>
          </w:tcPr>
          <w:p w14:paraId="415A6135">
            <w:pPr>
              <w:spacing w:line="360" w:lineRule="exact"/>
              <w:jc w:val="center"/>
              <w:rPr>
                <w:rFonts w:ascii="Times New Roman" w:hAnsi="Times New Roman" w:cs="Times New Roman"/>
                <w:color w:val="auto"/>
                <w:sz w:val="21"/>
                <w:szCs w:val="21"/>
              </w:rPr>
            </w:pPr>
          </w:p>
          <w:p w14:paraId="10FC581B">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变化量</w:t>
            </w:r>
          </w:p>
          <w:p w14:paraId="6448C954">
            <w:pPr>
              <w:spacing w:line="360" w:lineRule="exact"/>
              <w:jc w:val="center"/>
              <w:rPr>
                <w:rFonts w:ascii="Times New Roman" w:hAnsi="Times New Roman" w:cs="Times New Roman"/>
                <w:color w:val="auto"/>
                <w:sz w:val="21"/>
                <w:szCs w:val="21"/>
              </w:rPr>
            </w:pPr>
            <w:r>
              <w:rPr>
                <w:rFonts w:ascii="Times New Roman" w:hAnsi="Times New Roman" w:cs="Times New Roman"/>
                <w:color w:val="auto"/>
                <w:sz w:val="21"/>
                <w:szCs w:val="21"/>
              </w:rPr>
              <w:t>⑦</w:t>
            </w:r>
          </w:p>
        </w:tc>
      </w:tr>
      <w:tr w14:paraId="5E5E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9" w:type="dxa"/>
            <w:vAlign w:val="center"/>
          </w:tcPr>
          <w:p w14:paraId="5886FC3D">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废气</w:t>
            </w:r>
          </w:p>
        </w:tc>
        <w:tc>
          <w:tcPr>
            <w:tcW w:w="1483" w:type="dxa"/>
            <w:vAlign w:val="center"/>
          </w:tcPr>
          <w:p w14:paraId="187ECC8A">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颗粒物</w:t>
            </w:r>
          </w:p>
        </w:tc>
        <w:tc>
          <w:tcPr>
            <w:tcW w:w="1775" w:type="dxa"/>
            <w:vAlign w:val="center"/>
          </w:tcPr>
          <w:p w14:paraId="60758284">
            <w:pPr>
              <w:spacing w:line="360" w:lineRule="exact"/>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17.768</w:t>
            </w:r>
            <w:r>
              <w:rPr>
                <w:rFonts w:ascii="Times New Roman" w:hAnsi="Times New Roman" w:cs="Times New Roman"/>
                <w:color w:val="auto"/>
                <w:sz w:val="21"/>
                <w:szCs w:val="21"/>
                <w:lang w:val="en-US"/>
              </w:rPr>
              <w:t>t/a</w:t>
            </w:r>
          </w:p>
        </w:tc>
        <w:tc>
          <w:tcPr>
            <w:tcW w:w="1354" w:type="dxa"/>
            <w:vAlign w:val="center"/>
          </w:tcPr>
          <w:p w14:paraId="549C5804">
            <w:pPr>
              <w:spacing w:line="360" w:lineRule="exact"/>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17.768</w:t>
            </w:r>
            <w:r>
              <w:rPr>
                <w:rFonts w:ascii="Times New Roman" w:hAnsi="Times New Roman" w:cs="Times New Roman"/>
                <w:color w:val="auto"/>
                <w:sz w:val="21"/>
                <w:szCs w:val="21"/>
                <w:lang w:val="en-US"/>
              </w:rPr>
              <w:t>t/a</w:t>
            </w:r>
          </w:p>
        </w:tc>
        <w:tc>
          <w:tcPr>
            <w:tcW w:w="1929" w:type="dxa"/>
            <w:vAlign w:val="center"/>
          </w:tcPr>
          <w:p w14:paraId="1789B8AA">
            <w:pPr>
              <w:spacing w:line="360" w:lineRule="exact"/>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7.588</w:t>
            </w:r>
            <w:r>
              <w:rPr>
                <w:rFonts w:ascii="Times New Roman" w:hAnsi="Times New Roman" w:cs="Times New Roman"/>
                <w:color w:val="auto"/>
                <w:sz w:val="21"/>
                <w:szCs w:val="21"/>
                <w:lang w:val="en-US"/>
              </w:rPr>
              <w:t>t/a</w:t>
            </w:r>
          </w:p>
        </w:tc>
        <w:tc>
          <w:tcPr>
            <w:tcW w:w="1718" w:type="dxa"/>
            <w:vAlign w:val="center"/>
          </w:tcPr>
          <w:p w14:paraId="2E76EC64">
            <w:pPr>
              <w:spacing w:line="360" w:lineRule="exact"/>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7.588</w:t>
            </w:r>
            <w:r>
              <w:rPr>
                <w:rFonts w:ascii="Times New Roman" w:hAnsi="Times New Roman" w:cs="Times New Roman"/>
                <w:color w:val="auto"/>
                <w:sz w:val="21"/>
                <w:szCs w:val="21"/>
                <w:lang w:val="en-US"/>
              </w:rPr>
              <w:t>t/a</w:t>
            </w:r>
          </w:p>
        </w:tc>
        <w:tc>
          <w:tcPr>
            <w:tcW w:w="1890" w:type="dxa"/>
            <w:vAlign w:val="center"/>
          </w:tcPr>
          <w:p w14:paraId="257D337C">
            <w:pPr>
              <w:spacing w:line="360" w:lineRule="exact"/>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10.18</w:t>
            </w:r>
            <w:r>
              <w:rPr>
                <w:rFonts w:ascii="Times New Roman" w:hAnsi="Times New Roman" w:cs="Times New Roman"/>
                <w:color w:val="auto"/>
                <w:sz w:val="21"/>
                <w:szCs w:val="21"/>
                <w:lang w:val="en-US"/>
              </w:rPr>
              <w:t>t/a</w:t>
            </w:r>
          </w:p>
        </w:tc>
        <w:tc>
          <w:tcPr>
            <w:tcW w:w="2104" w:type="dxa"/>
            <w:vAlign w:val="center"/>
          </w:tcPr>
          <w:p w14:paraId="0DB1A08F">
            <w:pPr>
              <w:spacing w:line="360" w:lineRule="exact"/>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7.588</w:t>
            </w:r>
            <w:r>
              <w:rPr>
                <w:rFonts w:ascii="Times New Roman" w:hAnsi="Times New Roman" w:cs="Times New Roman"/>
                <w:color w:val="auto"/>
                <w:sz w:val="21"/>
                <w:szCs w:val="21"/>
                <w:lang w:val="en-US"/>
              </w:rPr>
              <w:t>t/a</w:t>
            </w:r>
          </w:p>
        </w:tc>
        <w:tc>
          <w:tcPr>
            <w:tcW w:w="1295" w:type="dxa"/>
            <w:vAlign w:val="center"/>
          </w:tcPr>
          <w:p w14:paraId="7CF177A8">
            <w:pPr>
              <w:spacing w:line="360" w:lineRule="exact"/>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eastAsia="zh-CN"/>
              </w:rPr>
              <w:t>-10.18</w:t>
            </w:r>
            <w:r>
              <w:rPr>
                <w:rFonts w:ascii="Times New Roman" w:hAnsi="Times New Roman" w:cs="Times New Roman"/>
                <w:color w:val="auto"/>
                <w:sz w:val="21"/>
                <w:szCs w:val="21"/>
                <w:lang w:val="en-US"/>
              </w:rPr>
              <w:t>t/a</w:t>
            </w:r>
          </w:p>
        </w:tc>
      </w:tr>
      <w:tr w14:paraId="0569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9" w:type="dxa"/>
            <w:vAlign w:val="center"/>
          </w:tcPr>
          <w:p w14:paraId="3BF02F33">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废水</w:t>
            </w:r>
          </w:p>
        </w:tc>
        <w:tc>
          <w:tcPr>
            <w:tcW w:w="1483" w:type="dxa"/>
            <w:vAlign w:val="center"/>
          </w:tcPr>
          <w:p w14:paraId="17A7C85B">
            <w:pPr>
              <w:spacing w:line="44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rPr>
              <w:t>生活污水</w:t>
            </w:r>
          </w:p>
        </w:tc>
        <w:tc>
          <w:tcPr>
            <w:tcW w:w="1775" w:type="dxa"/>
            <w:vAlign w:val="center"/>
          </w:tcPr>
          <w:p w14:paraId="2221AF5F">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354" w:type="dxa"/>
            <w:vAlign w:val="center"/>
          </w:tcPr>
          <w:p w14:paraId="6623B40B">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rPr>
              <w:t>/</w:t>
            </w:r>
          </w:p>
        </w:tc>
        <w:tc>
          <w:tcPr>
            <w:tcW w:w="1929" w:type="dxa"/>
            <w:vAlign w:val="center"/>
          </w:tcPr>
          <w:p w14:paraId="5FE6FB9D">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rPr>
              <w:t>/</w:t>
            </w:r>
          </w:p>
        </w:tc>
        <w:tc>
          <w:tcPr>
            <w:tcW w:w="1718" w:type="dxa"/>
            <w:vAlign w:val="center"/>
          </w:tcPr>
          <w:p w14:paraId="38B030AC">
            <w:pPr>
              <w:spacing w:line="44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890" w:type="dxa"/>
            <w:vAlign w:val="center"/>
          </w:tcPr>
          <w:p w14:paraId="66F562C6">
            <w:pPr>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2104" w:type="dxa"/>
            <w:vAlign w:val="center"/>
          </w:tcPr>
          <w:p w14:paraId="7709DF59">
            <w:pPr>
              <w:spacing w:line="44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295" w:type="dxa"/>
            <w:vAlign w:val="center"/>
          </w:tcPr>
          <w:p w14:paraId="638CDA1D">
            <w:pPr>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1005D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9" w:type="dxa"/>
            <w:vMerge w:val="restart"/>
            <w:vAlign w:val="center"/>
          </w:tcPr>
          <w:p w14:paraId="414FADAC">
            <w:pPr>
              <w:spacing w:line="360" w:lineRule="exact"/>
              <w:jc w:val="center"/>
              <w:rPr>
                <w:rFonts w:ascii="Times New Roman" w:hAnsi="Times New Roman" w:cs="Times New Roman"/>
                <w:color w:val="auto"/>
                <w:sz w:val="21"/>
                <w:szCs w:val="21"/>
                <w:lang w:val="en-US"/>
              </w:rPr>
            </w:pPr>
            <w:r>
              <w:rPr>
                <w:rFonts w:hint="eastAsia" w:ascii="Times New Roman" w:hAnsi="Times New Roman" w:cs="Times New Roman"/>
                <w:color w:val="auto"/>
                <w:sz w:val="21"/>
                <w:szCs w:val="21"/>
                <w:lang w:val="en-US"/>
              </w:rPr>
              <w:t>固废</w:t>
            </w:r>
          </w:p>
        </w:tc>
        <w:tc>
          <w:tcPr>
            <w:tcW w:w="1483" w:type="dxa"/>
            <w:vAlign w:val="center"/>
          </w:tcPr>
          <w:p w14:paraId="366632EC">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生活垃圾</w:t>
            </w:r>
          </w:p>
        </w:tc>
        <w:tc>
          <w:tcPr>
            <w:tcW w:w="1775" w:type="dxa"/>
            <w:vAlign w:val="center"/>
          </w:tcPr>
          <w:p w14:paraId="17DF4878">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354" w:type="dxa"/>
            <w:vAlign w:val="center"/>
          </w:tcPr>
          <w:p w14:paraId="51A4EC2E">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929" w:type="dxa"/>
            <w:vAlign w:val="center"/>
          </w:tcPr>
          <w:p w14:paraId="003FF653">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718" w:type="dxa"/>
            <w:vAlign w:val="center"/>
          </w:tcPr>
          <w:p w14:paraId="5CC49110">
            <w:pPr>
              <w:spacing w:line="36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890" w:type="dxa"/>
            <w:vAlign w:val="center"/>
          </w:tcPr>
          <w:p w14:paraId="2D7CD213">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2104" w:type="dxa"/>
            <w:vAlign w:val="center"/>
          </w:tcPr>
          <w:p w14:paraId="6E62A4BF">
            <w:pPr>
              <w:spacing w:line="36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c>
          <w:tcPr>
            <w:tcW w:w="1295" w:type="dxa"/>
            <w:vAlign w:val="center"/>
          </w:tcPr>
          <w:p w14:paraId="57D5977A">
            <w:pPr>
              <w:spacing w:line="360" w:lineRule="exact"/>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t>
            </w:r>
          </w:p>
        </w:tc>
      </w:tr>
      <w:tr w14:paraId="50E7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9" w:type="dxa"/>
            <w:vMerge w:val="continue"/>
            <w:vAlign w:val="center"/>
          </w:tcPr>
          <w:p w14:paraId="5321C9F8">
            <w:pPr>
              <w:spacing w:line="360" w:lineRule="exact"/>
              <w:jc w:val="center"/>
              <w:rPr>
                <w:rFonts w:ascii="Times New Roman" w:hAnsi="Times New Roman" w:cs="Times New Roman"/>
                <w:color w:val="auto"/>
                <w:sz w:val="21"/>
                <w:szCs w:val="21"/>
                <w:lang w:val="en-US"/>
              </w:rPr>
            </w:pPr>
          </w:p>
        </w:tc>
        <w:tc>
          <w:tcPr>
            <w:tcW w:w="1483" w:type="dxa"/>
            <w:vAlign w:val="center"/>
          </w:tcPr>
          <w:p w14:paraId="3B3B234F">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废润滑油</w:t>
            </w:r>
          </w:p>
        </w:tc>
        <w:tc>
          <w:tcPr>
            <w:tcW w:w="1775" w:type="dxa"/>
            <w:vAlign w:val="center"/>
          </w:tcPr>
          <w:p w14:paraId="38310FEB">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354" w:type="dxa"/>
            <w:vAlign w:val="center"/>
          </w:tcPr>
          <w:p w14:paraId="009338CE">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929" w:type="dxa"/>
            <w:vAlign w:val="center"/>
          </w:tcPr>
          <w:p w14:paraId="7F59A989">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718" w:type="dxa"/>
            <w:vAlign w:val="center"/>
          </w:tcPr>
          <w:p w14:paraId="12CE08B5">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0.</w:t>
            </w:r>
            <w:r>
              <w:rPr>
                <w:rFonts w:hint="eastAsia" w:ascii="Times New Roman" w:hAnsi="Times New Roman" w:cs="Times New Roman"/>
                <w:color w:val="auto"/>
                <w:sz w:val="21"/>
                <w:szCs w:val="21"/>
                <w:lang w:val="en-US"/>
              </w:rPr>
              <w:t>5</w:t>
            </w:r>
            <w:r>
              <w:rPr>
                <w:rFonts w:ascii="Times New Roman" w:hAnsi="Times New Roman" w:cs="Times New Roman"/>
                <w:color w:val="auto"/>
                <w:sz w:val="21"/>
                <w:szCs w:val="21"/>
                <w:lang w:val="en-US"/>
              </w:rPr>
              <w:t>t/a</w:t>
            </w:r>
          </w:p>
        </w:tc>
        <w:tc>
          <w:tcPr>
            <w:tcW w:w="1890" w:type="dxa"/>
            <w:vAlign w:val="center"/>
          </w:tcPr>
          <w:p w14:paraId="343810E7">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2104" w:type="dxa"/>
            <w:vAlign w:val="center"/>
          </w:tcPr>
          <w:p w14:paraId="60A41A2E">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0.</w:t>
            </w:r>
            <w:r>
              <w:rPr>
                <w:rFonts w:hint="eastAsia" w:ascii="Times New Roman" w:hAnsi="Times New Roman" w:cs="Times New Roman"/>
                <w:color w:val="auto"/>
                <w:sz w:val="21"/>
                <w:szCs w:val="21"/>
                <w:lang w:val="en-US"/>
              </w:rPr>
              <w:t>5</w:t>
            </w:r>
            <w:r>
              <w:rPr>
                <w:rFonts w:ascii="Times New Roman" w:hAnsi="Times New Roman" w:cs="Times New Roman"/>
                <w:color w:val="auto"/>
                <w:sz w:val="21"/>
                <w:szCs w:val="21"/>
                <w:lang w:val="en-US"/>
              </w:rPr>
              <w:t>t/a</w:t>
            </w:r>
          </w:p>
        </w:tc>
        <w:tc>
          <w:tcPr>
            <w:tcW w:w="1295" w:type="dxa"/>
            <w:vAlign w:val="center"/>
          </w:tcPr>
          <w:p w14:paraId="6CF21622">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0.</w:t>
            </w:r>
            <w:r>
              <w:rPr>
                <w:rFonts w:hint="eastAsia" w:ascii="Times New Roman" w:hAnsi="Times New Roman" w:cs="Times New Roman"/>
                <w:color w:val="auto"/>
                <w:sz w:val="21"/>
                <w:szCs w:val="21"/>
                <w:lang w:val="en-US"/>
              </w:rPr>
              <w:t>5</w:t>
            </w:r>
            <w:r>
              <w:rPr>
                <w:rFonts w:ascii="Times New Roman" w:hAnsi="Times New Roman" w:cs="Times New Roman"/>
                <w:color w:val="auto"/>
                <w:sz w:val="21"/>
                <w:szCs w:val="21"/>
                <w:lang w:val="en-US"/>
              </w:rPr>
              <w:t>t/a</w:t>
            </w:r>
          </w:p>
        </w:tc>
      </w:tr>
      <w:tr w14:paraId="5F88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9" w:type="dxa"/>
            <w:vMerge w:val="continue"/>
            <w:vAlign w:val="center"/>
          </w:tcPr>
          <w:p w14:paraId="31CA93DB">
            <w:pPr>
              <w:spacing w:line="360" w:lineRule="exact"/>
              <w:jc w:val="center"/>
              <w:rPr>
                <w:rFonts w:ascii="Times New Roman" w:hAnsi="Times New Roman" w:cs="Times New Roman"/>
                <w:color w:val="auto"/>
                <w:sz w:val="21"/>
                <w:szCs w:val="21"/>
                <w:lang w:val="en-US"/>
              </w:rPr>
            </w:pPr>
          </w:p>
        </w:tc>
        <w:tc>
          <w:tcPr>
            <w:tcW w:w="1483" w:type="dxa"/>
            <w:vAlign w:val="center"/>
          </w:tcPr>
          <w:p w14:paraId="496D59DF">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废润滑油桶</w:t>
            </w:r>
          </w:p>
        </w:tc>
        <w:tc>
          <w:tcPr>
            <w:tcW w:w="1775" w:type="dxa"/>
            <w:vAlign w:val="center"/>
          </w:tcPr>
          <w:p w14:paraId="789646D4">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354" w:type="dxa"/>
            <w:vAlign w:val="center"/>
          </w:tcPr>
          <w:p w14:paraId="68643ACF">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929" w:type="dxa"/>
            <w:vAlign w:val="center"/>
          </w:tcPr>
          <w:p w14:paraId="294F5BBC">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1718" w:type="dxa"/>
            <w:vAlign w:val="center"/>
          </w:tcPr>
          <w:p w14:paraId="23F5F1F5">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5个</w:t>
            </w:r>
          </w:p>
        </w:tc>
        <w:tc>
          <w:tcPr>
            <w:tcW w:w="1890" w:type="dxa"/>
            <w:vAlign w:val="center"/>
          </w:tcPr>
          <w:p w14:paraId="4B711828">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w:t>
            </w:r>
          </w:p>
        </w:tc>
        <w:tc>
          <w:tcPr>
            <w:tcW w:w="2104" w:type="dxa"/>
            <w:vAlign w:val="center"/>
          </w:tcPr>
          <w:p w14:paraId="4CCA1E55">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5个</w:t>
            </w:r>
          </w:p>
        </w:tc>
        <w:tc>
          <w:tcPr>
            <w:tcW w:w="1295" w:type="dxa"/>
            <w:vAlign w:val="center"/>
          </w:tcPr>
          <w:p w14:paraId="69F99141">
            <w:pPr>
              <w:spacing w:line="360" w:lineRule="exact"/>
              <w:jc w:val="center"/>
              <w:rPr>
                <w:rFonts w:ascii="Times New Roman" w:hAnsi="Times New Roman" w:cs="Times New Roman"/>
                <w:color w:val="auto"/>
                <w:sz w:val="21"/>
                <w:szCs w:val="21"/>
                <w:lang w:val="en-US"/>
              </w:rPr>
            </w:pPr>
            <w:r>
              <w:rPr>
                <w:rFonts w:ascii="Times New Roman" w:hAnsi="Times New Roman" w:cs="Times New Roman"/>
                <w:color w:val="auto"/>
                <w:sz w:val="21"/>
                <w:szCs w:val="21"/>
                <w:lang w:val="en-US"/>
              </w:rPr>
              <w:t>5个</w:t>
            </w:r>
          </w:p>
        </w:tc>
      </w:tr>
    </w:tbl>
    <w:p w14:paraId="0511599A">
      <w:pPr>
        <w:pStyle w:val="11"/>
        <w:spacing w:before="66"/>
        <w:ind w:left="140"/>
        <w:rPr>
          <w:rFonts w:ascii="Times New Roman" w:hAnsi="Times New Roman" w:eastAsia="仿宋" w:cs="Times New Roman"/>
          <w:sz w:val="21"/>
          <w:szCs w:val="21"/>
          <w:lang w:val="en-US"/>
        </w:rPr>
      </w:pPr>
      <w:r>
        <w:rPr>
          <w:rFonts w:ascii="Times New Roman" w:hAnsi="Times New Roman" w:eastAsia="仿宋" w:cs="Times New Roman"/>
          <w:sz w:val="21"/>
          <w:szCs w:val="21"/>
        </w:rPr>
        <w:t>注</w:t>
      </w:r>
      <w:r>
        <w:rPr>
          <w:rFonts w:ascii="Times New Roman" w:hAnsi="Times New Roman" w:eastAsia="仿宋" w:cs="Times New Roman"/>
          <w:sz w:val="21"/>
          <w:szCs w:val="21"/>
          <w:lang w:val="en-US"/>
        </w:rPr>
        <w:t>：⑥</w:t>
      </w:r>
      <w:r>
        <w:rPr>
          <w:rFonts w:ascii="Times New Roman" w:hAnsi="Times New Roman" w:cs="Times New Roman"/>
          <w:sz w:val="21"/>
          <w:szCs w:val="21"/>
          <w:lang w:val="en-US"/>
        </w:rPr>
        <w:t>=</w:t>
      </w:r>
      <w:r>
        <w:rPr>
          <w:rFonts w:ascii="Times New Roman" w:hAnsi="Times New Roman" w:eastAsia="仿宋" w:cs="Times New Roman"/>
          <w:sz w:val="21"/>
          <w:szCs w:val="21"/>
          <w:lang w:val="en-US"/>
        </w:rPr>
        <w:t>①</w:t>
      </w:r>
      <w:r>
        <w:rPr>
          <w:rFonts w:ascii="Times New Roman" w:hAnsi="Times New Roman" w:cs="Times New Roman"/>
          <w:sz w:val="21"/>
          <w:szCs w:val="21"/>
          <w:lang w:val="en-US"/>
        </w:rPr>
        <w:t>+</w:t>
      </w:r>
      <w:r>
        <w:rPr>
          <w:rFonts w:ascii="Times New Roman" w:hAnsi="Times New Roman" w:eastAsia="仿宋" w:cs="Times New Roman"/>
          <w:sz w:val="21"/>
          <w:szCs w:val="21"/>
          <w:lang w:val="en-US"/>
        </w:rPr>
        <w:t>③</w:t>
      </w:r>
      <w:r>
        <w:rPr>
          <w:rFonts w:ascii="Times New Roman" w:hAnsi="Times New Roman" w:cs="Times New Roman"/>
          <w:sz w:val="21"/>
          <w:szCs w:val="21"/>
          <w:lang w:val="en-US"/>
        </w:rPr>
        <w:t>+</w:t>
      </w:r>
      <w:r>
        <w:rPr>
          <w:rFonts w:ascii="Times New Roman" w:hAnsi="Times New Roman" w:eastAsia="仿宋" w:cs="Times New Roman"/>
          <w:sz w:val="21"/>
          <w:szCs w:val="21"/>
          <w:lang w:val="en-US"/>
        </w:rPr>
        <w:t>④</w:t>
      </w:r>
      <w:r>
        <w:rPr>
          <w:rFonts w:ascii="Times New Roman" w:hAnsi="Times New Roman" w:cs="Times New Roman"/>
          <w:sz w:val="21"/>
          <w:szCs w:val="21"/>
          <w:lang w:val="en-US"/>
        </w:rPr>
        <w:t>-</w:t>
      </w:r>
      <w:r>
        <w:rPr>
          <w:rFonts w:ascii="Times New Roman" w:hAnsi="Times New Roman" w:eastAsia="仿宋" w:cs="Times New Roman"/>
          <w:sz w:val="21"/>
          <w:szCs w:val="21"/>
          <w:lang w:val="en-US"/>
        </w:rPr>
        <w:t>⑤；⑦</w:t>
      </w:r>
      <w:r>
        <w:rPr>
          <w:rFonts w:ascii="Times New Roman" w:hAnsi="Times New Roman" w:cs="Times New Roman"/>
          <w:sz w:val="21"/>
          <w:szCs w:val="21"/>
          <w:lang w:val="en-US"/>
        </w:rPr>
        <w:t>=</w:t>
      </w:r>
      <w:r>
        <w:rPr>
          <w:rFonts w:ascii="Times New Roman" w:hAnsi="Times New Roman" w:eastAsia="仿宋" w:cs="Times New Roman"/>
          <w:sz w:val="21"/>
          <w:szCs w:val="21"/>
          <w:lang w:val="en-US"/>
        </w:rPr>
        <w:t>⑥</w:t>
      </w:r>
      <w:r>
        <w:rPr>
          <w:rFonts w:ascii="Times New Roman" w:hAnsi="Times New Roman" w:cs="Times New Roman"/>
          <w:sz w:val="21"/>
          <w:szCs w:val="21"/>
          <w:lang w:val="en-US"/>
        </w:rPr>
        <w:t>-</w:t>
      </w:r>
      <w:r>
        <w:rPr>
          <w:rFonts w:ascii="Times New Roman" w:hAnsi="Times New Roman" w:eastAsia="仿宋" w:cs="Times New Roman"/>
          <w:sz w:val="21"/>
          <w:szCs w:val="21"/>
          <w:lang w:val="en-US"/>
        </w:rPr>
        <w:t>①</w:t>
      </w:r>
    </w:p>
    <w:p w14:paraId="1945FD8C">
      <w:pPr>
        <w:spacing w:before="62"/>
        <w:ind w:right="4070"/>
        <w:jc w:val="both"/>
        <w:rPr>
          <w:rFonts w:hint="default" w:ascii="Times New Roman" w:hAnsi="Times New Roman" w:cs="Times New Roman"/>
          <w:sz w:val="28"/>
          <w:lang w:val="en-US" w:eastAsia="zh-CN"/>
        </w:rPr>
      </w:pPr>
    </w:p>
    <w:sectPr>
      <w:footerReference r:id="rId10" w:type="default"/>
      <w:pgSz w:w="16840" w:h="11910" w:orient="landscape"/>
      <w:pgMar w:top="901" w:right="1440" w:bottom="879" w:left="1219" w:header="720" w:footer="1043"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cript">
    <w:altName w:val="Segoe Script"/>
    <w:panose1 w:val="00000000000000000000"/>
    <w:charset w:val="00"/>
    <w:family w:val="script"/>
    <w:pitch w:val="default"/>
    <w:sig w:usb0="00000000" w:usb1="00000000" w:usb2="00000000" w:usb3="00000000" w:csb0="00040001" w:csb1="00000000"/>
  </w:font>
  <w:font w:name="Segoe Script">
    <w:panose1 w:val="030B0504020000000003"/>
    <w:charset w:val="00"/>
    <w:family w:val="auto"/>
    <w:pitch w:val="default"/>
    <w:sig w:usb0="0000028F" w:usb1="00000000" w:usb2="00000000" w:usb3="00000000" w:csb0="0000009F" w:csb1="00000000"/>
  </w:font>
  <w:font w:name="Wingdings 2">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97DDF">
    <w:pPr>
      <w:pStyle w:val="11"/>
      <w:spacing w:line="14" w:lineRule="auto"/>
      <w:rPr>
        <w:rFonts w:hint="eastAsia"/>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63087">
    <w:pPr>
      <w:pStyle w:val="11"/>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C1825">
    <w:pPr>
      <w:pStyle w:val="11"/>
      <w:spacing w:line="14" w:lineRule="auto"/>
      <w:rPr>
        <w:rFonts w:hint="eastAsia"/>
        <w:sz w:val="20"/>
      </w:rPr>
    </w:pPr>
    <w:r>
      <w:rPr>
        <w:sz w:val="20"/>
        <w:lang w:val="en-US"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99D00C0">
                          <w:pPr>
                            <w:pStyle w:val="20"/>
                            <w:rPr>
                              <w:rFonts w:hint="eastAsia"/>
                            </w:rPr>
                          </w:pPr>
                          <w:r>
                            <w:fldChar w:fldCharType="begin"/>
                          </w:r>
                          <w:r>
                            <w:instrText xml:space="preserve"> PAGE  \* MERGEFORMAT </w:instrText>
                          </w:r>
                          <w:r>
                            <w:fldChar w:fldCharType="separate"/>
                          </w:r>
                          <w:r>
                            <w:t>6</w:t>
                          </w:r>
                          <w:r>
                            <w:fldChar w:fldCharType="end"/>
                          </w:r>
                        </w:p>
                      </w:txbxContent>
                    </wps:txbx>
                    <wps:bodyPr wrap="none" lIns="0" tIns="0" rIns="0" bIns="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pOT/OxgEAAJ0DAAAOAAAAAAAAAAEAIAAAAB4BAABkcnMvZTJvRG9jLnht&#10;bFBLBQYAAAAABgAGAFkBAABWBQAAAAA=&#10;">
              <v:fill on="f" focussize="0,0"/>
              <v:stroke on="f"/>
              <v:imagedata o:title=""/>
              <o:lock v:ext="edit" aspectratio="f"/>
              <v:textbox inset="0mm,0mm,0mm,0mm" style="mso-fit-shape-to-text:t;">
                <w:txbxContent>
                  <w:p w14:paraId="499D00C0">
                    <w:pPr>
                      <w:pStyle w:val="20"/>
                      <w:rPr>
                        <w:rFonts w:hint="eastAsia"/>
                      </w:rPr>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1F327">
    <w:pPr>
      <w:pStyle w:val="11"/>
      <w:spacing w:line="14" w:lineRule="auto"/>
      <w:rPr>
        <w:rFonts w:hint="eastAsia"/>
        <w:sz w:val="20"/>
      </w:rPr>
    </w:pPr>
    <w:r>
      <w:rPr>
        <w:sz w:val="20"/>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2997D5C">
                          <w:pPr>
                            <w:pStyle w:val="20"/>
                            <w:rPr>
                              <w:rFonts w:hint="eastAsia"/>
                            </w:rPr>
                          </w:pPr>
                          <w:r>
                            <w:fldChar w:fldCharType="begin"/>
                          </w:r>
                          <w:r>
                            <w:instrText xml:space="preserve"> PAGE  \* MERGEFORMAT </w:instrText>
                          </w:r>
                          <w:r>
                            <w:fldChar w:fldCharType="separate"/>
                          </w:r>
                          <w:r>
                            <w:t>33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4FwuIscBAACfAwAADgAAAAAAAAABACAAAAAeAQAAZHJzL2Uyb0RvYy54&#10;bWxQSwUGAAAAAAYABgBZAQAAVwUAAAAA&#10;">
              <v:fill on="f" focussize="0,0"/>
              <v:stroke on="f"/>
              <v:imagedata o:title=""/>
              <o:lock v:ext="edit" aspectratio="f"/>
              <v:textbox inset="0mm,0mm,0mm,0mm" style="mso-fit-shape-to-text:t;">
                <w:txbxContent>
                  <w:p w14:paraId="52997D5C">
                    <w:pPr>
                      <w:pStyle w:val="20"/>
                      <w:rPr>
                        <w:rFonts w:hint="eastAsia"/>
                      </w:rPr>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8D863">
    <w:pPr>
      <w:pStyle w:val="11"/>
      <w:spacing w:line="14" w:lineRule="auto"/>
      <w:rPr>
        <w:rFonts w:hint="eastAsia"/>
        <w:sz w:val="20"/>
      </w:rPr>
    </w:pPr>
    <w:r>
      <w:rPr>
        <w:sz w:val="20"/>
        <w:lang w:val="en-US"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8CD55F2">
                          <w:pPr>
                            <w:pStyle w:val="20"/>
                            <w:rPr>
                              <w:rFonts w:hint="eastAsia"/>
                            </w:rPr>
                          </w:pPr>
                          <w:r>
                            <w:fldChar w:fldCharType="begin"/>
                          </w:r>
                          <w:r>
                            <w:instrText xml:space="preserve"> PAGE  \* MERGEFORMAT </w:instrText>
                          </w:r>
                          <w:r>
                            <w:fldChar w:fldCharType="separate"/>
                          </w:r>
                          <w:r>
                            <w:t>40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REoaXIAQAAnwMAAA4AAAAAAAAAAQAgAAAAHgEAAGRycy9lMm9Eb2Mu&#10;eG1sUEsFBgAAAAAGAAYAWQEAAFgFAAAAAA==&#10;">
              <v:fill on="f" focussize="0,0"/>
              <v:stroke on="f"/>
              <v:imagedata o:title=""/>
              <o:lock v:ext="edit" aspectratio="f"/>
              <v:textbox inset="0mm,0mm,0mm,0mm" style="mso-fit-shape-to-text:t;">
                <w:txbxContent>
                  <w:p w14:paraId="58CD55F2">
                    <w:pPr>
                      <w:pStyle w:val="20"/>
                      <w:rPr>
                        <w:rFonts w:hint="eastAsia"/>
                      </w:rPr>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328FB">
    <w:pPr>
      <w:pStyle w:val="11"/>
      <w:spacing w:line="14" w:lineRule="auto"/>
      <w:rPr>
        <w:rFonts w:hint="eastAsia"/>
        <w:sz w:val="20"/>
      </w:rPr>
    </w:pPr>
    <w:r>
      <w:rPr>
        <w:sz w:val="20"/>
        <w:lang w:val="en-US"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B14249E">
                          <w:pPr>
                            <w:pStyle w:val="20"/>
                            <w:rPr>
                              <w:rFonts w:hint="eastAsia"/>
                            </w:rPr>
                          </w:pPr>
                          <w:r>
                            <w:fldChar w:fldCharType="begin"/>
                          </w:r>
                          <w:r>
                            <w:instrText xml:space="preserve"> PAGE  \* MERGEFORMAT </w:instrText>
                          </w:r>
                          <w:r>
                            <w:fldChar w:fldCharType="separate"/>
                          </w:r>
                          <w:r>
                            <w:t>46</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45B7kccBAACfAwAADgAAAAAAAAABACAAAAAeAQAAZHJzL2Uyb0RvYy54&#10;bWxQSwUGAAAAAAYABgBZAQAAVwUAAAAA&#10;">
              <v:fill on="f" focussize="0,0"/>
              <v:stroke on="f"/>
              <v:imagedata o:title=""/>
              <o:lock v:ext="edit" aspectratio="f"/>
              <v:textbox inset="0mm,0mm,0mm,0mm" style="mso-fit-shape-to-text:t;">
                <w:txbxContent>
                  <w:p w14:paraId="7B14249E">
                    <w:pPr>
                      <w:pStyle w:val="20"/>
                      <w:rPr>
                        <w:rFonts w:hint="eastAsia"/>
                      </w:rPr>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5843B">
    <w:pPr>
      <w:pStyle w:val="11"/>
      <w:spacing w:line="14" w:lineRule="auto"/>
      <w:rPr>
        <w:rFonts w:hint="eastAsia"/>
        <w:sz w:val="20"/>
      </w:rPr>
    </w:pPr>
    <w:r>
      <w:rPr>
        <w:sz w:val="20"/>
        <w:lang w:val="en-US"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99CD62">
                          <w:pPr>
                            <w:pStyle w:val="20"/>
                            <w:rPr>
                              <w:rFonts w:hint="eastAsia"/>
                            </w:rPr>
                          </w:pPr>
                          <w:r>
                            <w:fldChar w:fldCharType="begin"/>
                          </w:r>
                          <w:r>
                            <w:instrText xml:space="preserve"> PAGE  \* MERGEFORMAT </w:instrText>
                          </w:r>
                          <w:r>
                            <w:fldChar w:fldCharType="separate"/>
                          </w:r>
                          <w:r>
                            <w:t>55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WcCdbIAQAAnwMAAA4AAAAAAAAAAQAgAAAAHgEAAGRycy9lMm9Eb2Mu&#10;eG1sUEsFBgAAAAAGAAYAWQEAAFgFAAAAAA==&#10;">
              <v:fill on="f" focussize="0,0"/>
              <v:stroke on="f"/>
              <v:imagedata o:title=""/>
              <o:lock v:ext="edit" aspectratio="f"/>
              <v:textbox inset="0mm,0mm,0mm,0mm" style="mso-fit-shape-to-text:t;">
                <w:txbxContent>
                  <w:p w14:paraId="4D99CD62">
                    <w:pPr>
                      <w:pStyle w:val="20"/>
                      <w:rPr>
                        <w:rFonts w:hint="eastAsia"/>
                      </w:rPr>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67486">
    <w:pPr>
      <w:pStyle w:val="11"/>
      <w:spacing w:line="14" w:lineRule="auto"/>
      <w:rPr>
        <w:rFonts w:hint="eastAsia"/>
        <w:sz w:val="2"/>
      </w:rPr>
    </w:pPr>
    <w:r>
      <w:rPr>
        <w:sz w:val="2"/>
        <w:lang w:val="en-US"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B32208E">
                          <w:pPr>
                            <w:pStyle w:val="20"/>
                            <w:rPr>
                              <w:rFonts w:hint="eastAsia"/>
                            </w:rPr>
                          </w:pPr>
                          <w:r>
                            <w:fldChar w:fldCharType="begin"/>
                          </w:r>
                          <w:r>
                            <w:instrText xml:space="preserve"> PAGE  \* MERGEFORMAT </w:instrText>
                          </w:r>
                          <w:r>
                            <w:fldChar w:fldCharType="separate"/>
                          </w:r>
                          <w:r>
                            <w:t>91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jQv8XIAQAAnwMAAA4AAAAAAAAAAQAgAAAAHgEAAGRycy9lMm9Eb2Mu&#10;eG1sUEsFBgAAAAAGAAYAWQEAAFgFAAAAAA==&#10;">
              <v:fill on="f" focussize="0,0"/>
              <v:stroke on="f"/>
              <v:imagedata o:title=""/>
              <o:lock v:ext="edit" aspectratio="f"/>
              <v:textbox inset="0mm,0mm,0mm,0mm" style="mso-fit-shape-to-text:t;">
                <w:txbxContent>
                  <w:p w14:paraId="2B32208E">
                    <w:pPr>
                      <w:pStyle w:val="20"/>
                      <w:rPr>
                        <w:rFonts w:hint="eastAsia"/>
                      </w:rPr>
                    </w:pPr>
                    <w:r>
                      <w:fldChar w:fldCharType="begin"/>
                    </w:r>
                    <w:r>
                      <w:instrText xml:space="preserve"> PAGE  \* MERGEFORMAT </w:instrText>
                    </w:r>
                    <w:r>
                      <w:fldChar w:fldCharType="separate"/>
                    </w:r>
                    <w:r>
                      <w:t>91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0E174D"/>
    <w:multiLevelType w:val="singleLevel"/>
    <w:tmpl w:val="990E174D"/>
    <w:lvl w:ilvl="0" w:tentative="0">
      <w:start w:val="6"/>
      <w:numFmt w:val="decimal"/>
      <w:suff w:val="nothing"/>
      <w:lvlText w:val="%1、"/>
      <w:lvlJc w:val="left"/>
    </w:lvl>
  </w:abstractNum>
  <w:abstractNum w:abstractNumId="1">
    <w:nsid w:val="C4A96932"/>
    <w:multiLevelType w:val="singleLevel"/>
    <w:tmpl w:val="C4A96932"/>
    <w:lvl w:ilvl="0" w:tentative="0">
      <w:start w:val="1"/>
      <w:numFmt w:val="decimal"/>
      <w:lvlText w:val="%1."/>
      <w:lvlJc w:val="left"/>
      <w:pPr>
        <w:tabs>
          <w:tab w:val="left" w:pos="312"/>
        </w:tabs>
      </w:pPr>
    </w:lvl>
  </w:abstractNum>
  <w:abstractNum w:abstractNumId="2">
    <w:nsid w:val="CBB5AD10"/>
    <w:multiLevelType w:val="singleLevel"/>
    <w:tmpl w:val="CBB5AD10"/>
    <w:lvl w:ilvl="0" w:tentative="0">
      <w:start w:val="1"/>
      <w:numFmt w:val="bullet"/>
      <w:pStyle w:val="12"/>
      <w:lvlText w:val=""/>
      <w:lvlJc w:val="left"/>
      <w:pPr>
        <w:tabs>
          <w:tab w:val="left" w:pos="2040"/>
        </w:tabs>
        <w:ind w:left="2040" w:hanging="360"/>
      </w:pPr>
      <w:rPr>
        <w:rFonts w:hint="default" w:ascii="Wingdings" w:hAnsi="Wingdings"/>
      </w:rPr>
    </w:lvl>
  </w:abstractNum>
  <w:abstractNum w:abstractNumId="3">
    <w:nsid w:val="F94944B9"/>
    <w:multiLevelType w:val="singleLevel"/>
    <w:tmpl w:val="F94944B9"/>
    <w:lvl w:ilvl="0" w:tentative="0">
      <w:start w:val="2"/>
      <w:numFmt w:val="chineseCounting"/>
      <w:suff w:val="nothing"/>
      <w:lvlText w:val="%1、"/>
      <w:lvlJc w:val="left"/>
      <w:rPr>
        <w:rFonts w:hint="eastAsia"/>
      </w:rPr>
    </w:lvl>
  </w:abstractNum>
  <w:abstractNum w:abstractNumId="4">
    <w:nsid w:val="FE7842A3"/>
    <w:multiLevelType w:val="singleLevel"/>
    <w:tmpl w:val="FE7842A3"/>
    <w:lvl w:ilvl="0" w:tentative="0">
      <w:start w:val="4"/>
      <w:numFmt w:val="decimal"/>
      <w:suff w:val="nothing"/>
      <w:lvlText w:val="%1、"/>
      <w:lvlJc w:val="left"/>
    </w:lvl>
  </w:abstractNum>
  <w:abstractNum w:abstractNumId="5">
    <w:nsid w:val="0F11A318"/>
    <w:multiLevelType w:val="singleLevel"/>
    <w:tmpl w:val="0F11A318"/>
    <w:lvl w:ilvl="0" w:tentative="0">
      <w:start w:val="6"/>
      <w:numFmt w:val="decimal"/>
      <w:suff w:val="nothing"/>
      <w:lvlText w:val="%1、"/>
      <w:lvlJc w:val="left"/>
    </w:lvl>
  </w:abstractNum>
  <w:abstractNum w:abstractNumId="6">
    <w:nsid w:val="3869FA0F"/>
    <w:multiLevelType w:val="singleLevel"/>
    <w:tmpl w:val="3869FA0F"/>
    <w:lvl w:ilvl="0" w:tentative="0">
      <w:start w:val="5"/>
      <w:numFmt w:val="decimal"/>
      <w:suff w:val="nothing"/>
      <w:lvlText w:val="%1、"/>
      <w:lvlJc w:val="left"/>
      <w:pPr>
        <w:ind w:left="480" w:leftChars="0" w:firstLine="0" w:firstLineChars="0"/>
      </w:pPr>
    </w:lvl>
  </w:abstractNum>
  <w:abstractNum w:abstractNumId="7">
    <w:nsid w:val="42EC3EFC"/>
    <w:multiLevelType w:val="singleLevel"/>
    <w:tmpl w:val="42EC3EFC"/>
    <w:lvl w:ilvl="0" w:tentative="0">
      <w:start w:val="1"/>
      <w:numFmt w:val="decimal"/>
      <w:suff w:val="nothing"/>
      <w:lvlText w:val="%1、"/>
      <w:lvlJc w:val="left"/>
    </w:lvl>
  </w:abstractNum>
  <w:abstractNum w:abstractNumId="8">
    <w:nsid w:val="71913A5D"/>
    <w:multiLevelType w:val="singleLevel"/>
    <w:tmpl w:val="71913A5D"/>
    <w:lvl w:ilvl="0" w:tentative="0">
      <w:start w:val="2"/>
      <w:numFmt w:val="decimal"/>
      <w:suff w:val="nothing"/>
      <w:lvlText w:val="%1、"/>
      <w:lvlJc w:val="left"/>
    </w:lvl>
  </w:abstractNum>
  <w:num w:numId="1">
    <w:abstractNumId w:val="2"/>
  </w:num>
  <w:num w:numId="2">
    <w:abstractNumId w:val="1"/>
  </w:num>
  <w:num w:numId="3">
    <w:abstractNumId w:val="3"/>
  </w:num>
  <w:num w:numId="4">
    <w:abstractNumId w:val="8"/>
  </w:num>
  <w:num w:numId="5">
    <w:abstractNumId w:val="6"/>
  </w:num>
  <w:num w:numId="6">
    <w:abstractNumId w:val="7"/>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2NjM2N2FiZjZhMTY0Yjk1MjUyMjVmZmRmNjkwYjcifQ=="/>
  </w:docVars>
  <w:rsids>
    <w:rsidRoot w:val="00172A27"/>
    <w:rsid w:val="0004234C"/>
    <w:rsid w:val="0004791E"/>
    <w:rsid w:val="00052A18"/>
    <w:rsid w:val="00066EBC"/>
    <w:rsid w:val="000749E3"/>
    <w:rsid w:val="001070F5"/>
    <w:rsid w:val="00132B00"/>
    <w:rsid w:val="00170187"/>
    <w:rsid w:val="00172A27"/>
    <w:rsid w:val="001F46D4"/>
    <w:rsid w:val="00204ED0"/>
    <w:rsid w:val="00207CED"/>
    <w:rsid w:val="00220289"/>
    <w:rsid w:val="00225EDA"/>
    <w:rsid w:val="00290111"/>
    <w:rsid w:val="00292BAB"/>
    <w:rsid w:val="00296707"/>
    <w:rsid w:val="002976BB"/>
    <w:rsid w:val="0031711F"/>
    <w:rsid w:val="00327A00"/>
    <w:rsid w:val="00327CB1"/>
    <w:rsid w:val="00342913"/>
    <w:rsid w:val="003510F1"/>
    <w:rsid w:val="00381F57"/>
    <w:rsid w:val="003C0FB6"/>
    <w:rsid w:val="003C5973"/>
    <w:rsid w:val="003E0293"/>
    <w:rsid w:val="00420C49"/>
    <w:rsid w:val="004266A9"/>
    <w:rsid w:val="00432E8D"/>
    <w:rsid w:val="00470672"/>
    <w:rsid w:val="00491693"/>
    <w:rsid w:val="00497811"/>
    <w:rsid w:val="004A2281"/>
    <w:rsid w:val="004B0D73"/>
    <w:rsid w:val="004D3FE3"/>
    <w:rsid w:val="004D72E2"/>
    <w:rsid w:val="004E0863"/>
    <w:rsid w:val="004F5443"/>
    <w:rsid w:val="0050638A"/>
    <w:rsid w:val="00563274"/>
    <w:rsid w:val="0058523E"/>
    <w:rsid w:val="00585719"/>
    <w:rsid w:val="005949E4"/>
    <w:rsid w:val="005A0405"/>
    <w:rsid w:val="005D2854"/>
    <w:rsid w:val="005E5CB9"/>
    <w:rsid w:val="005F65CD"/>
    <w:rsid w:val="00616E69"/>
    <w:rsid w:val="00670104"/>
    <w:rsid w:val="00693203"/>
    <w:rsid w:val="006D0CE9"/>
    <w:rsid w:val="006D7745"/>
    <w:rsid w:val="006F69F8"/>
    <w:rsid w:val="007450AB"/>
    <w:rsid w:val="00765781"/>
    <w:rsid w:val="007810B8"/>
    <w:rsid w:val="0079065D"/>
    <w:rsid w:val="007C3190"/>
    <w:rsid w:val="007F01EB"/>
    <w:rsid w:val="007F5B53"/>
    <w:rsid w:val="00807820"/>
    <w:rsid w:val="00821A9F"/>
    <w:rsid w:val="00826CEB"/>
    <w:rsid w:val="00872831"/>
    <w:rsid w:val="00885B23"/>
    <w:rsid w:val="008A0C1C"/>
    <w:rsid w:val="008A45C9"/>
    <w:rsid w:val="008B04E2"/>
    <w:rsid w:val="008E6D5D"/>
    <w:rsid w:val="008F5F8D"/>
    <w:rsid w:val="008F6C8E"/>
    <w:rsid w:val="00906786"/>
    <w:rsid w:val="00951FEE"/>
    <w:rsid w:val="0096312D"/>
    <w:rsid w:val="009808CB"/>
    <w:rsid w:val="00987AA9"/>
    <w:rsid w:val="009A5DA8"/>
    <w:rsid w:val="009B10AA"/>
    <w:rsid w:val="009B42C4"/>
    <w:rsid w:val="009D0EA3"/>
    <w:rsid w:val="009D2992"/>
    <w:rsid w:val="00A00C3C"/>
    <w:rsid w:val="00A04D4D"/>
    <w:rsid w:val="00A12741"/>
    <w:rsid w:val="00A34C56"/>
    <w:rsid w:val="00A50D66"/>
    <w:rsid w:val="00A775A5"/>
    <w:rsid w:val="00AD2E6D"/>
    <w:rsid w:val="00AE2E42"/>
    <w:rsid w:val="00AE4E5E"/>
    <w:rsid w:val="00B2683C"/>
    <w:rsid w:val="00B34E98"/>
    <w:rsid w:val="00B42975"/>
    <w:rsid w:val="00B93F2F"/>
    <w:rsid w:val="00B969B2"/>
    <w:rsid w:val="00BF706B"/>
    <w:rsid w:val="00C21F7E"/>
    <w:rsid w:val="00C528D4"/>
    <w:rsid w:val="00C56800"/>
    <w:rsid w:val="00C84172"/>
    <w:rsid w:val="00CB749E"/>
    <w:rsid w:val="00CF6524"/>
    <w:rsid w:val="00D026DF"/>
    <w:rsid w:val="00D2753D"/>
    <w:rsid w:val="00DB20F7"/>
    <w:rsid w:val="00DD5033"/>
    <w:rsid w:val="00DE0A62"/>
    <w:rsid w:val="00DE3995"/>
    <w:rsid w:val="00DF3D3B"/>
    <w:rsid w:val="00E0770D"/>
    <w:rsid w:val="00E11B12"/>
    <w:rsid w:val="00E21CE8"/>
    <w:rsid w:val="00E30FAC"/>
    <w:rsid w:val="00E84938"/>
    <w:rsid w:val="00E865C2"/>
    <w:rsid w:val="00EA27A9"/>
    <w:rsid w:val="00EB07B1"/>
    <w:rsid w:val="00EC01C8"/>
    <w:rsid w:val="00EC37A6"/>
    <w:rsid w:val="00F211EF"/>
    <w:rsid w:val="00F443BE"/>
    <w:rsid w:val="00F44F67"/>
    <w:rsid w:val="00F56FD9"/>
    <w:rsid w:val="00F81991"/>
    <w:rsid w:val="00F9257D"/>
    <w:rsid w:val="00FB62F5"/>
    <w:rsid w:val="00FE4037"/>
    <w:rsid w:val="00FE5DE6"/>
    <w:rsid w:val="01015B5E"/>
    <w:rsid w:val="0103164E"/>
    <w:rsid w:val="01066A48"/>
    <w:rsid w:val="010F7FF3"/>
    <w:rsid w:val="01156E91"/>
    <w:rsid w:val="01161381"/>
    <w:rsid w:val="01233A9E"/>
    <w:rsid w:val="012515C4"/>
    <w:rsid w:val="01255120"/>
    <w:rsid w:val="012670EA"/>
    <w:rsid w:val="0127533C"/>
    <w:rsid w:val="01317F69"/>
    <w:rsid w:val="01347A59"/>
    <w:rsid w:val="013616FC"/>
    <w:rsid w:val="01395070"/>
    <w:rsid w:val="01396E1E"/>
    <w:rsid w:val="013A5F50"/>
    <w:rsid w:val="013B4944"/>
    <w:rsid w:val="013D44CA"/>
    <w:rsid w:val="013E61E2"/>
    <w:rsid w:val="0140783C"/>
    <w:rsid w:val="0142677D"/>
    <w:rsid w:val="014325EF"/>
    <w:rsid w:val="01445144"/>
    <w:rsid w:val="014709CE"/>
    <w:rsid w:val="0147153B"/>
    <w:rsid w:val="01485EFA"/>
    <w:rsid w:val="014D4F5A"/>
    <w:rsid w:val="014F03EF"/>
    <w:rsid w:val="01521C8D"/>
    <w:rsid w:val="01556351"/>
    <w:rsid w:val="01565C22"/>
    <w:rsid w:val="01575445"/>
    <w:rsid w:val="015754F6"/>
    <w:rsid w:val="015772A4"/>
    <w:rsid w:val="015974C0"/>
    <w:rsid w:val="015B446A"/>
    <w:rsid w:val="01626374"/>
    <w:rsid w:val="016519C1"/>
    <w:rsid w:val="016814B1"/>
    <w:rsid w:val="016A5229"/>
    <w:rsid w:val="016D6AC7"/>
    <w:rsid w:val="016E583E"/>
    <w:rsid w:val="017442FA"/>
    <w:rsid w:val="017460A8"/>
    <w:rsid w:val="017478F3"/>
    <w:rsid w:val="01774D6C"/>
    <w:rsid w:val="017A649E"/>
    <w:rsid w:val="017B65CA"/>
    <w:rsid w:val="017C7E65"/>
    <w:rsid w:val="01814321"/>
    <w:rsid w:val="018214E9"/>
    <w:rsid w:val="01822573"/>
    <w:rsid w:val="0184241E"/>
    <w:rsid w:val="01852063"/>
    <w:rsid w:val="01853E11"/>
    <w:rsid w:val="01861103"/>
    <w:rsid w:val="01891193"/>
    <w:rsid w:val="01955D51"/>
    <w:rsid w:val="019926D4"/>
    <w:rsid w:val="01993D60"/>
    <w:rsid w:val="019B3634"/>
    <w:rsid w:val="019D55FE"/>
    <w:rsid w:val="019E4ED3"/>
    <w:rsid w:val="01AA0C13"/>
    <w:rsid w:val="01AB4ACA"/>
    <w:rsid w:val="01AB4BCB"/>
    <w:rsid w:val="01AC5842"/>
    <w:rsid w:val="01B110AA"/>
    <w:rsid w:val="01B36BD0"/>
    <w:rsid w:val="01B666C0"/>
    <w:rsid w:val="01BB7833"/>
    <w:rsid w:val="01BE66C3"/>
    <w:rsid w:val="01BF37C7"/>
    <w:rsid w:val="01C02724"/>
    <w:rsid w:val="01C0309B"/>
    <w:rsid w:val="01C0753F"/>
    <w:rsid w:val="01C25065"/>
    <w:rsid w:val="01C26E13"/>
    <w:rsid w:val="01C761D7"/>
    <w:rsid w:val="01C81424"/>
    <w:rsid w:val="01CC00BE"/>
    <w:rsid w:val="01CE3A0A"/>
    <w:rsid w:val="01D136A9"/>
    <w:rsid w:val="01D17056"/>
    <w:rsid w:val="01D230FE"/>
    <w:rsid w:val="01D429CB"/>
    <w:rsid w:val="01D45C7C"/>
    <w:rsid w:val="01D60B10"/>
    <w:rsid w:val="01D9415D"/>
    <w:rsid w:val="01DA03AC"/>
    <w:rsid w:val="01E60A40"/>
    <w:rsid w:val="01E7687A"/>
    <w:rsid w:val="01E866BD"/>
    <w:rsid w:val="01E906DA"/>
    <w:rsid w:val="01F36A43"/>
    <w:rsid w:val="01F80A87"/>
    <w:rsid w:val="02011047"/>
    <w:rsid w:val="02064C9D"/>
    <w:rsid w:val="02080F1A"/>
    <w:rsid w:val="020B3795"/>
    <w:rsid w:val="020B673D"/>
    <w:rsid w:val="020E02AA"/>
    <w:rsid w:val="020F0807"/>
    <w:rsid w:val="02112AC9"/>
    <w:rsid w:val="0213766F"/>
    <w:rsid w:val="021A27AB"/>
    <w:rsid w:val="02202E54"/>
    <w:rsid w:val="02247ACE"/>
    <w:rsid w:val="022528E9"/>
    <w:rsid w:val="022830E6"/>
    <w:rsid w:val="022E44A8"/>
    <w:rsid w:val="02313F99"/>
    <w:rsid w:val="0232324E"/>
    <w:rsid w:val="02344912"/>
    <w:rsid w:val="023525D8"/>
    <w:rsid w:val="02377801"/>
    <w:rsid w:val="023B1653"/>
    <w:rsid w:val="023D293E"/>
    <w:rsid w:val="023E60E5"/>
    <w:rsid w:val="0241242E"/>
    <w:rsid w:val="02426839"/>
    <w:rsid w:val="024806E1"/>
    <w:rsid w:val="024912E2"/>
    <w:rsid w:val="0249725E"/>
    <w:rsid w:val="024A32BB"/>
    <w:rsid w:val="024C0DD3"/>
    <w:rsid w:val="02532161"/>
    <w:rsid w:val="025B1A26"/>
    <w:rsid w:val="025C3B85"/>
    <w:rsid w:val="025C7268"/>
    <w:rsid w:val="02641C78"/>
    <w:rsid w:val="02693733"/>
    <w:rsid w:val="026A3247"/>
    <w:rsid w:val="026C4FD1"/>
    <w:rsid w:val="02702D13"/>
    <w:rsid w:val="02720011"/>
    <w:rsid w:val="02750329"/>
    <w:rsid w:val="027F6AB2"/>
    <w:rsid w:val="0280223B"/>
    <w:rsid w:val="02803E12"/>
    <w:rsid w:val="02837130"/>
    <w:rsid w:val="02840E7C"/>
    <w:rsid w:val="02874419"/>
    <w:rsid w:val="028B397D"/>
    <w:rsid w:val="028C11CF"/>
    <w:rsid w:val="028E13EB"/>
    <w:rsid w:val="028E4F47"/>
    <w:rsid w:val="02922C89"/>
    <w:rsid w:val="029334E8"/>
    <w:rsid w:val="0293607B"/>
    <w:rsid w:val="02974551"/>
    <w:rsid w:val="02994018"/>
    <w:rsid w:val="029C58B6"/>
    <w:rsid w:val="029C7664"/>
    <w:rsid w:val="02A10414"/>
    <w:rsid w:val="02A30405"/>
    <w:rsid w:val="02A46436"/>
    <w:rsid w:val="02A62291"/>
    <w:rsid w:val="02AD5A20"/>
    <w:rsid w:val="02B01675"/>
    <w:rsid w:val="02B02FEB"/>
    <w:rsid w:val="02BC1AB4"/>
    <w:rsid w:val="02BE582C"/>
    <w:rsid w:val="02C1356F"/>
    <w:rsid w:val="02C32E43"/>
    <w:rsid w:val="02C92423"/>
    <w:rsid w:val="02C952EE"/>
    <w:rsid w:val="02D04989"/>
    <w:rsid w:val="02D74B40"/>
    <w:rsid w:val="02E2605A"/>
    <w:rsid w:val="02E716BF"/>
    <w:rsid w:val="02F94AB6"/>
    <w:rsid w:val="02FA03B3"/>
    <w:rsid w:val="02FC53CE"/>
    <w:rsid w:val="03007AF3"/>
    <w:rsid w:val="03032B50"/>
    <w:rsid w:val="03035935"/>
    <w:rsid w:val="0308180C"/>
    <w:rsid w:val="030F6088"/>
    <w:rsid w:val="030F7234"/>
    <w:rsid w:val="0313544C"/>
    <w:rsid w:val="031575B9"/>
    <w:rsid w:val="031653B1"/>
    <w:rsid w:val="031864C2"/>
    <w:rsid w:val="03215DBB"/>
    <w:rsid w:val="03226C9E"/>
    <w:rsid w:val="03237D85"/>
    <w:rsid w:val="03280EF8"/>
    <w:rsid w:val="0328714A"/>
    <w:rsid w:val="03305FFE"/>
    <w:rsid w:val="03325C82"/>
    <w:rsid w:val="03332865"/>
    <w:rsid w:val="03367AB9"/>
    <w:rsid w:val="033755DF"/>
    <w:rsid w:val="03391357"/>
    <w:rsid w:val="03393CA2"/>
    <w:rsid w:val="033C0E47"/>
    <w:rsid w:val="033D2B7B"/>
    <w:rsid w:val="03400B54"/>
    <w:rsid w:val="034A3564"/>
    <w:rsid w:val="034D095E"/>
    <w:rsid w:val="034D6BB0"/>
    <w:rsid w:val="03511AD9"/>
    <w:rsid w:val="03540263"/>
    <w:rsid w:val="03546191"/>
    <w:rsid w:val="03570021"/>
    <w:rsid w:val="03597303"/>
    <w:rsid w:val="035C2778"/>
    <w:rsid w:val="035D3EC0"/>
    <w:rsid w:val="035E2B6B"/>
    <w:rsid w:val="03614280"/>
    <w:rsid w:val="03630182"/>
    <w:rsid w:val="036A59B4"/>
    <w:rsid w:val="036B5288"/>
    <w:rsid w:val="036D2DAF"/>
    <w:rsid w:val="03702324"/>
    <w:rsid w:val="0371088F"/>
    <w:rsid w:val="03716D43"/>
    <w:rsid w:val="0376513B"/>
    <w:rsid w:val="037B371D"/>
    <w:rsid w:val="03810CCF"/>
    <w:rsid w:val="03885F3F"/>
    <w:rsid w:val="03887BE8"/>
    <w:rsid w:val="038C4DC5"/>
    <w:rsid w:val="038C566C"/>
    <w:rsid w:val="039050CD"/>
    <w:rsid w:val="03917B3D"/>
    <w:rsid w:val="039260C9"/>
    <w:rsid w:val="039447DF"/>
    <w:rsid w:val="039558ED"/>
    <w:rsid w:val="03960557"/>
    <w:rsid w:val="039B7E5F"/>
    <w:rsid w:val="039C3694"/>
    <w:rsid w:val="039C5442"/>
    <w:rsid w:val="039D7B38"/>
    <w:rsid w:val="03AB4F52"/>
    <w:rsid w:val="03AC0F3A"/>
    <w:rsid w:val="03AC683A"/>
    <w:rsid w:val="03AE265E"/>
    <w:rsid w:val="03B20134"/>
    <w:rsid w:val="03B31109"/>
    <w:rsid w:val="03B9577F"/>
    <w:rsid w:val="03BC7136"/>
    <w:rsid w:val="03BD3D36"/>
    <w:rsid w:val="03C50E3C"/>
    <w:rsid w:val="03C7077C"/>
    <w:rsid w:val="03C84489"/>
    <w:rsid w:val="03CF3A69"/>
    <w:rsid w:val="03D2588F"/>
    <w:rsid w:val="03D41080"/>
    <w:rsid w:val="03E5328D"/>
    <w:rsid w:val="03E56E68"/>
    <w:rsid w:val="03E668D5"/>
    <w:rsid w:val="03E868D9"/>
    <w:rsid w:val="03EC461B"/>
    <w:rsid w:val="03EF2B33"/>
    <w:rsid w:val="03F06DE9"/>
    <w:rsid w:val="03F359AA"/>
    <w:rsid w:val="03F50305"/>
    <w:rsid w:val="03F842E2"/>
    <w:rsid w:val="03FA55FA"/>
    <w:rsid w:val="03FB2A2B"/>
    <w:rsid w:val="03FB660C"/>
    <w:rsid w:val="03FD5238"/>
    <w:rsid w:val="03FE6732"/>
    <w:rsid w:val="03FE7EAB"/>
    <w:rsid w:val="04001E75"/>
    <w:rsid w:val="04071455"/>
    <w:rsid w:val="040B743D"/>
    <w:rsid w:val="040E4592"/>
    <w:rsid w:val="04120EA6"/>
    <w:rsid w:val="041224D1"/>
    <w:rsid w:val="041341B1"/>
    <w:rsid w:val="04163446"/>
    <w:rsid w:val="041A23AE"/>
    <w:rsid w:val="04275653"/>
    <w:rsid w:val="0428241C"/>
    <w:rsid w:val="042B1AB7"/>
    <w:rsid w:val="0430275A"/>
    <w:rsid w:val="04357D05"/>
    <w:rsid w:val="043D6D35"/>
    <w:rsid w:val="044161EF"/>
    <w:rsid w:val="04445B18"/>
    <w:rsid w:val="04446841"/>
    <w:rsid w:val="044743D0"/>
    <w:rsid w:val="0449381C"/>
    <w:rsid w:val="04533DF5"/>
    <w:rsid w:val="04536448"/>
    <w:rsid w:val="04575F38"/>
    <w:rsid w:val="046046C1"/>
    <w:rsid w:val="04653F60"/>
    <w:rsid w:val="04692398"/>
    <w:rsid w:val="046B3BDB"/>
    <w:rsid w:val="046E4FA0"/>
    <w:rsid w:val="04714B20"/>
    <w:rsid w:val="0475016D"/>
    <w:rsid w:val="047606D0"/>
    <w:rsid w:val="04776088"/>
    <w:rsid w:val="04785EAF"/>
    <w:rsid w:val="047A5783"/>
    <w:rsid w:val="047C6FC2"/>
    <w:rsid w:val="047D1717"/>
    <w:rsid w:val="047F2F94"/>
    <w:rsid w:val="04800661"/>
    <w:rsid w:val="0480239D"/>
    <w:rsid w:val="04864EB4"/>
    <w:rsid w:val="04874344"/>
    <w:rsid w:val="0487744A"/>
    <w:rsid w:val="048F1B86"/>
    <w:rsid w:val="0490363D"/>
    <w:rsid w:val="0490450B"/>
    <w:rsid w:val="049526D7"/>
    <w:rsid w:val="049727D9"/>
    <w:rsid w:val="049B3C06"/>
    <w:rsid w:val="049E608A"/>
    <w:rsid w:val="04A46CA4"/>
    <w:rsid w:val="04A66578"/>
    <w:rsid w:val="04A70542"/>
    <w:rsid w:val="04AB0DE4"/>
    <w:rsid w:val="04AB3B8E"/>
    <w:rsid w:val="04AB772E"/>
    <w:rsid w:val="04B213C1"/>
    <w:rsid w:val="04B438C0"/>
    <w:rsid w:val="04B53D1B"/>
    <w:rsid w:val="04BC09BE"/>
    <w:rsid w:val="04BD7D66"/>
    <w:rsid w:val="04BE5FB8"/>
    <w:rsid w:val="04C304AE"/>
    <w:rsid w:val="04C44478"/>
    <w:rsid w:val="04C468F1"/>
    <w:rsid w:val="04C61966"/>
    <w:rsid w:val="04C74740"/>
    <w:rsid w:val="04C9370B"/>
    <w:rsid w:val="04CE6F9F"/>
    <w:rsid w:val="04D5610F"/>
    <w:rsid w:val="04D70E27"/>
    <w:rsid w:val="04D72760"/>
    <w:rsid w:val="04D8709C"/>
    <w:rsid w:val="04DF5DEA"/>
    <w:rsid w:val="04DF7CDC"/>
    <w:rsid w:val="04E13A54"/>
    <w:rsid w:val="04E1656E"/>
    <w:rsid w:val="04E70524"/>
    <w:rsid w:val="04E7150E"/>
    <w:rsid w:val="04E81C32"/>
    <w:rsid w:val="04E90B5B"/>
    <w:rsid w:val="04E90F8D"/>
    <w:rsid w:val="04EA4FB7"/>
    <w:rsid w:val="04F75026"/>
    <w:rsid w:val="04F908BC"/>
    <w:rsid w:val="04FC088E"/>
    <w:rsid w:val="04FC263C"/>
    <w:rsid w:val="050257B5"/>
    <w:rsid w:val="05026B2E"/>
    <w:rsid w:val="050444D9"/>
    <w:rsid w:val="05104339"/>
    <w:rsid w:val="0510733D"/>
    <w:rsid w:val="051216E7"/>
    <w:rsid w:val="05126C96"/>
    <w:rsid w:val="0515181D"/>
    <w:rsid w:val="05157BA2"/>
    <w:rsid w:val="05185A9A"/>
    <w:rsid w:val="051D5132"/>
    <w:rsid w:val="052027CE"/>
    <w:rsid w:val="052120A3"/>
    <w:rsid w:val="052676B9"/>
    <w:rsid w:val="05290F57"/>
    <w:rsid w:val="052B1173"/>
    <w:rsid w:val="05300538"/>
    <w:rsid w:val="0532188E"/>
    <w:rsid w:val="05322502"/>
    <w:rsid w:val="05384ED8"/>
    <w:rsid w:val="053F716F"/>
    <w:rsid w:val="0542367D"/>
    <w:rsid w:val="05432019"/>
    <w:rsid w:val="05453FE3"/>
    <w:rsid w:val="05461B09"/>
    <w:rsid w:val="05485881"/>
    <w:rsid w:val="054E0F0A"/>
    <w:rsid w:val="05567707"/>
    <w:rsid w:val="05581271"/>
    <w:rsid w:val="055A23D6"/>
    <w:rsid w:val="055C31C7"/>
    <w:rsid w:val="055E6E53"/>
    <w:rsid w:val="055F4E32"/>
    <w:rsid w:val="056650F3"/>
    <w:rsid w:val="05674D05"/>
    <w:rsid w:val="05685651"/>
    <w:rsid w:val="05695C48"/>
    <w:rsid w:val="056A57F8"/>
    <w:rsid w:val="056A6230"/>
    <w:rsid w:val="056B57EE"/>
    <w:rsid w:val="056C5A14"/>
    <w:rsid w:val="05701D6C"/>
    <w:rsid w:val="05710988"/>
    <w:rsid w:val="05780E3A"/>
    <w:rsid w:val="05783AE4"/>
    <w:rsid w:val="05796CC9"/>
    <w:rsid w:val="057A1A3A"/>
    <w:rsid w:val="057B2ECA"/>
    <w:rsid w:val="057C6008"/>
    <w:rsid w:val="057E5DCF"/>
    <w:rsid w:val="057F7796"/>
    <w:rsid w:val="0580326D"/>
    <w:rsid w:val="0583355C"/>
    <w:rsid w:val="05853EA6"/>
    <w:rsid w:val="05856AD5"/>
    <w:rsid w:val="058A40EC"/>
    <w:rsid w:val="058F1B1A"/>
    <w:rsid w:val="05925424"/>
    <w:rsid w:val="059465BE"/>
    <w:rsid w:val="05946661"/>
    <w:rsid w:val="05957D83"/>
    <w:rsid w:val="059E2CF7"/>
    <w:rsid w:val="05A01219"/>
    <w:rsid w:val="05A2387C"/>
    <w:rsid w:val="05A50F26"/>
    <w:rsid w:val="05A54306"/>
    <w:rsid w:val="05AD2488"/>
    <w:rsid w:val="05AD7DDA"/>
    <w:rsid w:val="05B2719F"/>
    <w:rsid w:val="05C23886"/>
    <w:rsid w:val="05C64F40"/>
    <w:rsid w:val="05CA44E8"/>
    <w:rsid w:val="05CF7BC8"/>
    <w:rsid w:val="05D05DE2"/>
    <w:rsid w:val="05D51E5A"/>
    <w:rsid w:val="05D92456"/>
    <w:rsid w:val="05DB4947"/>
    <w:rsid w:val="05DE16D7"/>
    <w:rsid w:val="05E00DFD"/>
    <w:rsid w:val="05E03D0C"/>
    <w:rsid w:val="05E355AA"/>
    <w:rsid w:val="05E530D0"/>
    <w:rsid w:val="05E53ECA"/>
    <w:rsid w:val="05E857EE"/>
    <w:rsid w:val="05EA4B8A"/>
    <w:rsid w:val="05EC26B0"/>
    <w:rsid w:val="05EF6BB0"/>
    <w:rsid w:val="05F20275"/>
    <w:rsid w:val="05F369EA"/>
    <w:rsid w:val="05F544C1"/>
    <w:rsid w:val="05F6263F"/>
    <w:rsid w:val="05F652DD"/>
    <w:rsid w:val="06021ED4"/>
    <w:rsid w:val="06043E9E"/>
    <w:rsid w:val="06077BC2"/>
    <w:rsid w:val="0609596A"/>
    <w:rsid w:val="060A699F"/>
    <w:rsid w:val="06110369"/>
    <w:rsid w:val="06111157"/>
    <w:rsid w:val="06127C3D"/>
    <w:rsid w:val="0614452E"/>
    <w:rsid w:val="06163BD1"/>
    <w:rsid w:val="061A265F"/>
    <w:rsid w:val="061C3F4A"/>
    <w:rsid w:val="061E27BA"/>
    <w:rsid w:val="061E65E2"/>
    <w:rsid w:val="061F1414"/>
    <w:rsid w:val="06233BF8"/>
    <w:rsid w:val="06255E28"/>
    <w:rsid w:val="06256349"/>
    <w:rsid w:val="06287461"/>
    <w:rsid w:val="062C0CFF"/>
    <w:rsid w:val="063576A3"/>
    <w:rsid w:val="06367DD0"/>
    <w:rsid w:val="0639166E"/>
    <w:rsid w:val="063B6991"/>
    <w:rsid w:val="063F4ED6"/>
    <w:rsid w:val="064918B1"/>
    <w:rsid w:val="064C13A1"/>
    <w:rsid w:val="064C75F3"/>
    <w:rsid w:val="064E7C69"/>
    <w:rsid w:val="064F49ED"/>
    <w:rsid w:val="065155BF"/>
    <w:rsid w:val="06545732"/>
    <w:rsid w:val="06581AF4"/>
    <w:rsid w:val="06585F98"/>
    <w:rsid w:val="065F10D4"/>
    <w:rsid w:val="066073EC"/>
    <w:rsid w:val="06622973"/>
    <w:rsid w:val="06624721"/>
    <w:rsid w:val="06652463"/>
    <w:rsid w:val="066B5890"/>
    <w:rsid w:val="0670069A"/>
    <w:rsid w:val="06742FF7"/>
    <w:rsid w:val="067803E8"/>
    <w:rsid w:val="06787243"/>
    <w:rsid w:val="067D59FE"/>
    <w:rsid w:val="06845DD3"/>
    <w:rsid w:val="06856661"/>
    <w:rsid w:val="06863204"/>
    <w:rsid w:val="068D10BC"/>
    <w:rsid w:val="068E19BA"/>
    <w:rsid w:val="068F08D5"/>
    <w:rsid w:val="0696261C"/>
    <w:rsid w:val="069C40D7"/>
    <w:rsid w:val="069C664B"/>
    <w:rsid w:val="069D39AB"/>
    <w:rsid w:val="06A04125"/>
    <w:rsid w:val="06A05249"/>
    <w:rsid w:val="06A507B2"/>
    <w:rsid w:val="06A523F1"/>
    <w:rsid w:val="06A74829"/>
    <w:rsid w:val="06AE7966"/>
    <w:rsid w:val="06B119B0"/>
    <w:rsid w:val="06B156A8"/>
    <w:rsid w:val="06B238FA"/>
    <w:rsid w:val="06B31420"/>
    <w:rsid w:val="06B33330"/>
    <w:rsid w:val="06B403CE"/>
    <w:rsid w:val="06B56F46"/>
    <w:rsid w:val="06B807E5"/>
    <w:rsid w:val="06BA27AF"/>
    <w:rsid w:val="06BC3575"/>
    <w:rsid w:val="06BD404D"/>
    <w:rsid w:val="06C07699"/>
    <w:rsid w:val="06C13715"/>
    <w:rsid w:val="06C453DB"/>
    <w:rsid w:val="06C54CB0"/>
    <w:rsid w:val="06C62F02"/>
    <w:rsid w:val="06C726BC"/>
    <w:rsid w:val="06C74ECC"/>
    <w:rsid w:val="06C929F2"/>
    <w:rsid w:val="06CD318E"/>
    <w:rsid w:val="06D51397"/>
    <w:rsid w:val="06D575E9"/>
    <w:rsid w:val="06D64862"/>
    <w:rsid w:val="06D77152"/>
    <w:rsid w:val="06D82C35"/>
    <w:rsid w:val="06D93E82"/>
    <w:rsid w:val="06E415DA"/>
    <w:rsid w:val="06E65352"/>
    <w:rsid w:val="06E96BF0"/>
    <w:rsid w:val="06EE0437"/>
    <w:rsid w:val="06EE06AA"/>
    <w:rsid w:val="06EE4206"/>
    <w:rsid w:val="06F07F7E"/>
    <w:rsid w:val="06F7620B"/>
    <w:rsid w:val="07017BB4"/>
    <w:rsid w:val="07097292"/>
    <w:rsid w:val="070B125C"/>
    <w:rsid w:val="070C39C0"/>
    <w:rsid w:val="070E5AAE"/>
    <w:rsid w:val="070E664D"/>
    <w:rsid w:val="07100621"/>
    <w:rsid w:val="07124399"/>
    <w:rsid w:val="07133C6D"/>
    <w:rsid w:val="07161CAF"/>
    <w:rsid w:val="071E2E8C"/>
    <w:rsid w:val="07261BF2"/>
    <w:rsid w:val="07291716"/>
    <w:rsid w:val="072A42B9"/>
    <w:rsid w:val="072A7934"/>
    <w:rsid w:val="072F4F4B"/>
    <w:rsid w:val="0731167A"/>
    <w:rsid w:val="073562D9"/>
    <w:rsid w:val="0736542E"/>
    <w:rsid w:val="07370748"/>
    <w:rsid w:val="07375BAD"/>
    <w:rsid w:val="07394499"/>
    <w:rsid w:val="073A5092"/>
    <w:rsid w:val="073B42B8"/>
    <w:rsid w:val="074014DB"/>
    <w:rsid w:val="074107DA"/>
    <w:rsid w:val="07506C6F"/>
    <w:rsid w:val="075256F3"/>
    <w:rsid w:val="07550729"/>
    <w:rsid w:val="075E0B31"/>
    <w:rsid w:val="075F5104"/>
    <w:rsid w:val="07642481"/>
    <w:rsid w:val="07677852"/>
    <w:rsid w:val="0768045D"/>
    <w:rsid w:val="076B2508"/>
    <w:rsid w:val="077056A1"/>
    <w:rsid w:val="0774295E"/>
    <w:rsid w:val="07782386"/>
    <w:rsid w:val="077B0190"/>
    <w:rsid w:val="077D47A1"/>
    <w:rsid w:val="07804A3C"/>
    <w:rsid w:val="078132CC"/>
    <w:rsid w:val="07844B53"/>
    <w:rsid w:val="07846919"/>
    <w:rsid w:val="078E0C06"/>
    <w:rsid w:val="07916049"/>
    <w:rsid w:val="07926B92"/>
    <w:rsid w:val="079403B6"/>
    <w:rsid w:val="07944DAE"/>
    <w:rsid w:val="079923C4"/>
    <w:rsid w:val="07A1092D"/>
    <w:rsid w:val="07A14FFD"/>
    <w:rsid w:val="07A1571D"/>
    <w:rsid w:val="07A174CB"/>
    <w:rsid w:val="07A33243"/>
    <w:rsid w:val="07A36A28"/>
    <w:rsid w:val="07A47C4C"/>
    <w:rsid w:val="07A76C22"/>
    <w:rsid w:val="07AA110E"/>
    <w:rsid w:val="07AA45D1"/>
    <w:rsid w:val="07B032C0"/>
    <w:rsid w:val="07B13FA0"/>
    <w:rsid w:val="07B40FAC"/>
    <w:rsid w:val="07B44062"/>
    <w:rsid w:val="07B54C7B"/>
    <w:rsid w:val="07B60781"/>
    <w:rsid w:val="07BB67DE"/>
    <w:rsid w:val="07BC60B3"/>
    <w:rsid w:val="07C5140B"/>
    <w:rsid w:val="07C5765D"/>
    <w:rsid w:val="07C733D5"/>
    <w:rsid w:val="07C80EFB"/>
    <w:rsid w:val="07C97778"/>
    <w:rsid w:val="07CA095B"/>
    <w:rsid w:val="07CC09EB"/>
    <w:rsid w:val="07D258D6"/>
    <w:rsid w:val="07D5604C"/>
    <w:rsid w:val="07D7350F"/>
    <w:rsid w:val="07DB29DD"/>
    <w:rsid w:val="07DD49A7"/>
    <w:rsid w:val="07DE24CD"/>
    <w:rsid w:val="07DE427B"/>
    <w:rsid w:val="07E775D3"/>
    <w:rsid w:val="07ED2982"/>
    <w:rsid w:val="07FC0BA5"/>
    <w:rsid w:val="07FD6DF7"/>
    <w:rsid w:val="08002443"/>
    <w:rsid w:val="08053EFD"/>
    <w:rsid w:val="08055CAB"/>
    <w:rsid w:val="08075794"/>
    <w:rsid w:val="080812F8"/>
    <w:rsid w:val="08110A1D"/>
    <w:rsid w:val="08122176"/>
    <w:rsid w:val="08175703"/>
    <w:rsid w:val="08182917"/>
    <w:rsid w:val="081B102B"/>
    <w:rsid w:val="081D1247"/>
    <w:rsid w:val="08204893"/>
    <w:rsid w:val="08245D26"/>
    <w:rsid w:val="08274BDD"/>
    <w:rsid w:val="08277BA9"/>
    <w:rsid w:val="08280813"/>
    <w:rsid w:val="08296A78"/>
    <w:rsid w:val="0829708A"/>
    <w:rsid w:val="082B15CF"/>
    <w:rsid w:val="082B7612"/>
    <w:rsid w:val="082C13BB"/>
    <w:rsid w:val="082C148A"/>
    <w:rsid w:val="08324A39"/>
    <w:rsid w:val="08326375"/>
    <w:rsid w:val="083420ED"/>
    <w:rsid w:val="083B16CD"/>
    <w:rsid w:val="083D3697"/>
    <w:rsid w:val="08420A92"/>
    <w:rsid w:val="084E2967"/>
    <w:rsid w:val="084F09BE"/>
    <w:rsid w:val="085032DE"/>
    <w:rsid w:val="08526117"/>
    <w:rsid w:val="08534C3A"/>
    <w:rsid w:val="08537121"/>
    <w:rsid w:val="085D4882"/>
    <w:rsid w:val="08602EE2"/>
    <w:rsid w:val="08652BE4"/>
    <w:rsid w:val="086B7ADF"/>
    <w:rsid w:val="08781FE5"/>
    <w:rsid w:val="087A4235"/>
    <w:rsid w:val="087B79DB"/>
    <w:rsid w:val="08803025"/>
    <w:rsid w:val="08805332"/>
    <w:rsid w:val="088272FC"/>
    <w:rsid w:val="08850B9A"/>
    <w:rsid w:val="08852EDA"/>
    <w:rsid w:val="088A4403"/>
    <w:rsid w:val="088E5CA1"/>
    <w:rsid w:val="088F37C7"/>
    <w:rsid w:val="089405CE"/>
    <w:rsid w:val="08955281"/>
    <w:rsid w:val="089B03BE"/>
    <w:rsid w:val="089D5EE4"/>
    <w:rsid w:val="08A34016"/>
    <w:rsid w:val="08A47272"/>
    <w:rsid w:val="08A773D6"/>
    <w:rsid w:val="08A96637"/>
    <w:rsid w:val="08AB5794"/>
    <w:rsid w:val="08AF79C5"/>
    <w:rsid w:val="08B1482B"/>
    <w:rsid w:val="08B33959"/>
    <w:rsid w:val="08B46187"/>
    <w:rsid w:val="08B558FB"/>
    <w:rsid w:val="08B576EA"/>
    <w:rsid w:val="08BA0844"/>
    <w:rsid w:val="08BB45BC"/>
    <w:rsid w:val="08BF40AC"/>
    <w:rsid w:val="08C43EC2"/>
    <w:rsid w:val="08C47661"/>
    <w:rsid w:val="08C94F2B"/>
    <w:rsid w:val="08CA35FF"/>
    <w:rsid w:val="08CD7283"/>
    <w:rsid w:val="08CF1BA3"/>
    <w:rsid w:val="08D05C04"/>
    <w:rsid w:val="08D12032"/>
    <w:rsid w:val="08D132F7"/>
    <w:rsid w:val="08D6431D"/>
    <w:rsid w:val="08DF474E"/>
    <w:rsid w:val="08E04023"/>
    <w:rsid w:val="08E41D65"/>
    <w:rsid w:val="08E536BC"/>
    <w:rsid w:val="08EC575D"/>
    <w:rsid w:val="08F024B8"/>
    <w:rsid w:val="08F04266"/>
    <w:rsid w:val="08F16230"/>
    <w:rsid w:val="08FC70AE"/>
    <w:rsid w:val="090146C5"/>
    <w:rsid w:val="090225E2"/>
    <w:rsid w:val="0902626A"/>
    <w:rsid w:val="09034AAE"/>
    <w:rsid w:val="09067F2D"/>
    <w:rsid w:val="09074930"/>
    <w:rsid w:val="09097F8E"/>
    <w:rsid w:val="090D12BC"/>
    <w:rsid w:val="09181A0E"/>
    <w:rsid w:val="09183F04"/>
    <w:rsid w:val="091B62A2"/>
    <w:rsid w:val="091F73DA"/>
    <w:rsid w:val="09214227"/>
    <w:rsid w:val="0926412B"/>
    <w:rsid w:val="09287EA3"/>
    <w:rsid w:val="092D32CF"/>
    <w:rsid w:val="092E2C7C"/>
    <w:rsid w:val="092F3821"/>
    <w:rsid w:val="09351D9B"/>
    <w:rsid w:val="09361C90"/>
    <w:rsid w:val="09391870"/>
    <w:rsid w:val="093C1EAF"/>
    <w:rsid w:val="093E76C7"/>
    <w:rsid w:val="093F2630"/>
    <w:rsid w:val="09420839"/>
    <w:rsid w:val="0946032A"/>
    <w:rsid w:val="094743B8"/>
    <w:rsid w:val="094D16B8"/>
    <w:rsid w:val="094E3682"/>
    <w:rsid w:val="09506DC0"/>
    <w:rsid w:val="0952211A"/>
    <w:rsid w:val="09523172"/>
    <w:rsid w:val="09597648"/>
    <w:rsid w:val="095E1B17"/>
    <w:rsid w:val="095E58B5"/>
    <w:rsid w:val="09652EA6"/>
    <w:rsid w:val="09691781"/>
    <w:rsid w:val="096A04BC"/>
    <w:rsid w:val="096D351A"/>
    <w:rsid w:val="097E7AC3"/>
    <w:rsid w:val="098047A9"/>
    <w:rsid w:val="09841760"/>
    <w:rsid w:val="098552F6"/>
    <w:rsid w:val="09862E1C"/>
    <w:rsid w:val="09886B94"/>
    <w:rsid w:val="099904B4"/>
    <w:rsid w:val="099C27C3"/>
    <w:rsid w:val="09A137B2"/>
    <w:rsid w:val="09A145C0"/>
    <w:rsid w:val="09AC4ECD"/>
    <w:rsid w:val="09B17236"/>
    <w:rsid w:val="09B23C11"/>
    <w:rsid w:val="09BA7D80"/>
    <w:rsid w:val="09BC05EC"/>
    <w:rsid w:val="09BD03C8"/>
    <w:rsid w:val="09BF760C"/>
    <w:rsid w:val="09C3084B"/>
    <w:rsid w:val="09C53944"/>
    <w:rsid w:val="09C6146A"/>
    <w:rsid w:val="09C83435"/>
    <w:rsid w:val="09C94AB7"/>
    <w:rsid w:val="09CC4EB4"/>
    <w:rsid w:val="09CD27B5"/>
    <w:rsid w:val="09CF6487"/>
    <w:rsid w:val="09D516AE"/>
    <w:rsid w:val="09E0077E"/>
    <w:rsid w:val="09E10052"/>
    <w:rsid w:val="09E27E40"/>
    <w:rsid w:val="09E57B43"/>
    <w:rsid w:val="09E663FF"/>
    <w:rsid w:val="09ED2263"/>
    <w:rsid w:val="09ED2E9B"/>
    <w:rsid w:val="09F204B1"/>
    <w:rsid w:val="09F75AC8"/>
    <w:rsid w:val="0A0009B5"/>
    <w:rsid w:val="0A00649D"/>
    <w:rsid w:val="0A0124A3"/>
    <w:rsid w:val="0A0147C8"/>
    <w:rsid w:val="0A03446D"/>
    <w:rsid w:val="0A043AF5"/>
    <w:rsid w:val="0A043E81"/>
    <w:rsid w:val="0A0501E5"/>
    <w:rsid w:val="0A0A57FB"/>
    <w:rsid w:val="0A0A5E06"/>
    <w:rsid w:val="0A0C1573"/>
    <w:rsid w:val="0A0D0E47"/>
    <w:rsid w:val="0A0F4207"/>
    <w:rsid w:val="0A200B7B"/>
    <w:rsid w:val="0A232419"/>
    <w:rsid w:val="0A254EE2"/>
    <w:rsid w:val="0A2B2319"/>
    <w:rsid w:val="0A2C67E2"/>
    <w:rsid w:val="0A2F0815"/>
    <w:rsid w:val="0A2F247A"/>
    <w:rsid w:val="0A2F7010"/>
    <w:rsid w:val="0A347112"/>
    <w:rsid w:val="0A3525AE"/>
    <w:rsid w:val="0A382368"/>
    <w:rsid w:val="0A3C5699"/>
    <w:rsid w:val="0A3F0B59"/>
    <w:rsid w:val="0A430D0D"/>
    <w:rsid w:val="0A454A85"/>
    <w:rsid w:val="0A456833"/>
    <w:rsid w:val="0A4707FD"/>
    <w:rsid w:val="0A4A209B"/>
    <w:rsid w:val="0A4B01E4"/>
    <w:rsid w:val="0A4B1903"/>
    <w:rsid w:val="0A4C2D93"/>
    <w:rsid w:val="0A4D5725"/>
    <w:rsid w:val="0A4F3DA2"/>
    <w:rsid w:val="0A5E16A3"/>
    <w:rsid w:val="0A650C83"/>
    <w:rsid w:val="0A6545E0"/>
    <w:rsid w:val="0A682522"/>
    <w:rsid w:val="0A6920C8"/>
    <w:rsid w:val="0A6B77C1"/>
    <w:rsid w:val="0A724DA4"/>
    <w:rsid w:val="0A757A7A"/>
    <w:rsid w:val="0A7639E0"/>
    <w:rsid w:val="0A7A6392"/>
    <w:rsid w:val="0A7E6800"/>
    <w:rsid w:val="0A821835"/>
    <w:rsid w:val="0A8378F6"/>
    <w:rsid w:val="0A850A35"/>
    <w:rsid w:val="0A8530D4"/>
    <w:rsid w:val="0A870BFA"/>
    <w:rsid w:val="0A882145"/>
    <w:rsid w:val="0A8C6210"/>
    <w:rsid w:val="0A8E01DA"/>
    <w:rsid w:val="0A8E24BF"/>
    <w:rsid w:val="0A93759F"/>
    <w:rsid w:val="0A947E48"/>
    <w:rsid w:val="0A980775"/>
    <w:rsid w:val="0A9B28F7"/>
    <w:rsid w:val="0A9B46A5"/>
    <w:rsid w:val="0AA07F0D"/>
    <w:rsid w:val="0AA30A0F"/>
    <w:rsid w:val="0AA948DE"/>
    <w:rsid w:val="0AA9649B"/>
    <w:rsid w:val="0AA96F34"/>
    <w:rsid w:val="0AAC2BEB"/>
    <w:rsid w:val="0AAC78F4"/>
    <w:rsid w:val="0AAF1EFF"/>
    <w:rsid w:val="0AAF6F0E"/>
    <w:rsid w:val="0AB45767"/>
    <w:rsid w:val="0AB6452F"/>
    <w:rsid w:val="0ABA7103"/>
    <w:rsid w:val="0ABF2382"/>
    <w:rsid w:val="0AC44356"/>
    <w:rsid w:val="0AC77248"/>
    <w:rsid w:val="0ACB3C87"/>
    <w:rsid w:val="0ACE3989"/>
    <w:rsid w:val="0AD007F3"/>
    <w:rsid w:val="0AD16319"/>
    <w:rsid w:val="0AD32091"/>
    <w:rsid w:val="0ADE707E"/>
    <w:rsid w:val="0ADF4EB4"/>
    <w:rsid w:val="0AE222D4"/>
    <w:rsid w:val="0AEB66AF"/>
    <w:rsid w:val="0AED7863"/>
    <w:rsid w:val="0AF50259"/>
    <w:rsid w:val="0AF838A6"/>
    <w:rsid w:val="0AFA33CD"/>
    <w:rsid w:val="0AFD710E"/>
    <w:rsid w:val="0AFE1111"/>
    <w:rsid w:val="0B021A6F"/>
    <w:rsid w:val="0B030359"/>
    <w:rsid w:val="0B093D05"/>
    <w:rsid w:val="0B0E48D9"/>
    <w:rsid w:val="0B114967"/>
    <w:rsid w:val="0B154424"/>
    <w:rsid w:val="0B164EB4"/>
    <w:rsid w:val="0B19257F"/>
    <w:rsid w:val="0B1E3145"/>
    <w:rsid w:val="0B1F3EA8"/>
    <w:rsid w:val="0B1F638F"/>
    <w:rsid w:val="0B204BAA"/>
    <w:rsid w:val="0B2226D0"/>
    <w:rsid w:val="0B290995"/>
    <w:rsid w:val="0B2A1872"/>
    <w:rsid w:val="0B2E376B"/>
    <w:rsid w:val="0B350656"/>
    <w:rsid w:val="0B3568A8"/>
    <w:rsid w:val="0B3B4488"/>
    <w:rsid w:val="0B3C7C36"/>
    <w:rsid w:val="0B3D5AAB"/>
    <w:rsid w:val="0B424B21"/>
    <w:rsid w:val="0B436403"/>
    <w:rsid w:val="0B436A06"/>
    <w:rsid w:val="0B48482D"/>
    <w:rsid w:val="0B4B1C27"/>
    <w:rsid w:val="0B4D1E43"/>
    <w:rsid w:val="0B4E1717"/>
    <w:rsid w:val="0B5207A2"/>
    <w:rsid w:val="0B542E1A"/>
    <w:rsid w:val="0B5F3925"/>
    <w:rsid w:val="0B602C14"/>
    <w:rsid w:val="0B641412"/>
    <w:rsid w:val="0B64718D"/>
    <w:rsid w:val="0B655D05"/>
    <w:rsid w:val="0B6651BB"/>
    <w:rsid w:val="0B680A2B"/>
    <w:rsid w:val="0B687387"/>
    <w:rsid w:val="0B6B49F7"/>
    <w:rsid w:val="0B6D619D"/>
    <w:rsid w:val="0B723658"/>
    <w:rsid w:val="0B7C0579"/>
    <w:rsid w:val="0B82318F"/>
    <w:rsid w:val="0B8615FF"/>
    <w:rsid w:val="0B8709D7"/>
    <w:rsid w:val="0B923CFA"/>
    <w:rsid w:val="0B92713F"/>
    <w:rsid w:val="0B931032"/>
    <w:rsid w:val="0B9335CE"/>
    <w:rsid w:val="0B94142E"/>
    <w:rsid w:val="0B9538A8"/>
    <w:rsid w:val="0B956FE5"/>
    <w:rsid w:val="0B9730BE"/>
    <w:rsid w:val="0B9A670B"/>
    <w:rsid w:val="0B9F01C5"/>
    <w:rsid w:val="0B9F0258"/>
    <w:rsid w:val="0BA13F4A"/>
    <w:rsid w:val="0BA94BA0"/>
    <w:rsid w:val="0BB05F2E"/>
    <w:rsid w:val="0BB377CC"/>
    <w:rsid w:val="0BB579E9"/>
    <w:rsid w:val="0BB90867"/>
    <w:rsid w:val="0BB9448E"/>
    <w:rsid w:val="0BC8771C"/>
    <w:rsid w:val="0BCB3CFF"/>
    <w:rsid w:val="0BCF0AAA"/>
    <w:rsid w:val="0BCF6207"/>
    <w:rsid w:val="0BD53BE7"/>
    <w:rsid w:val="0BD5582F"/>
    <w:rsid w:val="0BD64561"/>
    <w:rsid w:val="0BDF04F5"/>
    <w:rsid w:val="0BE5556D"/>
    <w:rsid w:val="0BE61950"/>
    <w:rsid w:val="0BE70915"/>
    <w:rsid w:val="0BE81B6C"/>
    <w:rsid w:val="0BEB51B8"/>
    <w:rsid w:val="0BEE0331"/>
    <w:rsid w:val="0BEF14FF"/>
    <w:rsid w:val="0BF56037"/>
    <w:rsid w:val="0BF71DAF"/>
    <w:rsid w:val="0BFC63C8"/>
    <w:rsid w:val="0BFC64FF"/>
    <w:rsid w:val="0C0000B3"/>
    <w:rsid w:val="0C063DA0"/>
    <w:rsid w:val="0C087B18"/>
    <w:rsid w:val="0C0A1AE2"/>
    <w:rsid w:val="0C0B13B7"/>
    <w:rsid w:val="0C0B585A"/>
    <w:rsid w:val="0C0D15D3"/>
    <w:rsid w:val="0C1678BE"/>
    <w:rsid w:val="0C2A3F33"/>
    <w:rsid w:val="0C3003B8"/>
    <w:rsid w:val="0C3721AC"/>
    <w:rsid w:val="0C3734A3"/>
    <w:rsid w:val="0C387C22"/>
    <w:rsid w:val="0C3E353A"/>
    <w:rsid w:val="0C414F19"/>
    <w:rsid w:val="0C415E2D"/>
    <w:rsid w:val="0C4169D6"/>
    <w:rsid w:val="0C43427C"/>
    <w:rsid w:val="0C441249"/>
    <w:rsid w:val="0C472C3A"/>
    <w:rsid w:val="0C497D73"/>
    <w:rsid w:val="0C4B5C57"/>
    <w:rsid w:val="0C4B673B"/>
    <w:rsid w:val="0C4C2CDB"/>
    <w:rsid w:val="0C580BFC"/>
    <w:rsid w:val="0C5A4B66"/>
    <w:rsid w:val="0C5E1E2E"/>
    <w:rsid w:val="0C5E43D6"/>
    <w:rsid w:val="0C5F0DF2"/>
    <w:rsid w:val="0C601702"/>
    <w:rsid w:val="0C6274FE"/>
    <w:rsid w:val="0C692C1B"/>
    <w:rsid w:val="0C743FD9"/>
    <w:rsid w:val="0C757885"/>
    <w:rsid w:val="0C762CD4"/>
    <w:rsid w:val="0C7E2F04"/>
    <w:rsid w:val="0C801DA5"/>
    <w:rsid w:val="0C813921"/>
    <w:rsid w:val="0C872834"/>
    <w:rsid w:val="0C87510A"/>
    <w:rsid w:val="0C883C75"/>
    <w:rsid w:val="0C886EAB"/>
    <w:rsid w:val="0C8F1FE8"/>
    <w:rsid w:val="0C9231F7"/>
    <w:rsid w:val="0C927091"/>
    <w:rsid w:val="0C933984"/>
    <w:rsid w:val="0C963376"/>
    <w:rsid w:val="0C9C3802"/>
    <w:rsid w:val="0C9C7C86"/>
    <w:rsid w:val="0CA24551"/>
    <w:rsid w:val="0CA42951"/>
    <w:rsid w:val="0CAA6ADC"/>
    <w:rsid w:val="0CAD246E"/>
    <w:rsid w:val="0CAF61E6"/>
    <w:rsid w:val="0CAF7C91"/>
    <w:rsid w:val="0CB15A24"/>
    <w:rsid w:val="0CB3217A"/>
    <w:rsid w:val="0CBD0903"/>
    <w:rsid w:val="0CC25F19"/>
    <w:rsid w:val="0CC55A09"/>
    <w:rsid w:val="0CC8265C"/>
    <w:rsid w:val="0CCC6D98"/>
    <w:rsid w:val="0CCE2D4A"/>
    <w:rsid w:val="0CD12600"/>
    <w:rsid w:val="0CD50E31"/>
    <w:rsid w:val="0CDC010E"/>
    <w:rsid w:val="0CE20369"/>
    <w:rsid w:val="0CE2480D"/>
    <w:rsid w:val="0CE307A8"/>
    <w:rsid w:val="0CE916F8"/>
    <w:rsid w:val="0CE96304"/>
    <w:rsid w:val="0CEC4112"/>
    <w:rsid w:val="0CEE31B2"/>
    <w:rsid w:val="0CEF2E5D"/>
    <w:rsid w:val="0CF54BA1"/>
    <w:rsid w:val="0CF83B56"/>
    <w:rsid w:val="0CFE47EE"/>
    <w:rsid w:val="0CFF5D92"/>
    <w:rsid w:val="0D077DD0"/>
    <w:rsid w:val="0D0A5E67"/>
    <w:rsid w:val="0D0A6E63"/>
    <w:rsid w:val="0D0A78C0"/>
    <w:rsid w:val="0D0D38A1"/>
    <w:rsid w:val="0D0E78B5"/>
    <w:rsid w:val="0D0F0BBE"/>
    <w:rsid w:val="0D140E7B"/>
    <w:rsid w:val="0D1442E9"/>
    <w:rsid w:val="0D1500CF"/>
    <w:rsid w:val="0D15252B"/>
    <w:rsid w:val="0D181FDD"/>
    <w:rsid w:val="0D197B03"/>
    <w:rsid w:val="0D1B1BBB"/>
    <w:rsid w:val="0D1F15BD"/>
    <w:rsid w:val="0D224C0A"/>
    <w:rsid w:val="0D250D19"/>
    <w:rsid w:val="0D251C08"/>
    <w:rsid w:val="0D285307"/>
    <w:rsid w:val="0D2941EA"/>
    <w:rsid w:val="0D295F98"/>
    <w:rsid w:val="0D2A1D10"/>
    <w:rsid w:val="0D33523D"/>
    <w:rsid w:val="0D3375DD"/>
    <w:rsid w:val="0D374B59"/>
    <w:rsid w:val="0D3A33DE"/>
    <w:rsid w:val="0D3B3F1D"/>
    <w:rsid w:val="0D3B5CCB"/>
    <w:rsid w:val="0D4508F8"/>
    <w:rsid w:val="0D4D6BBA"/>
    <w:rsid w:val="0D4E59FF"/>
    <w:rsid w:val="0D4F6BFA"/>
    <w:rsid w:val="0D566407"/>
    <w:rsid w:val="0D576499"/>
    <w:rsid w:val="0D58062B"/>
    <w:rsid w:val="0D5A43A4"/>
    <w:rsid w:val="0D607713"/>
    <w:rsid w:val="0D643474"/>
    <w:rsid w:val="0D6E62A6"/>
    <w:rsid w:val="0D7305E2"/>
    <w:rsid w:val="0D7476FF"/>
    <w:rsid w:val="0D766FD4"/>
    <w:rsid w:val="0D780CCE"/>
    <w:rsid w:val="0D7A2C98"/>
    <w:rsid w:val="0D7C0716"/>
    <w:rsid w:val="0D8853B5"/>
    <w:rsid w:val="0D8B27AF"/>
    <w:rsid w:val="0D8C0871"/>
    <w:rsid w:val="0D904269"/>
    <w:rsid w:val="0D942D77"/>
    <w:rsid w:val="0D976274"/>
    <w:rsid w:val="0D98311E"/>
    <w:rsid w:val="0D984FA6"/>
    <w:rsid w:val="0D9A07EA"/>
    <w:rsid w:val="0D9A4402"/>
    <w:rsid w:val="0D9A4A8B"/>
    <w:rsid w:val="0D9F26FE"/>
    <w:rsid w:val="0DA25D4B"/>
    <w:rsid w:val="0DA76821"/>
    <w:rsid w:val="0DAD0977"/>
    <w:rsid w:val="0DB20945"/>
    <w:rsid w:val="0DB31D06"/>
    <w:rsid w:val="0DB553D3"/>
    <w:rsid w:val="0DBC6E0C"/>
    <w:rsid w:val="0DBE0DD6"/>
    <w:rsid w:val="0DC00F6C"/>
    <w:rsid w:val="0DC024E6"/>
    <w:rsid w:val="0DC0318D"/>
    <w:rsid w:val="0DC108C7"/>
    <w:rsid w:val="0DC932D7"/>
    <w:rsid w:val="0DCC024E"/>
    <w:rsid w:val="0DCF4D92"/>
    <w:rsid w:val="0DD04666"/>
    <w:rsid w:val="0DD553E9"/>
    <w:rsid w:val="0DD759F4"/>
    <w:rsid w:val="0DD92454"/>
    <w:rsid w:val="0DE620DB"/>
    <w:rsid w:val="0DE93979"/>
    <w:rsid w:val="0DEA21A3"/>
    <w:rsid w:val="0DED4CE0"/>
    <w:rsid w:val="0DEF4199"/>
    <w:rsid w:val="0DEF4D3D"/>
    <w:rsid w:val="0DF10A5B"/>
    <w:rsid w:val="0DF76096"/>
    <w:rsid w:val="0DFA16E3"/>
    <w:rsid w:val="0DFC774A"/>
    <w:rsid w:val="0DFD4F28"/>
    <w:rsid w:val="0DFE7425"/>
    <w:rsid w:val="0E034A3B"/>
    <w:rsid w:val="0E04608A"/>
    <w:rsid w:val="0E0B7D94"/>
    <w:rsid w:val="0E0D3C5D"/>
    <w:rsid w:val="0E121D8E"/>
    <w:rsid w:val="0E124BC8"/>
    <w:rsid w:val="0E1327A4"/>
    <w:rsid w:val="0E1402A4"/>
    <w:rsid w:val="0E155B3E"/>
    <w:rsid w:val="0E193301"/>
    <w:rsid w:val="0E1B6630"/>
    <w:rsid w:val="0E1D025D"/>
    <w:rsid w:val="0E1E415A"/>
    <w:rsid w:val="0E212808"/>
    <w:rsid w:val="0E24158B"/>
    <w:rsid w:val="0E252C04"/>
    <w:rsid w:val="0E295B9E"/>
    <w:rsid w:val="0E2F4D04"/>
    <w:rsid w:val="0E3270CE"/>
    <w:rsid w:val="0E364E11"/>
    <w:rsid w:val="0E3863F6"/>
    <w:rsid w:val="0E3B2427"/>
    <w:rsid w:val="0E3E4E66"/>
    <w:rsid w:val="0E407A3D"/>
    <w:rsid w:val="0E4312DC"/>
    <w:rsid w:val="0E43308A"/>
    <w:rsid w:val="0E470BD3"/>
    <w:rsid w:val="0E484B44"/>
    <w:rsid w:val="0E4B1914"/>
    <w:rsid w:val="0E50127C"/>
    <w:rsid w:val="0E545297"/>
    <w:rsid w:val="0E5464CF"/>
    <w:rsid w:val="0E565F46"/>
    <w:rsid w:val="0E5E1C72"/>
    <w:rsid w:val="0E6574A4"/>
    <w:rsid w:val="0E67321C"/>
    <w:rsid w:val="0E6A2D0C"/>
    <w:rsid w:val="0E6B438E"/>
    <w:rsid w:val="0E6B61EB"/>
    <w:rsid w:val="0E6E6A1B"/>
    <w:rsid w:val="0E6F3A27"/>
    <w:rsid w:val="0E701638"/>
    <w:rsid w:val="0E707BF7"/>
    <w:rsid w:val="0E72396F"/>
    <w:rsid w:val="0E7616B1"/>
    <w:rsid w:val="0E8042DE"/>
    <w:rsid w:val="0E807165"/>
    <w:rsid w:val="0E83347D"/>
    <w:rsid w:val="0E883192"/>
    <w:rsid w:val="0E8C4A31"/>
    <w:rsid w:val="0E8D69FB"/>
    <w:rsid w:val="0E9658AF"/>
    <w:rsid w:val="0E9E6834"/>
    <w:rsid w:val="0E9E6D55"/>
    <w:rsid w:val="0EA2194C"/>
    <w:rsid w:val="0EAA135B"/>
    <w:rsid w:val="0EAA4EB7"/>
    <w:rsid w:val="0EAC6E81"/>
    <w:rsid w:val="0EB40C93"/>
    <w:rsid w:val="0EBA78FD"/>
    <w:rsid w:val="0EC16616"/>
    <w:rsid w:val="0ECA4EB3"/>
    <w:rsid w:val="0ECE675A"/>
    <w:rsid w:val="0ED0372F"/>
    <w:rsid w:val="0ED56DC0"/>
    <w:rsid w:val="0ED63EFE"/>
    <w:rsid w:val="0ED86DAC"/>
    <w:rsid w:val="0EDD5107"/>
    <w:rsid w:val="0EE20AF5"/>
    <w:rsid w:val="0EE66792"/>
    <w:rsid w:val="0EE72023"/>
    <w:rsid w:val="0EE72544"/>
    <w:rsid w:val="0EE923E3"/>
    <w:rsid w:val="0EEE63D8"/>
    <w:rsid w:val="0EF34AB0"/>
    <w:rsid w:val="0EF54B6B"/>
    <w:rsid w:val="0EF600FC"/>
    <w:rsid w:val="0EFC5835"/>
    <w:rsid w:val="0EFD231D"/>
    <w:rsid w:val="0EFD76DC"/>
    <w:rsid w:val="0F00541F"/>
    <w:rsid w:val="0F017B03"/>
    <w:rsid w:val="0F026E0C"/>
    <w:rsid w:val="0F052566"/>
    <w:rsid w:val="0F0C5B71"/>
    <w:rsid w:val="0F0C791F"/>
    <w:rsid w:val="0F113188"/>
    <w:rsid w:val="0F126B1A"/>
    <w:rsid w:val="0F133DCD"/>
    <w:rsid w:val="0F135152"/>
    <w:rsid w:val="0F1756A9"/>
    <w:rsid w:val="0F1E7902"/>
    <w:rsid w:val="0F20786F"/>
    <w:rsid w:val="0F216FC8"/>
    <w:rsid w:val="0F2904D1"/>
    <w:rsid w:val="0F2A424A"/>
    <w:rsid w:val="0F2C6214"/>
    <w:rsid w:val="0F306C74"/>
    <w:rsid w:val="0F331350"/>
    <w:rsid w:val="0F3330FE"/>
    <w:rsid w:val="0F386966"/>
    <w:rsid w:val="0F3A448D"/>
    <w:rsid w:val="0F3F674F"/>
    <w:rsid w:val="0F4075C9"/>
    <w:rsid w:val="0F44355D"/>
    <w:rsid w:val="0F4672D5"/>
    <w:rsid w:val="0F476BAA"/>
    <w:rsid w:val="0F483D4E"/>
    <w:rsid w:val="0F490B74"/>
    <w:rsid w:val="0F4C2982"/>
    <w:rsid w:val="0F4C320E"/>
    <w:rsid w:val="0F501F02"/>
    <w:rsid w:val="0F5B2655"/>
    <w:rsid w:val="0F672DA8"/>
    <w:rsid w:val="0F692FC4"/>
    <w:rsid w:val="0F707EAE"/>
    <w:rsid w:val="0F7247AB"/>
    <w:rsid w:val="0F76123D"/>
    <w:rsid w:val="0F7A6F7F"/>
    <w:rsid w:val="0F7E1139"/>
    <w:rsid w:val="0F7F4595"/>
    <w:rsid w:val="0F803E6A"/>
    <w:rsid w:val="0F8615CA"/>
    <w:rsid w:val="0F8B118C"/>
    <w:rsid w:val="0F8F6C6C"/>
    <w:rsid w:val="0F9067A2"/>
    <w:rsid w:val="0F910337"/>
    <w:rsid w:val="0F916077"/>
    <w:rsid w:val="0F932BA2"/>
    <w:rsid w:val="0F94743F"/>
    <w:rsid w:val="0F98145F"/>
    <w:rsid w:val="0F986232"/>
    <w:rsid w:val="0F9C5147"/>
    <w:rsid w:val="0F9D76E9"/>
    <w:rsid w:val="0F9F0794"/>
    <w:rsid w:val="0FA1213B"/>
    <w:rsid w:val="0FA400C2"/>
    <w:rsid w:val="0FA45DAA"/>
    <w:rsid w:val="0FA47B58"/>
    <w:rsid w:val="0FA543E9"/>
    <w:rsid w:val="0FA67D74"/>
    <w:rsid w:val="0FA775A1"/>
    <w:rsid w:val="0FA84D42"/>
    <w:rsid w:val="0FAB538A"/>
    <w:rsid w:val="0FAD593C"/>
    <w:rsid w:val="0FAE6C29"/>
    <w:rsid w:val="0FB02950"/>
    <w:rsid w:val="0FB029A1"/>
    <w:rsid w:val="0FB139B7"/>
    <w:rsid w:val="0FB2289F"/>
    <w:rsid w:val="0FB73D2F"/>
    <w:rsid w:val="0FBF2BE4"/>
    <w:rsid w:val="0FBF64FF"/>
    <w:rsid w:val="0FC01DAB"/>
    <w:rsid w:val="0FC355C3"/>
    <w:rsid w:val="0FC50AFB"/>
    <w:rsid w:val="0FCB3337"/>
    <w:rsid w:val="0FCE72CB"/>
    <w:rsid w:val="0FD018F0"/>
    <w:rsid w:val="0FD024AD"/>
    <w:rsid w:val="0FD11314"/>
    <w:rsid w:val="0FD241C0"/>
    <w:rsid w:val="0FDB6AF1"/>
    <w:rsid w:val="0FDB79B4"/>
    <w:rsid w:val="0FDC19E8"/>
    <w:rsid w:val="0FE34B24"/>
    <w:rsid w:val="0FE432D8"/>
    <w:rsid w:val="0FE50EF5"/>
    <w:rsid w:val="0FE51619"/>
    <w:rsid w:val="0FE663C2"/>
    <w:rsid w:val="0FF018E4"/>
    <w:rsid w:val="0FF9736B"/>
    <w:rsid w:val="0FFE060C"/>
    <w:rsid w:val="0FFF1232"/>
    <w:rsid w:val="0FFF56D6"/>
    <w:rsid w:val="1002041D"/>
    <w:rsid w:val="10022AD1"/>
    <w:rsid w:val="1003323D"/>
    <w:rsid w:val="100770BC"/>
    <w:rsid w:val="10082730"/>
    <w:rsid w:val="1008578A"/>
    <w:rsid w:val="10130B2C"/>
    <w:rsid w:val="10141182"/>
    <w:rsid w:val="10182E93"/>
    <w:rsid w:val="10183569"/>
    <w:rsid w:val="101C5002"/>
    <w:rsid w:val="101E3DAE"/>
    <w:rsid w:val="102175BB"/>
    <w:rsid w:val="102313C5"/>
    <w:rsid w:val="10262C63"/>
    <w:rsid w:val="102B64CB"/>
    <w:rsid w:val="102E5FAA"/>
    <w:rsid w:val="1030763E"/>
    <w:rsid w:val="103409DF"/>
    <w:rsid w:val="10340A44"/>
    <w:rsid w:val="103B1CEF"/>
    <w:rsid w:val="1046111B"/>
    <w:rsid w:val="104650B3"/>
    <w:rsid w:val="10465E59"/>
    <w:rsid w:val="104B091B"/>
    <w:rsid w:val="1052036F"/>
    <w:rsid w:val="10533B3A"/>
    <w:rsid w:val="10572A5F"/>
    <w:rsid w:val="105D2736"/>
    <w:rsid w:val="106A2B50"/>
    <w:rsid w:val="106D0892"/>
    <w:rsid w:val="106E1C16"/>
    <w:rsid w:val="10725EA8"/>
    <w:rsid w:val="10733A63"/>
    <w:rsid w:val="10757746"/>
    <w:rsid w:val="10795489"/>
    <w:rsid w:val="107C0AD5"/>
    <w:rsid w:val="107E32D1"/>
    <w:rsid w:val="107F2A10"/>
    <w:rsid w:val="10855BDB"/>
    <w:rsid w:val="1088747A"/>
    <w:rsid w:val="108A2802"/>
    <w:rsid w:val="10923E54"/>
    <w:rsid w:val="109A2E61"/>
    <w:rsid w:val="109E3C76"/>
    <w:rsid w:val="109E4EEF"/>
    <w:rsid w:val="10A10E9D"/>
    <w:rsid w:val="10A14477"/>
    <w:rsid w:val="10A2678D"/>
    <w:rsid w:val="10A33144"/>
    <w:rsid w:val="10A546BD"/>
    <w:rsid w:val="10A84A5E"/>
    <w:rsid w:val="10B169D0"/>
    <w:rsid w:val="10B242CF"/>
    <w:rsid w:val="10B85FB1"/>
    <w:rsid w:val="10BD35C7"/>
    <w:rsid w:val="10BE4C49"/>
    <w:rsid w:val="10C22F9C"/>
    <w:rsid w:val="10C5247C"/>
    <w:rsid w:val="10C56B83"/>
    <w:rsid w:val="10C62435"/>
    <w:rsid w:val="10C91657"/>
    <w:rsid w:val="10CA7A92"/>
    <w:rsid w:val="10CB3EF5"/>
    <w:rsid w:val="10CE6C37"/>
    <w:rsid w:val="10CF6E57"/>
    <w:rsid w:val="10D423B5"/>
    <w:rsid w:val="10D91A83"/>
    <w:rsid w:val="10DC2FE1"/>
    <w:rsid w:val="10E01064"/>
    <w:rsid w:val="10E15EE2"/>
    <w:rsid w:val="10E33DE5"/>
    <w:rsid w:val="10EA5802"/>
    <w:rsid w:val="10ED552F"/>
    <w:rsid w:val="10EF3F50"/>
    <w:rsid w:val="10F20D97"/>
    <w:rsid w:val="10F33F89"/>
    <w:rsid w:val="10F71B5B"/>
    <w:rsid w:val="10F97703"/>
    <w:rsid w:val="10FB7C4C"/>
    <w:rsid w:val="10FD39C4"/>
    <w:rsid w:val="11006C14"/>
    <w:rsid w:val="110203C9"/>
    <w:rsid w:val="11025D89"/>
    <w:rsid w:val="110761DB"/>
    <w:rsid w:val="11093725"/>
    <w:rsid w:val="110D797F"/>
    <w:rsid w:val="110E534D"/>
    <w:rsid w:val="111171DC"/>
    <w:rsid w:val="11132045"/>
    <w:rsid w:val="111753C0"/>
    <w:rsid w:val="1117660C"/>
    <w:rsid w:val="11184C1F"/>
    <w:rsid w:val="111F5D55"/>
    <w:rsid w:val="112278CE"/>
    <w:rsid w:val="112428AE"/>
    <w:rsid w:val="11270A41"/>
    <w:rsid w:val="11290C5D"/>
    <w:rsid w:val="112A360A"/>
    <w:rsid w:val="112A3A4B"/>
    <w:rsid w:val="112C1662"/>
    <w:rsid w:val="113111E9"/>
    <w:rsid w:val="113847BC"/>
    <w:rsid w:val="113849FC"/>
    <w:rsid w:val="113D64B6"/>
    <w:rsid w:val="1146385D"/>
    <w:rsid w:val="11477335"/>
    <w:rsid w:val="1148587F"/>
    <w:rsid w:val="114C3B21"/>
    <w:rsid w:val="114C494B"/>
    <w:rsid w:val="11537A88"/>
    <w:rsid w:val="115563A0"/>
    <w:rsid w:val="1158509E"/>
    <w:rsid w:val="11592BC4"/>
    <w:rsid w:val="115D26B4"/>
    <w:rsid w:val="11610B41"/>
    <w:rsid w:val="116114CF"/>
    <w:rsid w:val="11612100"/>
    <w:rsid w:val="11684702"/>
    <w:rsid w:val="11716160"/>
    <w:rsid w:val="117228D1"/>
    <w:rsid w:val="117660A5"/>
    <w:rsid w:val="117A14B8"/>
    <w:rsid w:val="117D2D56"/>
    <w:rsid w:val="118449A9"/>
    <w:rsid w:val="11844D14"/>
    <w:rsid w:val="1185223F"/>
    <w:rsid w:val="11875983"/>
    <w:rsid w:val="118916FB"/>
    <w:rsid w:val="118A0FD0"/>
    <w:rsid w:val="118B6FDD"/>
    <w:rsid w:val="118F65E6"/>
    <w:rsid w:val="11904838"/>
    <w:rsid w:val="11907577"/>
    <w:rsid w:val="11933ED4"/>
    <w:rsid w:val="119500A0"/>
    <w:rsid w:val="11973C66"/>
    <w:rsid w:val="119E39C9"/>
    <w:rsid w:val="119F2CCD"/>
    <w:rsid w:val="11A25F8A"/>
    <w:rsid w:val="11A870E1"/>
    <w:rsid w:val="11A93B4C"/>
    <w:rsid w:val="11A9596B"/>
    <w:rsid w:val="11B06C88"/>
    <w:rsid w:val="11B9343A"/>
    <w:rsid w:val="11C71B03"/>
    <w:rsid w:val="11C95F9C"/>
    <w:rsid w:val="11D21F55"/>
    <w:rsid w:val="11D634A3"/>
    <w:rsid w:val="11DB3201"/>
    <w:rsid w:val="11DC1F34"/>
    <w:rsid w:val="11DC7A7D"/>
    <w:rsid w:val="11E06E41"/>
    <w:rsid w:val="11E10E60"/>
    <w:rsid w:val="11E176DE"/>
    <w:rsid w:val="11E23663"/>
    <w:rsid w:val="11E626AA"/>
    <w:rsid w:val="11EA1163"/>
    <w:rsid w:val="11F320DD"/>
    <w:rsid w:val="11F33019"/>
    <w:rsid w:val="12022042"/>
    <w:rsid w:val="1202500A"/>
    <w:rsid w:val="12046FD4"/>
    <w:rsid w:val="12086AC4"/>
    <w:rsid w:val="1209283C"/>
    <w:rsid w:val="120B0362"/>
    <w:rsid w:val="120D5E88"/>
    <w:rsid w:val="120E18E0"/>
    <w:rsid w:val="120E4061"/>
    <w:rsid w:val="1212349F"/>
    <w:rsid w:val="121D0DB5"/>
    <w:rsid w:val="122356AC"/>
    <w:rsid w:val="12237953"/>
    <w:rsid w:val="122431D2"/>
    <w:rsid w:val="12246164"/>
    <w:rsid w:val="122512A7"/>
    <w:rsid w:val="12283471"/>
    <w:rsid w:val="122F3B95"/>
    <w:rsid w:val="12307DC9"/>
    <w:rsid w:val="12335A41"/>
    <w:rsid w:val="123C051C"/>
    <w:rsid w:val="123F003D"/>
    <w:rsid w:val="12413D84"/>
    <w:rsid w:val="12445B3A"/>
    <w:rsid w:val="12485112"/>
    <w:rsid w:val="124A0B79"/>
    <w:rsid w:val="124D39CA"/>
    <w:rsid w:val="12543AB7"/>
    <w:rsid w:val="12555A81"/>
    <w:rsid w:val="12560B6F"/>
    <w:rsid w:val="12582E7C"/>
    <w:rsid w:val="12591FF2"/>
    <w:rsid w:val="125B0B19"/>
    <w:rsid w:val="125C471A"/>
    <w:rsid w:val="12617F82"/>
    <w:rsid w:val="12647A72"/>
    <w:rsid w:val="126921CB"/>
    <w:rsid w:val="126B6F53"/>
    <w:rsid w:val="1270477B"/>
    <w:rsid w:val="1273662A"/>
    <w:rsid w:val="127557DC"/>
    <w:rsid w:val="12771554"/>
    <w:rsid w:val="127952EB"/>
    <w:rsid w:val="127A5769"/>
    <w:rsid w:val="128656A0"/>
    <w:rsid w:val="128679E9"/>
    <w:rsid w:val="1288104C"/>
    <w:rsid w:val="12896E2E"/>
    <w:rsid w:val="128D0F8E"/>
    <w:rsid w:val="128D6FC9"/>
    <w:rsid w:val="12902616"/>
    <w:rsid w:val="12922832"/>
    <w:rsid w:val="129245E0"/>
    <w:rsid w:val="129349ED"/>
    <w:rsid w:val="12940358"/>
    <w:rsid w:val="129640D0"/>
    <w:rsid w:val="12974ADF"/>
    <w:rsid w:val="12A06CFD"/>
    <w:rsid w:val="12A10786"/>
    <w:rsid w:val="12A50573"/>
    <w:rsid w:val="12AC0CCA"/>
    <w:rsid w:val="12B75DF4"/>
    <w:rsid w:val="12B91B6C"/>
    <w:rsid w:val="12B96034"/>
    <w:rsid w:val="12BC3C29"/>
    <w:rsid w:val="12C0114D"/>
    <w:rsid w:val="12C56763"/>
    <w:rsid w:val="12CA3D79"/>
    <w:rsid w:val="12D1335A"/>
    <w:rsid w:val="12D149BF"/>
    <w:rsid w:val="12D15108"/>
    <w:rsid w:val="12D22C2E"/>
    <w:rsid w:val="12D270D2"/>
    <w:rsid w:val="12D44BF8"/>
    <w:rsid w:val="12D469A6"/>
    <w:rsid w:val="12DA1AE3"/>
    <w:rsid w:val="12E36BE9"/>
    <w:rsid w:val="12E56E05"/>
    <w:rsid w:val="12E60488"/>
    <w:rsid w:val="12E666D9"/>
    <w:rsid w:val="12E7492B"/>
    <w:rsid w:val="12E92E5D"/>
    <w:rsid w:val="12EA3E8A"/>
    <w:rsid w:val="12ED7A68"/>
    <w:rsid w:val="12EF73EE"/>
    <w:rsid w:val="12F2507E"/>
    <w:rsid w:val="12F25FF2"/>
    <w:rsid w:val="12F40E33"/>
    <w:rsid w:val="12FA2808"/>
    <w:rsid w:val="12FB1166"/>
    <w:rsid w:val="12FE1529"/>
    <w:rsid w:val="1300779B"/>
    <w:rsid w:val="13050581"/>
    <w:rsid w:val="13054DB2"/>
    <w:rsid w:val="13064DE0"/>
    <w:rsid w:val="13076D7C"/>
    <w:rsid w:val="130A2B31"/>
    <w:rsid w:val="13166F68"/>
    <w:rsid w:val="13166FBF"/>
    <w:rsid w:val="13174AE5"/>
    <w:rsid w:val="13177301"/>
    <w:rsid w:val="131B45D5"/>
    <w:rsid w:val="131C53CB"/>
    <w:rsid w:val="131E0B52"/>
    <w:rsid w:val="131E5E73"/>
    <w:rsid w:val="131F4456"/>
    <w:rsid w:val="132058E6"/>
    <w:rsid w:val="13260138"/>
    <w:rsid w:val="1328154C"/>
    <w:rsid w:val="132A1F4C"/>
    <w:rsid w:val="132A2A6A"/>
    <w:rsid w:val="132C233E"/>
    <w:rsid w:val="13316631"/>
    <w:rsid w:val="133319C2"/>
    <w:rsid w:val="13337005"/>
    <w:rsid w:val="13337B71"/>
    <w:rsid w:val="1336140F"/>
    <w:rsid w:val="133C44E5"/>
    <w:rsid w:val="133E6515"/>
    <w:rsid w:val="133F4A0B"/>
    <w:rsid w:val="13455D5C"/>
    <w:rsid w:val="134F427F"/>
    <w:rsid w:val="1356560D"/>
    <w:rsid w:val="135B0E75"/>
    <w:rsid w:val="135B2C24"/>
    <w:rsid w:val="135D2E40"/>
    <w:rsid w:val="13616720"/>
    <w:rsid w:val="136229AE"/>
    <w:rsid w:val="13654EEB"/>
    <w:rsid w:val="13664AF8"/>
    <w:rsid w:val="136715C8"/>
    <w:rsid w:val="13675A6C"/>
    <w:rsid w:val="136917E4"/>
    <w:rsid w:val="136B088E"/>
    <w:rsid w:val="136C2A5D"/>
    <w:rsid w:val="136F4921"/>
    <w:rsid w:val="1370283F"/>
    <w:rsid w:val="13723F8E"/>
    <w:rsid w:val="13755ED0"/>
    <w:rsid w:val="137A4F81"/>
    <w:rsid w:val="13877EBC"/>
    <w:rsid w:val="138A451E"/>
    <w:rsid w:val="138F09C8"/>
    <w:rsid w:val="13960100"/>
    <w:rsid w:val="13966A26"/>
    <w:rsid w:val="13976F69"/>
    <w:rsid w:val="139831BB"/>
    <w:rsid w:val="139B74C4"/>
    <w:rsid w:val="13A04ADA"/>
    <w:rsid w:val="13A45CED"/>
    <w:rsid w:val="13A50343"/>
    <w:rsid w:val="13A541C5"/>
    <w:rsid w:val="13B001C7"/>
    <w:rsid w:val="13B476C5"/>
    <w:rsid w:val="13B50770"/>
    <w:rsid w:val="13B92C91"/>
    <w:rsid w:val="13BA5B9C"/>
    <w:rsid w:val="13BD38DE"/>
    <w:rsid w:val="13BE0EA2"/>
    <w:rsid w:val="13BE5C21"/>
    <w:rsid w:val="13C6192D"/>
    <w:rsid w:val="13C62793"/>
    <w:rsid w:val="13C92283"/>
    <w:rsid w:val="13C922C6"/>
    <w:rsid w:val="13C93A45"/>
    <w:rsid w:val="13C94031"/>
    <w:rsid w:val="13CB5D21"/>
    <w:rsid w:val="13CC096A"/>
    <w:rsid w:val="13D22C22"/>
    <w:rsid w:val="13D35C6C"/>
    <w:rsid w:val="13D3779F"/>
    <w:rsid w:val="13D529D6"/>
    <w:rsid w:val="13D843CC"/>
    <w:rsid w:val="13E175CD"/>
    <w:rsid w:val="13E56991"/>
    <w:rsid w:val="13E66BA9"/>
    <w:rsid w:val="13E93015"/>
    <w:rsid w:val="13EF7B2A"/>
    <w:rsid w:val="13F007CA"/>
    <w:rsid w:val="13F0262A"/>
    <w:rsid w:val="13F05A62"/>
    <w:rsid w:val="13F37300"/>
    <w:rsid w:val="13F43A55"/>
    <w:rsid w:val="13F54E26"/>
    <w:rsid w:val="13F56BD4"/>
    <w:rsid w:val="13F866C4"/>
    <w:rsid w:val="13FC4407"/>
    <w:rsid w:val="14011A1D"/>
    <w:rsid w:val="140137CB"/>
    <w:rsid w:val="14070E8A"/>
    <w:rsid w:val="14092927"/>
    <w:rsid w:val="14107EB2"/>
    <w:rsid w:val="14116861"/>
    <w:rsid w:val="141541A0"/>
    <w:rsid w:val="14185977"/>
    <w:rsid w:val="141C6857"/>
    <w:rsid w:val="141F00F5"/>
    <w:rsid w:val="14261143"/>
    <w:rsid w:val="14263231"/>
    <w:rsid w:val="142D2812"/>
    <w:rsid w:val="142E658A"/>
    <w:rsid w:val="14333BA0"/>
    <w:rsid w:val="14347C3E"/>
    <w:rsid w:val="143655CE"/>
    <w:rsid w:val="143B791F"/>
    <w:rsid w:val="144025BE"/>
    <w:rsid w:val="14446EDD"/>
    <w:rsid w:val="14456E02"/>
    <w:rsid w:val="144917C3"/>
    <w:rsid w:val="144A2C1F"/>
    <w:rsid w:val="144B0EEA"/>
    <w:rsid w:val="144C3E6A"/>
    <w:rsid w:val="144C719D"/>
    <w:rsid w:val="144F4361"/>
    <w:rsid w:val="14506500"/>
    <w:rsid w:val="14515DD5"/>
    <w:rsid w:val="145A737F"/>
    <w:rsid w:val="145C30F7"/>
    <w:rsid w:val="145D5D83"/>
    <w:rsid w:val="145F4995"/>
    <w:rsid w:val="145F62FF"/>
    <w:rsid w:val="14634486"/>
    <w:rsid w:val="14636234"/>
    <w:rsid w:val="146916D8"/>
    <w:rsid w:val="146A14F7"/>
    <w:rsid w:val="146C6567"/>
    <w:rsid w:val="146D4080"/>
    <w:rsid w:val="14720225"/>
    <w:rsid w:val="14725C39"/>
    <w:rsid w:val="147321EF"/>
    <w:rsid w:val="147815B3"/>
    <w:rsid w:val="147C605C"/>
    <w:rsid w:val="148166BA"/>
    <w:rsid w:val="14830684"/>
    <w:rsid w:val="148443FC"/>
    <w:rsid w:val="14860174"/>
    <w:rsid w:val="148B12E6"/>
    <w:rsid w:val="148C02DD"/>
    <w:rsid w:val="148E0DD7"/>
    <w:rsid w:val="149356C1"/>
    <w:rsid w:val="14971476"/>
    <w:rsid w:val="14986CC5"/>
    <w:rsid w:val="14992755"/>
    <w:rsid w:val="149A777C"/>
    <w:rsid w:val="149E726C"/>
    <w:rsid w:val="149F4D34"/>
    <w:rsid w:val="14A423A8"/>
    <w:rsid w:val="14A554E4"/>
    <w:rsid w:val="14A66120"/>
    <w:rsid w:val="14AF76CB"/>
    <w:rsid w:val="14B06F9F"/>
    <w:rsid w:val="14B33909"/>
    <w:rsid w:val="14B52807"/>
    <w:rsid w:val="14B720DC"/>
    <w:rsid w:val="14BC76F2"/>
    <w:rsid w:val="14C1100B"/>
    <w:rsid w:val="14C24C11"/>
    <w:rsid w:val="14C33176"/>
    <w:rsid w:val="14CB1E9D"/>
    <w:rsid w:val="14CC4545"/>
    <w:rsid w:val="14D01CF9"/>
    <w:rsid w:val="14D232A5"/>
    <w:rsid w:val="14D233B9"/>
    <w:rsid w:val="14D7452C"/>
    <w:rsid w:val="14DE5E84"/>
    <w:rsid w:val="14E05AD6"/>
    <w:rsid w:val="14E44445"/>
    <w:rsid w:val="14E46C49"/>
    <w:rsid w:val="14E735C3"/>
    <w:rsid w:val="14E84841"/>
    <w:rsid w:val="14EC137B"/>
    <w:rsid w:val="14EC2A7B"/>
    <w:rsid w:val="14ED01F3"/>
    <w:rsid w:val="14EE69F3"/>
    <w:rsid w:val="14F21366"/>
    <w:rsid w:val="14F34579"/>
    <w:rsid w:val="14F43309"/>
    <w:rsid w:val="14F74BCE"/>
    <w:rsid w:val="14FD31D1"/>
    <w:rsid w:val="14FE6ABB"/>
    <w:rsid w:val="15003A82"/>
    <w:rsid w:val="15022B9B"/>
    <w:rsid w:val="15035321"/>
    <w:rsid w:val="15062C5B"/>
    <w:rsid w:val="15086DDB"/>
    <w:rsid w:val="1509575D"/>
    <w:rsid w:val="15116EF2"/>
    <w:rsid w:val="15175270"/>
    <w:rsid w:val="1517558A"/>
    <w:rsid w:val="15192A7B"/>
    <w:rsid w:val="15211C4B"/>
    <w:rsid w:val="15235F00"/>
    <w:rsid w:val="152B1B0C"/>
    <w:rsid w:val="152F25BA"/>
    <w:rsid w:val="1536271C"/>
    <w:rsid w:val="1537321C"/>
    <w:rsid w:val="153B2D0D"/>
    <w:rsid w:val="153B709C"/>
    <w:rsid w:val="153C1667"/>
    <w:rsid w:val="153D2618"/>
    <w:rsid w:val="153E0A4F"/>
    <w:rsid w:val="15431BC1"/>
    <w:rsid w:val="15433117"/>
    <w:rsid w:val="15436065"/>
    <w:rsid w:val="15470301"/>
    <w:rsid w:val="154947AE"/>
    <w:rsid w:val="154A37BA"/>
    <w:rsid w:val="154C0F75"/>
    <w:rsid w:val="154D2DD8"/>
    <w:rsid w:val="15527E5B"/>
    <w:rsid w:val="155838BF"/>
    <w:rsid w:val="1561457F"/>
    <w:rsid w:val="156B7752"/>
    <w:rsid w:val="156D0F50"/>
    <w:rsid w:val="15731373"/>
    <w:rsid w:val="1573180E"/>
    <w:rsid w:val="15744470"/>
    <w:rsid w:val="15760AA8"/>
    <w:rsid w:val="15793835"/>
    <w:rsid w:val="157B57FF"/>
    <w:rsid w:val="157C1125"/>
    <w:rsid w:val="157E0E4B"/>
    <w:rsid w:val="15822BAB"/>
    <w:rsid w:val="15826B8D"/>
    <w:rsid w:val="158A77F0"/>
    <w:rsid w:val="158B2D0B"/>
    <w:rsid w:val="158F3058"/>
    <w:rsid w:val="15926C0E"/>
    <w:rsid w:val="15973CBB"/>
    <w:rsid w:val="159A3ED7"/>
    <w:rsid w:val="159D25E0"/>
    <w:rsid w:val="15A16E73"/>
    <w:rsid w:val="15A5287C"/>
    <w:rsid w:val="15A765D7"/>
    <w:rsid w:val="15A85EC8"/>
    <w:rsid w:val="15AC450E"/>
    <w:rsid w:val="15AD17D5"/>
    <w:rsid w:val="15AD734C"/>
    <w:rsid w:val="15AF7257"/>
    <w:rsid w:val="15B36D47"/>
    <w:rsid w:val="15B84CA8"/>
    <w:rsid w:val="15BB209F"/>
    <w:rsid w:val="15BD5E17"/>
    <w:rsid w:val="15BD7BC5"/>
    <w:rsid w:val="15BE749A"/>
    <w:rsid w:val="15BF7AB4"/>
    <w:rsid w:val="15C245AC"/>
    <w:rsid w:val="15C727F2"/>
    <w:rsid w:val="15C73A33"/>
    <w:rsid w:val="15C84DAF"/>
    <w:rsid w:val="15CE1DD3"/>
    <w:rsid w:val="15D32F45"/>
    <w:rsid w:val="15D41F99"/>
    <w:rsid w:val="15D4540B"/>
    <w:rsid w:val="15D53161"/>
    <w:rsid w:val="15DB629E"/>
    <w:rsid w:val="15DD3DC4"/>
    <w:rsid w:val="15DF4CCA"/>
    <w:rsid w:val="15E11B06"/>
    <w:rsid w:val="15E2587E"/>
    <w:rsid w:val="15E50827"/>
    <w:rsid w:val="15E52C78"/>
    <w:rsid w:val="15EC2259"/>
    <w:rsid w:val="15F22A72"/>
    <w:rsid w:val="15FA40A2"/>
    <w:rsid w:val="15FA418A"/>
    <w:rsid w:val="15FD6214"/>
    <w:rsid w:val="1601265C"/>
    <w:rsid w:val="160866B9"/>
    <w:rsid w:val="160B6B83"/>
    <w:rsid w:val="160D13EB"/>
    <w:rsid w:val="160E21CF"/>
    <w:rsid w:val="160E2C45"/>
    <w:rsid w:val="160F5DEA"/>
    <w:rsid w:val="16101C91"/>
    <w:rsid w:val="16111B25"/>
    <w:rsid w:val="1613309D"/>
    <w:rsid w:val="161672D6"/>
    <w:rsid w:val="161F262E"/>
    <w:rsid w:val="16257519"/>
    <w:rsid w:val="16261E59"/>
    <w:rsid w:val="16272E7D"/>
    <w:rsid w:val="162B20DB"/>
    <w:rsid w:val="162B2D81"/>
    <w:rsid w:val="162D4D4B"/>
    <w:rsid w:val="16315EBE"/>
    <w:rsid w:val="16337E88"/>
    <w:rsid w:val="16360E61"/>
    <w:rsid w:val="163E2706"/>
    <w:rsid w:val="163F05DA"/>
    <w:rsid w:val="163F50B6"/>
    <w:rsid w:val="16414353"/>
    <w:rsid w:val="16421E79"/>
    <w:rsid w:val="164225D3"/>
    <w:rsid w:val="1642631D"/>
    <w:rsid w:val="164717FA"/>
    <w:rsid w:val="164756E1"/>
    <w:rsid w:val="164F5ACF"/>
    <w:rsid w:val="1650788B"/>
    <w:rsid w:val="1653052A"/>
    <w:rsid w:val="16573B76"/>
    <w:rsid w:val="165B1DE9"/>
    <w:rsid w:val="166173EE"/>
    <w:rsid w:val="1663076D"/>
    <w:rsid w:val="16642296"/>
    <w:rsid w:val="166C5557"/>
    <w:rsid w:val="16723C4E"/>
    <w:rsid w:val="16783F28"/>
    <w:rsid w:val="16787F37"/>
    <w:rsid w:val="167A2373"/>
    <w:rsid w:val="167D36BA"/>
    <w:rsid w:val="167F131F"/>
    <w:rsid w:val="167F4BFD"/>
    <w:rsid w:val="1682607B"/>
    <w:rsid w:val="169C5A2D"/>
    <w:rsid w:val="169E17A5"/>
    <w:rsid w:val="16A3500D"/>
    <w:rsid w:val="16AE1A74"/>
    <w:rsid w:val="16AF64EE"/>
    <w:rsid w:val="16B03286"/>
    <w:rsid w:val="16B07844"/>
    <w:rsid w:val="16B32B8F"/>
    <w:rsid w:val="16B965DF"/>
    <w:rsid w:val="16BB01E4"/>
    <w:rsid w:val="16BD306B"/>
    <w:rsid w:val="16BE3BF5"/>
    <w:rsid w:val="16C62AAA"/>
    <w:rsid w:val="16C72A99"/>
    <w:rsid w:val="16CA259A"/>
    <w:rsid w:val="16D301F3"/>
    <w:rsid w:val="16D30263"/>
    <w:rsid w:val="16D73A03"/>
    <w:rsid w:val="16DC22CD"/>
    <w:rsid w:val="16DC4C12"/>
    <w:rsid w:val="16E42F30"/>
    <w:rsid w:val="16EA49EA"/>
    <w:rsid w:val="16ED163A"/>
    <w:rsid w:val="16ED3DAD"/>
    <w:rsid w:val="16ED44DA"/>
    <w:rsid w:val="16F05D79"/>
    <w:rsid w:val="16F35E9C"/>
    <w:rsid w:val="16F5338F"/>
    <w:rsid w:val="16F615E1"/>
    <w:rsid w:val="16F8536E"/>
    <w:rsid w:val="16FE0496"/>
    <w:rsid w:val="17013AE2"/>
    <w:rsid w:val="1705386D"/>
    <w:rsid w:val="1706734A"/>
    <w:rsid w:val="170C1522"/>
    <w:rsid w:val="1711641B"/>
    <w:rsid w:val="1713221D"/>
    <w:rsid w:val="171764D9"/>
    <w:rsid w:val="171A491F"/>
    <w:rsid w:val="171B2DF6"/>
    <w:rsid w:val="171E6013"/>
    <w:rsid w:val="17214184"/>
    <w:rsid w:val="17215F32"/>
    <w:rsid w:val="172338E2"/>
    <w:rsid w:val="17233A58"/>
    <w:rsid w:val="1728214D"/>
    <w:rsid w:val="1728413E"/>
    <w:rsid w:val="17292D15"/>
    <w:rsid w:val="172F6458"/>
    <w:rsid w:val="173043C7"/>
    <w:rsid w:val="17343EB7"/>
    <w:rsid w:val="173914CE"/>
    <w:rsid w:val="173C2D6C"/>
    <w:rsid w:val="173C4B1A"/>
    <w:rsid w:val="173E0892"/>
    <w:rsid w:val="17457E73"/>
    <w:rsid w:val="17485BB5"/>
    <w:rsid w:val="17487963"/>
    <w:rsid w:val="17504FE0"/>
    <w:rsid w:val="175400B6"/>
    <w:rsid w:val="175759E5"/>
    <w:rsid w:val="175A34BD"/>
    <w:rsid w:val="175C56A1"/>
    <w:rsid w:val="175C6B1B"/>
    <w:rsid w:val="175E7186"/>
    <w:rsid w:val="176037DE"/>
    <w:rsid w:val="1763479D"/>
    <w:rsid w:val="177A4574"/>
    <w:rsid w:val="177B7C0D"/>
    <w:rsid w:val="177E373B"/>
    <w:rsid w:val="17800EAB"/>
    <w:rsid w:val="178105D0"/>
    <w:rsid w:val="17812A49"/>
    <w:rsid w:val="178169D1"/>
    <w:rsid w:val="1782529E"/>
    <w:rsid w:val="17832749"/>
    <w:rsid w:val="17846C20"/>
    <w:rsid w:val="17854713"/>
    <w:rsid w:val="17872239"/>
    <w:rsid w:val="178A2A52"/>
    <w:rsid w:val="178A7D11"/>
    <w:rsid w:val="178C784F"/>
    <w:rsid w:val="178F10EE"/>
    <w:rsid w:val="17924BF7"/>
    <w:rsid w:val="17994B59"/>
    <w:rsid w:val="179F26FE"/>
    <w:rsid w:val="17A774EC"/>
    <w:rsid w:val="17A96653"/>
    <w:rsid w:val="17AC6438"/>
    <w:rsid w:val="17AD6819"/>
    <w:rsid w:val="17B07FF5"/>
    <w:rsid w:val="17B55426"/>
    <w:rsid w:val="17C22731"/>
    <w:rsid w:val="17C57205"/>
    <w:rsid w:val="17C745D0"/>
    <w:rsid w:val="17C92852"/>
    <w:rsid w:val="17D0203A"/>
    <w:rsid w:val="17D170CA"/>
    <w:rsid w:val="17DD49B3"/>
    <w:rsid w:val="17DD62FD"/>
    <w:rsid w:val="17E00608"/>
    <w:rsid w:val="17E140D2"/>
    <w:rsid w:val="17E32C89"/>
    <w:rsid w:val="17E44DD7"/>
    <w:rsid w:val="17E86A50"/>
    <w:rsid w:val="17EC4792"/>
    <w:rsid w:val="17EE0653"/>
    <w:rsid w:val="17EF6030"/>
    <w:rsid w:val="17F04282"/>
    <w:rsid w:val="17F7713F"/>
    <w:rsid w:val="17F87CDE"/>
    <w:rsid w:val="17F95D33"/>
    <w:rsid w:val="17FD6923"/>
    <w:rsid w:val="18045909"/>
    <w:rsid w:val="18047D2E"/>
    <w:rsid w:val="18050CF1"/>
    <w:rsid w:val="180B10BC"/>
    <w:rsid w:val="180D1DB1"/>
    <w:rsid w:val="180D7409"/>
    <w:rsid w:val="18115FA7"/>
    <w:rsid w:val="181B0BD3"/>
    <w:rsid w:val="1824611A"/>
    <w:rsid w:val="18277578"/>
    <w:rsid w:val="18297794"/>
    <w:rsid w:val="182C1032"/>
    <w:rsid w:val="182D3F22"/>
    <w:rsid w:val="182F0FA4"/>
    <w:rsid w:val="18314603"/>
    <w:rsid w:val="18356139"/>
    <w:rsid w:val="18357EE7"/>
    <w:rsid w:val="183879D7"/>
    <w:rsid w:val="1840688C"/>
    <w:rsid w:val="184F7FA0"/>
    <w:rsid w:val="18506ACF"/>
    <w:rsid w:val="18510A99"/>
    <w:rsid w:val="1852629F"/>
    <w:rsid w:val="185D743E"/>
    <w:rsid w:val="18636A0E"/>
    <w:rsid w:val="186407CC"/>
    <w:rsid w:val="18666FEF"/>
    <w:rsid w:val="1867206B"/>
    <w:rsid w:val="18694035"/>
    <w:rsid w:val="186B4E30"/>
    <w:rsid w:val="186E51A7"/>
    <w:rsid w:val="18700F1F"/>
    <w:rsid w:val="187327BD"/>
    <w:rsid w:val="187A5D21"/>
    <w:rsid w:val="187C3D68"/>
    <w:rsid w:val="188906F7"/>
    <w:rsid w:val="18891FE1"/>
    <w:rsid w:val="188E4CE1"/>
    <w:rsid w:val="18934C0E"/>
    <w:rsid w:val="189E38CB"/>
    <w:rsid w:val="189F046E"/>
    <w:rsid w:val="18A21E2F"/>
    <w:rsid w:val="18A256A4"/>
    <w:rsid w:val="18A46E1B"/>
    <w:rsid w:val="18A66D13"/>
    <w:rsid w:val="18A94252"/>
    <w:rsid w:val="18B0640A"/>
    <w:rsid w:val="18B32A92"/>
    <w:rsid w:val="18B52DD6"/>
    <w:rsid w:val="18B530E6"/>
    <w:rsid w:val="18B73C7B"/>
    <w:rsid w:val="18B772D5"/>
    <w:rsid w:val="18BA01B9"/>
    <w:rsid w:val="18BA50B0"/>
    <w:rsid w:val="18BC6A57"/>
    <w:rsid w:val="18C5156C"/>
    <w:rsid w:val="18C748B7"/>
    <w:rsid w:val="18C8311B"/>
    <w:rsid w:val="18CB43A7"/>
    <w:rsid w:val="18CD7911"/>
    <w:rsid w:val="18D94D16"/>
    <w:rsid w:val="18DF1843"/>
    <w:rsid w:val="18E13BCB"/>
    <w:rsid w:val="18E216F1"/>
    <w:rsid w:val="18E274C6"/>
    <w:rsid w:val="18E31E85"/>
    <w:rsid w:val="18E36CB5"/>
    <w:rsid w:val="18E5190D"/>
    <w:rsid w:val="18EA0DF9"/>
    <w:rsid w:val="18EB2C9C"/>
    <w:rsid w:val="18EB46AB"/>
    <w:rsid w:val="18EC14D7"/>
    <w:rsid w:val="18ED07C2"/>
    <w:rsid w:val="18ED431E"/>
    <w:rsid w:val="18F002B2"/>
    <w:rsid w:val="18F41B50"/>
    <w:rsid w:val="18FE652B"/>
    <w:rsid w:val="18FF4051"/>
    <w:rsid w:val="1901397F"/>
    <w:rsid w:val="19026C5D"/>
    <w:rsid w:val="190478B9"/>
    <w:rsid w:val="19053034"/>
    <w:rsid w:val="19063639"/>
    <w:rsid w:val="19081158"/>
    <w:rsid w:val="190873AA"/>
    <w:rsid w:val="1911359D"/>
    <w:rsid w:val="19134653"/>
    <w:rsid w:val="19153875"/>
    <w:rsid w:val="19172CC4"/>
    <w:rsid w:val="191915B7"/>
    <w:rsid w:val="19196520"/>
    <w:rsid w:val="19197809"/>
    <w:rsid w:val="191C10A7"/>
    <w:rsid w:val="19202945"/>
    <w:rsid w:val="19252920"/>
    <w:rsid w:val="19257F5C"/>
    <w:rsid w:val="19282810"/>
    <w:rsid w:val="192919D6"/>
    <w:rsid w:val="192C525A"/>
    <w:rsid w:val="192F0DDA"/>
    <w:rsid w:val="193261D5"/>
    <w:rsid w:val="19371A3D"/>
    <w:rsid w:val="193725BE"/>
    <w:rsid w:val="19394B8E"/>
    <w:rsid w:val="193C7053"/>
    <w:rsid w:val="193F1589"/>
    <w:rsid w:val="19466124"/>
    <w:rsid w:val="19467ED2"/>
    <w:rsid w:val="19494F3B"/>
    <w:rsid w:val="194A3FE8"/>
    <w:rsid w:val="194A5C14"/>
    <w:rsid w:val="194F3416"/>
    <w:rsid w:val="195B397D"/>
    <w:rsid w:val="195C11FB"/>
    <w:rsid w:val="195E521C"/>
    <w:rsid w:val="19630B7A"/>
    <w:rsid w:val="19635C84"/>
    <w:rsid w:val="19670574"/>
    <w:rsid w:val="19682CC1"/>
    <w:rsid w:val="19687E48"/>
    <w:rsid w:val="196D36B1"/>
    <w:rsid w:val="196D4040"/>
    <w:rsid w:val="197113F3"/>
    <w:rsid w:val="197902A7"/>
    <w:rsid w:val="197A603E"/>
    <w:rsid w:val="198B7319"/>
    <w:rsid w:val="199155F1"/>
    <w:rsid w:val="19956766"/>
    <w:rsid w:val="1998027A"/>
    <w:rsid w:val="19983420"/>
    <w:rsid w:val="199D3F96"/>
    <w:rsid w:val="199E6903"/>
    <w:rsid w:val="19A075E2"/>
    <w:rsid w:val="19A15C71"/>
    <w:rsid w:val="19AC2E5C"/>
    <w:rsid w:val="19AC4BC3"/>
    <w:rsid w:val="19B4308D"/>
    <w:rsid w:val="19B7492C"/>
    <w:rsid w:val="19B823DE"/>
    <w:rsid w:val="19BB08C0"/>
    <w:rsid w:val="19BF28B1"/>
    <w:rsid w:val="19BF76EB"/>
    <w:rsid w:val="19C15306"/>
    <w:rsid w:val="19C5529B"/>
    <w:rsid w:val="19C567C1"/>
    <w:rsid w:val="19C9275B"/>
    <w:rsid w:val="19CB47EA"/>
    <w:rsid w:val="19CC487B"/>
    <w:rsid w:val="19CF7EC7"/>
    <w:rsid w:val="19D13C3F"/>
    <w:rsid w:val="19D44006"/>
    <w:rsid w:val="19D83220"/>
    <w:rsid w:val="19D8350C"/>
    <w:rsid w:val="19DB3D80"/>
    <w:rsid w:val="19DE1F55"/>
    <w:rsid w:val="19E25E4D"/>
    <w:rsid w:val="19E40662"/>
    <w:rsid w:val="19E9549C"/>
    <w:rsid w:val="19F33BB6"/>
    <w:rsid w:val="19FB116F"/>
    <w:rsid w:val="19FB6F0E"/>
    <w:rsid w:val="19FC1ACA"/>
    <w:rsid w:val="1A010978"/>
    <w:rsid w:val="1A030919"/>
    <w:rsid w:val="1A0670E0"/>
    <w:rsid w:val="1A0759F5"/>
    <w:rsid w:val="1A077661"/>
    <w:rsid w:val="1A085187"/>
    <w:rsid w:val="1A091A57"/>
    <w:rsid w:val="1A0C2EC9"/>
    <w:rsid w:val="1A116732"/>
    <w:rsid w:val="1A126F7E"/>
    <w:rsid w:val="1A14189E"/>
    <w:rsid w:val="1A195358"/>
    <w:rsid w:val="1A1A55E6"/>
    <w:rsid w:val="1A1E49AB"/>
    <w:rsid w:val="1A2024D1"/>
    <w:rsid w:val="1A2152CC"/>
    <w:rsid w:val="1A253F8B"/>
    <w:rsid w:val="1A267FC8"/>
    <w:rsid w:val="1A2C356C"/>
    <w:rsid w:val="1A312930"/>
    <w:rsid w:val="1A316164"/>
    <w:rsid w:val="1A332204"/>
    <w:rsid w:val="1A3366A8"/>
    <w:rsid w:val="1A345F7C"/>
    <w:rsid w:val="1A364939"/>
    <w:rsid w:val="1A3A7A37"/>
    <w:rsid w:val="1A433816"/>
    <w:rsid w:val="1A4C07A0"/>
    <w:rsid w:val="1A4C59BC"/>
    <w:rsid w:val="1A5328A6"/>
    <w:rsid w:val="1A622AE9"/>
    <w:rsid w:val="1A62534E"/>
    <w:rsid w:val="1A642D06"/>
    <w:rsid w:val="1A646862"/>
    <w:rsid w:val="1A650EDE"/>
    <w:rsid w:val="1A68652D"/>
    <w:rsid w:val="1A6D49CC"/>
    <w:rsid w:val="1A700CC5"/>
    <w:rsid w:val="1A7016AA"/>
    <w:rsid w:val="1A707E98"/>
    <w:rsid w:val="1A733F7D"/>
    <w:rsid w:val="1A7B1DFD"/>
    <w:rsid w:val="1A7D7923"/>
    <w:rsid w:val="1A803B8A"/>
    <w:rsid w:val="1A82318C"/>
    <w:rsid w:val="1A8353F5"/>
    <w:rsid w:val="1A872550"/>
    <w:rsid w:val="1A8C17BD"/>
    <w:rsid w:val="1A8E2A95"/>
    <w:rsid w:val="1A8F17E2"/>
    <w:rsid w:val="1A932F59"/>
    <w:rsid w:val="1A957EAC"/>
    <w:rsid w:val="1A96217C"/>
    <w:rsid w:val="1A9739F7"/>
    <w:rsid w:val="1A9A6727"/>
    <w:rsid w:val="1A9B7FF4"/>
    <w:rsid w:val="1AA43102"/>
    <w:rsid w:val="1AA574BE"/>
    <w:rsid w:val="1AA66E7A"/>
    <w:rsid w:val="1AA82DF1"/>
    <w:rsid w:val="1AAD645B"/>
    <w:rsid w:val="1AAE1178"/>
    <w:rsid w:val="1AAE3F81"/>
    <w:rsid w:val="1AAE5D2F"/>
    <w:rsid w:val="1AB21997"/>
    <w:rsid w:val="1AB270D9"/>
    <w:rsid w:val="1AB53561"/>
    <w:rsid w:val="1AB772D9"/>
    <w:rsid w:val="1ABD3D48"/>
    <w:rsid w:val="1ABD41C4"/>
    <w:rsid w:val="1ABE298D"/>
    <w:rsid w:val="1AC01CEF"/>
    <w:rsid w:val="1AC612CA"/>
    <w:rsid w:val="1AC63078"/>
    <w:rsid w:val="1ACD14DE"/>
    <w:rsid w:val="1ACE017F"/>
    <w:rsid w:val="1ACE5F94"/>
    <w:rsid w:val="1AD069D5"/>
    <w:rsid w:val="1AD43D39"/>
    <w:rsid w:val="1AD520FA"/>
    <w:rsid w:val="1AD53946"/>
    <w:rsid w:val="1AD67034"/>
    <w:rsid w:val="1AD85B7E"/>
    <w:rsid w:val="1ADC0AEE"/>
    <w:rsid w:val="1ADC6D40"/>
    <w:rsid w:val="1ADD120E"/>
    <w:rsid w:val="1ADE325F"/>
    <w:rsid w:val="1AE2740C"/>
    <w:rsid w:val="1AE434D4"/>
    <w:rsid w:val="1AE532C2"/>
    <w:rsid w:val="1AE94FB9"/>
    <w:rsid w:val="1AF37BE5"/>
    <w:rsid w:val="1AF61F4B"/>
    <w:rsid w:val="1AF776D6"/>
    <w:rsid w:val="1AF83E57"/>
    <w:rsid w:val="1AFC2F3E"/>
    <w:rsid w:val="1AFE6CB6"/>
    <w:rsid w:val="1B005AA3"/>
    <w:rsid w:val="1B040045"/>
    <w:rsid w:val="1B070C4A"/>
    <w:rsid w:val="1B0B13D3"/>
    <w:rsid w:val="1B122A89"/>
    <w:rsid w:val="1B157B5C"/>
    <w:rsid w:val="1B183711"/>
    <w:rsid w:val="1B19589E"/>
    <w:rsid w:val="1B1E5236"/>
    <w:rsid w:val="1B2028BA"/>
    <w:rsid w:val="1B244243"/>
    <w:rsid w:val="1B245FF1"/>
    <w:rsid w:val="1B261D69"/>
    <w:rsid w:val="1B26620D"/>
    <w:rsid w:val="1B27238F"/>
    <w:rsid w:val="1B296F29"/>
    <w:rsid w:val="1B2E1F86"/>
    <w:rsid w:val="1B333503"/>
    <w:rsid w:val="1B3C158C"/>
    <w:rsid w:val="1B400C44"/>
    <w:rsid w:val="1B404A0D"/>
    <w:rsid w:val="1B46065D"/>
    <w:rsid w:val="1B4B7A22"/>
    <w:rsid w:val="1B4D6C7B"/>
    <w:rsid w:val="1B5004E6"/>
    <w:rsid w:val="1B522B5E"/>
    <w:rsid w:val="1B592366"/>
    <w:rsid w:val="1B5B4923"/>
    <w:rsid w:val="1B6139B0"/>
    <w:rsid w:val="1B63399C"/>
    <w:rsid w:val="1B653C2B"/>
    <w:rsid w:val="1B6576A2"/>
    <w:rsid w:val="1B66161C"/>
    <w:rsid w:val="1B666391"/>
    <w:rsid w:val="1B670327"/>
    <w:rsid w:val="1B682698"/>
    <w:rsid w:val="1B6C3361"/>
    <w:rsid w:val="1B6D3662"/>
    <w:rsid w:val="1B6E63C8"/>
    <w:rsid w:val="1B6F3710"/>
    <w:rsid w:val="1B705134"/>
    <w:rsid w:val="1B723139"/>
    <w:rsid w:val="1B752565"/>
    <w:rsid w:val="1B754A9E"/>
    <w:rsid w:val="1B7D583C"/>
    <w:rsid w:val="1B7E7CEF"/>
    <w:rsid w:val="1B7F7ED4"/>
    <w:rsid w:val="1B843D5A"/>
    <w:rsid w:val="1B854CE1"/>
    <w:rsid w:val="1B8B6070"/>
    <w:rsid w:val="1B8D2DC6"/>
    <w:rsid w:val="1B90143F"/>
    <w:rsid w:val="1B950C9D"/>
    <w:rsid w:val="1B970EB9"/>
    <w:rsid w:val="1B9A3B40"/>
    <w:rsid w:val="1B9E7108"/>
    <w:rsid w:val="1BA63824"/>
    <w:rsid w:val="1BAA7F40"/>
    <w:rsid w:val="1BAB4271"/>
    <w:rsid w:val="1BB2325C"/>
    <w:rsid w:val="1BB83309"/>
    <w:rsid w:val="1BB87D64"/>
    <w:rsid w:val="1BB97A07"/>
    <w:rsid w:val="1BBB4BA7"/>
    <w:rsid w:val="1BBD04A8"/>
    <w:rsid w:val="1BBE6445"/>
    <w:rsid w:val="1BBF7C5E"/>
    <w:rsid w:val="1BC218BC"/>
    <w:rsid w:val="1BC82E20"/>
    <w:rsid w:val="1BC86BBE"/>
    <w:rsid w:val="1BCB69B3"/>
    <w:rsid w:val="1BCC1DC6"/>
    <w:rsid w:val="1BCD0437"/>
    <w:rsid w:val="1BD3099D"/>
    <w:rsid w:val="1BD417C5"/>
    <w:rsid w:val="1BD73063"/>
    <w:rsid w:val="1BDA4082"/>
    <w:rsid w:val="1BDB2B53"/>
    <w:rsid w:val="1BEB7604"/>
    <w:rsid w:val="1BEF31F8"/>
    <w:rsid w:val="1BF27E9D"/>
    <w:rsid w:val="1BF43C15"/>
    <w:rsid w:val="1BFA034E"/>
    <w:rsid w:val="1BFD6F3E"/>
    <w:rsid w:val="1BFE2CE6"/>
    <w:rsid w:val="1C062A6C"/>
    <w:rsid w:val="1C0B4F5D"/>
    <w:rsid w:val="1C113F74"/>
    <w:rsid w:val="1C115B4D"/>
    <w:rsid w:val="1C1222ED"/>
    <w:rsid w:val="1C136791"/>
    <w:rsid w:val="1C142509"/>
    <w:rsid w:val="1C183DA8"/>
    <w:rsid w:val="1C1D1694"/>
    <w:rsid w:val="1C220EAA"/>
    <w:rsid w:val="1C236C3E"/>
    <w:rsid w:val="1C2428E7"/>
    <w:rsid w:val="1C261B8D"/>
    <w:rsid w:val="1C27136B"/>
    <w:rsid w:val="1C273FEB"/>
    <w:rsid w:val="1C294ACB"/>
    <w:rsid w:val="1C31288F"/>
    <w:rsid w:val="1C312A90"/>
    <w:rsid w:val="1C367A66"/>
    <w:rsid w:val="1C3861F8"/>
    <w:rsid w:val="1C3E1F2C"/>
    <w:rsid w:val="1C3E30E2"/>
    <w:rsid w:val="1C43370A"/>
    <w:rsid w:val="1C4508ED"/>
    <w:rsid w:val="1C461987"/>
    <w:rsid w:val="1C47468D"/>
    <w:rsid w:val="1C49745F"/>
    <w:rsid w:val="1C4D1F01"/>
    <w:rsid w:val="1C4E2DF1"/>
    <w:rsid w:val="1C5172BA"/>
    <w:rsid w:val="1C5A43C0"/>
    <w:rsid w:val="1C5D7A81"/>
    <w:rsid w:val="1C640D9B"/>
    <w:rsid w:val="1C683EE6"/>
    <w:rsid w:val="1C686759"/>
    <w:rsid w:val="1C6E7E6B"/>
    <w:rsid w:val="1C751AA9"/>
    <w:rsid w:val="1C7D3C0B"/>
    <w:rsid w:val="1C7E6DF2"/>
    <w:rsid w:val="1C810899"/>
    <w:rsid w:val="1C8366C6"/>
    <w:rsid w:val="1C850D11"/>
    <w:rsid w:val="1C8A7287"/>
    <w:rsid w:val="1C9378D2"/>
    <w:rsid w:val="1C9563AA"/>
    <w:rsid w:val="1C97248C"/>
    <w:rsid w:val="1C973083"/>
    <w:rsid w:val="1C990E53"/>
    <w:rsid w:val="1C9A2A0F"/>
    <w:rsid w:val="1CA90EA4"/>
    <w:rsid w:val="1CA92701"/>
    <w:rsid w:val="1CA971F4"/>
    <w:rsid w:val="1CB25FAA"/>
    <w:rsid w:val="1CB301F3"/>
    <w:rsid w:val="1CB46CF3"/>
    <w:rsid w:val="1CC161ED"/>
    <w:rsid w:val="1CC651D8"/>
    <w:rsid w:val="1CCD1F46"/>
    <w:rsid w:val="1CCD64E9"/>
    <w:rsid w:val="1CDD28FB"/>
    <w:rsid w:val="1CDD6D9F"/>
    <w:rsid w:val="1CDF1322"/>
    <w:rsid w:val="1CDF48C5"/>
    <w:rsid w:val="1CDF5485"/>
    <w:rsid w:val="1CE26164"/>
    <w:rsid w:val="1CE4012E"/>
    <w:rsid w:val="1CE82FEE"/>
    <w:rsid w:val="1CF163A7"/>
    <w:rsid w:val="1CF30371"/>
    <w:rsid w:val="1CF71C0F"/>
    <w:rsid w:val="1CFA16FF"/>
    <w:rsid w:val="1CFA525B"/>
    <w:rsid w:val="1CFB5E77"/>
    <w:rsid w:val="1CFD4D4B"/>
    <w:rsid w:val="1CFF0AC4"/>
    <w:rsid w:val="1D012A8E"/>
    <w:rsid w:val="1D01483C"/>
    <w:rsid w:val="1D054F5A"/>
    <w:rsid w:val="1D097B5B"/>
    <w:rsid w:val="1D0B504C"/>
    <w:rsid w:val="1D0C44B0"/>
    <w:rsid w:val="1D0D1432"/>
    <w:rsid w:val="1D1324D3"/>
    <w:rsid w:val="1D1743AD"/>
    <w:rsid w:val="1D1A58FD"/>
    <w:rsid w:val="1D1A76AB"/>
    <w:rsid w:val="1D207FAE"/>
    <w:rsid w:val="1D231150"/>
    <w:rsid w:val="1D281090"/>
    <w:rsid w:val="1D294D39"/>
    <w:rsid w:val="1D296092"/>
    <w:rsid w:val="1D2D3883"/>
    <w:rsid w:val="1D3726B0"/>
    <w:rsid w:val="1D3A0F0B"/>
    <w:rsid w:val="1D3D339A"/>
    <w:rsid w:val="1D4467CC"/>
    <w:rsid w:val="1D464944"/>
    <w:rsid w:val="1D4A4435"/>
    <w:rsid w:val="1D4B3D09"/>
    <w:rsid w:val="1D4D182F"/>
    <w:rsid w:val="1D5030CD"/>
    <w:rsid w:val="1D5232E9"/>
    <w:rsid w:val="1D5801D4"/>
    <w:rsid w:val="1D594678"/>
    <w:rsid w:val="1D5A35BF"/>
    <w:rsid w:val="1D5A65E9"/>
    <w:rsid w:val="1D5C78F2"/>
    <w:rsid w:val="1D6152DA"/>
    <w:rsid w:val="1D6357BE"/>
    <w:rsid w:val="1D655E4B"/>
    <w:rsid w:val="1D68049C"/>
    <w:rsid w:val="1D6B2AB2"/>
    <w:rsid w:val="1D71569B"/>
    <w:rsid w:val="1D752B34"/>
    <w:rsid w:val="1D790876"/>
    <w:rsid w:val="1D7925BE"/>
    <w:rsid w:val="1D7C2114"/>
    <w:rsid w:val="1D7C3EC2"/>
    <w:rsid w:val="1D7E1239"/>
    <w:rsid w:val="1D7E40DE"/>
    <w:rsid w:val="1D8C44AF"/>
    <w:rsid w:val="1D8C6C56"/>
    <w:rsid w:val="1D8D1FB6"/>
    <w:rsid w:val="1D8D4321"/>
    <w:rsid w:val="1D9531D6"/>
    <w:rsid w:val="1D962329"/>
    <w:rsid w:val="1D9973F6"/>
    <w:rsid w:val="1D9A259A"/>
    <w:rsid w:val="1D9A5B6C"/>
    <w:rsid w:val="1D9B48DC"/>
    <w:rsid w:val="1D9E652E"/>
    <w:rsid w:val="1DA02139"/>
    <w:rsid w:val="1DA26D3B"/>
    <w:rsid w:val="1DA6376A"/>
    <w:rsid w:val="1DA750FA"/>
    <w:rsid w:val="1DAC43AD"/>
    <w:rsid w:val="1DAD49C3"/>
    <w:rsid w:val="1DB00010"/>
    <w:rsid w:val="1DB01DBE"/>
    <w:rsid w:val="1DB07929"/>
    <w:rsid w:val="1DB377EF"/>
    <w:rsid w:val="1DB573D4"/>
    <w:rsid w:val="1DB6406F"/>
    <w:rsid w:val="1DBB0E8E"/>
    <w:rsid w:val="1DBD6234"/>
    <w:rsid w:val="1DBE097F"/>
    <w:rsid w:val="1DC061F9"/>
    <w:rsid w:val="1DC43106"/>
    <w:rsid w:val="1DC55869"/>
    <w:rsid w:val="1DC64754"/>
    <w:rsid w:val="1DC93983"/>
    <w:rsid w:val="1DCA7323"/>
    <w:rsid w:val="1DD0420E"/>
    <w:rsid w:val="1DD56C62"/>
    <w:rsid w:val="1DD737EE"/>
    <w:rsid w:val="1DD97409"/>
    <w:rsid w:val="1DDB32DF"/>
    <w:rsid w:val="1DDC41D2"/>
    <w:rsid w:val="1DDF7107"/>
    <w:rsid w:val="1DE204BB"/>
    <w:rsid w:val="1DE2466D"/>
    <w:rsid w:val="1DE303E5"/>
    <w:rsid w:val="1DE5057D"/>
    <w:rsid w:val="1DE651E8"/>
    <w:rsid w:val="1DEC6B60"/>
    <w:rsid w:val="1DEF05A0"/>
    <w:rsid w:val="1DF0665E"/>
    <w:rsid w:val="1DF24184"/>
    <w:rsid w:val="1DF42051"/>
    <w:rsid w:val="1DFC0A90"/>
    <w:rsid w:val="1DFD79FA"/>
    <w:rsid w:val="1E087E4C"/>
    <w:rsid w:val="1E104249"/>
    <w:rsid w:val="1E110AAE"/>
    <w:rsid w:val="1E116D00"/>
    <w:rsid w:val="1E1265D5"/>
    <w:rsid w:val="1E1306B1"/>
    <w:rsid w:val="1E18008F"/>
    <w:rsid w:val="1E1B192D"/>
    <w:rsid w:val="1E1B1F5C"/>
    <w:rsid w:val="1E222CBC"/>
    <w:rsid w:val="1E240A4E"/>
    <w:rsid w:val="1E2A1B70"/>
    <w:rsid w:val="1E2A47D2"/>
    <w:rsid w:val="1E2D1B8E"/>
    <w:rsid w:val="1E2F53D8"/>
    <w:rsid w:val="1E2F6AC2"/>
    <w:rsid w:val="1E320A25"/>
    <w:rsid w:val="1E334AD3"/>
    <w:rsid w:val="1E377157"/>
    <w:rsid w:val="1E3824BE"/>
    <w:rsid w:val="1E3C7C36"/>
    <w:rsid w:val="1E3D18A3"/>
    <w:rsid w:val="1E4075E6"/>
    <w:rsid w:val="1E470974"/>
    <w:rsid w:val="1E485727"/>
    <w:rsid w:val="1E4A0464"/>
    <w:rsid w:val="1E4D585F"/>
    <w:rsid w:val="1E4E72A7"/>
    <w:rsid w:val="1E51534F"/>
    <w:rsid w:val="1E522789"/>
    <w:rsid w:val="1E546BED"/>
    <w:rsid w:val="1E56701F"/>
    <w:rsid w:val="1E567F47"/>
    <w:rsid w:val="1E5A2D3B"/>
    <w:rsid w:val="1E6212DC"/>
    <w:rsid w:val="1E643353"/>
    <w:rsid w:val="1E650DFA"/>
    <w:rsid w:val="1E676920"/>
    <w:rsid w:val="1E6A4671"/>
    <w:rsid w:val="1E731769"/>
    <w:rsid w:val="1E74728F"/>
    <w:rsid w:val="1E766B63"/>
    <w:rsid w:val="1E793B0D"/>
    <w:rsid w:val="1E7C26BA"/>
    <w:rsid w:val="1E827BFE"/>
    <w:rsid w:val="1E85324A"/>
    <w:rsid w:val="1E876FC3"/>
    <w:rsid w:val="1E8D3B3C"/>
    <w:rsid w:val="1E90231B"/>
    <w:rsid w:val="1E94348E"/>
    <w:rsid w:val="1E967206"/>
    <w:rsid w:val="1E983160"/>
    <w:rsid w:val="1E9B025E"/>
    <w:rsid w:val="1E9B0CC0"/>
    <w:rsid w:val="1E9B2A6E"/>
    <w:rsid w:val="1E9F255E"/>
    <w:rsid w:val="1E9F27C5"/>
    <w:rsid w:val="1EA415C3"/>
    <w:rsid w:val="1EAC6A29"/>
    <w:rsid w:val="1EAE2B29"/>
    <w:rsid w:val="1EB22117"/>
    <w:rsid w:val="1EB50661"/>
    <w:rsid w:val="1EB678A8"/>
    <w:rsid w:val="1EB92588"/>
    <w:rsid w:val="1EBA1146"/>
    <w:rsid w:val="1EBC4DB7"/>
    <w:rsid w:val="1EC02A83"/>
    <w:rsid w:val="1EC91389"/>
    <w:rsid w:val="1ECA5539"/>
    <w:rsid w:val="1ECA6EAF"/>
    <w:rsid w:val="1ECE50AB"/>
    <w:rsid w:val="1ECE699F"/>
    <w:rsid w:val="1ECF44C6"/>
    <w:rsid w:val="1ED85A70"/>
    <w:rsid w:val="1ED8781E"/>
    <w:rsid w:val="1EDC730E"/>
    <w:rsid w:val="1EDF295B"/>
    <w:rsid w:val="1EE00481"/>
    <w:rsid w:val="1EE37A50"/>
    <w:rsid w:val="1EE44415"/>
    <w:rsid w:val="1EE61861"/>
    <w:rsid w:val="1EE75CB3"/>
    <w:rsid w:val="1EE878D4"/>
    <w:rsid w:val="1EE95587"/>
    <w:rsid w:val="1EEB57A3"/>
    <w:rsid w:val="1EF04B68"/>
    <w:rsid w:val="1EF23DD2"/>
    <w:rsid w:val="1EF3668B"/>
    <w:rsid w:val="1F0163AC"/>
    <w:rsid w:val="1F021EDA"/>
    <w:rsid w:val="1F0910A5"/>
    <w:rsid w:val="1F106FB8"/>
    <w:rsid w:val="1F1545CE"/>
    <w:rsid w:val="1F1745F6"/>
    <w:rsid w:val="1F1801C3"/>
    <w:rsid w:val="1F1A2F77"/>
    <w:rsid w:val="1F201DBF"/>
    <w:rsid w:val="1F210E47"/>
    <w:rsid w:val="1F226CEB"/>
    <w:rsid w:val="1F277006"/>
    <w:rsid w:val="1F29350C"/>
    <w:rsid w:val="1F2E5690"/>
    <w:rsid w:val="1F2E7548"/>
    <w:rsid w:val="1F2E7802"/>
    <w:rsid w:val="1F3152D9"/>
    <w:rsid w:val="1F330F4D"/>
    <w:rsid w:val="1F332CA6"/>
    <w:rsid w:val="1F340F2F"/>
    <w:rsid w:val="1F347891"/>
    <w:rsid w:val="1F386298"/>
    <w:rsid w:val="1F3B23FC"/>
    <w:rsid w:val="1F3E4AD7"/>
    <w:rsid w:val="1F3F5AEF"/>
    <w:rsid w:val="1F446BAE"/>
    <w:rsid w:val="1F494278"/>
    <w:rsid w:val="1F4B4494"/>
    <w:rsid w:val="1F4E5D32"/>
    <w:rsid w:val="1F505606"/>
    <w:rsid w:val="1F576995"/>
    <w:rsid w:val="1F5C044F"/>
    <w:rsid w:val="1F5F16AB"/>
    <w:rsid w:val="1F627352"/>
    <w:rsid w:val="1F642E60"/>
    <w:rsid w:val="1F686DF4"/>
    <w:rsid w:val="1F6B2440"/>
    <w:rsid w:val="1F6F11A0"/>
    <w:rsid w:val="1F723F43"/>
    <w:rsid w:val="1F7312F5"/>
    <w:rsid w:val="1F732EBA"/>
    <w:rsid w:val="1F78690B"/>
    <w:rsid w:val="1F7A2683"/>
    <w:rsid w:val="1F7D0EBD"/>
    <w:rsid w:val="1F7E2174"/>
    <w:rsid w:val="1F843502"/>
    <w:rsid w:val="1F8B4634"/>
    <w:rsid w:val="1F9000F9"/>
    <w:rsid w:val="1F96059D"/>
    <w:rsid w:val="1F971487"/>
    <w:rsid w:val="1F996FAD"/>
    <w:rsid w:val="1F9C4138"/>
    <w:rsid w:val="1F9C4CF0"/>
    <w:rsid w:val="1FA15F46"/>
    <w:rsid w:val="1FA26223"/>
    <w:rsid w:val="1FA477D2"/>
    <w:rsid w:val="1FA97BF0"/>
    <w:rsid w:val="1FB318E7"/>
    <w:rsid w:val="1FB723C0"/>
    <w:rsid w:val="1FB75686"/>
    <w:rsid w:val="1FBD504D"/>
    <w:rsid w:val="1FBE7843"/>
    <w:rsid w:val="1FBF3557"/>
    <w:rsid w:val="1FBF453A"/>
    <w:rsid w:val="1FC013F4"/>
    <w:rsid w:val="1FC3180B"/>
    <w:rsid w:val="1FCA53B9"/>
    <w:rsid w:val="1FCF126D"/>
    <w:rsid w:val="1FCF5796"/>
    <w:rsid w:val="1FDF5B79"/>
    <w:rsid w:val="1FE01B46"/>
    <w:rsid w:val="1FE372EB"/>
    <w:rsid w:val="1FE530DF"/>
    <w:rsid w:val="1FE66E09"/>
    <w:rsid w:val="1FEA15B7"/>
    <w:rsid w:val="1FF00B97"/>
    <w:rsid w:val="1FF01C50"/>
    <w:rsid w:val="1FF05635"/>
    <w:rsid w:val="1FF37588"/>
    <w:rsid w:val="1FF811A1"/>
    <w:rsid w:val="1FFE32B4"/>
    <w:rsid w:val="1FFE5F70"/>
    <w:rsid w:val="1FFF09E9"/>
    <w:rsid w:val="20016901"/>
    <w:rsid w:val="2007660D"/>
    <w:rsid w:val="200F101E"/>
    <w:rsid w:val="20124FB2"/>
    <w:rsid w:val="20135C1B"/>
    <w:rsid w:val="20194161"/>
    <w:rsid w:val="201C373B"/>
    <w:rsid w:val="202507AA"/>
    <w:rsid w:val="20252704"/>
    <w:rsid w:val="20291160"/>
    <w:rsid w:val="202A40A9"/>
    <w:rsid w:val="202C7E22"/>
    <w:rsid w:val="202D3A67"/>
    <w:rsid w:val="202F0924"/>
    <w:rsid w:val="203171E6"/>
    <w:rsid w:val="20326142"/>
    <w:rsid w:val="203776D0"/>
    <w:rsid w:val="20390790"/>
    <w:rsid w:val="20392DB8"/>
    <w:rsid w:val="203C0C33"/>
    <w:rsid w:val="203C7669"/>
    <w:rsid w:val="20474C5B"/>
    <w:rsid w:val="2049683A"/>
    <w:rsid w:val="204A54EF"/>
    <w:rsid w:val="204F58BE"/>
    <w:rsid w:val="20541126"/>
    <w:rsid w:val="205445FE"/>
    <w:rsid w:val="205B3BD8"/>
    <w:rsid w:val="205E3D53"/>
    <w:rsid w:val="205F52FB"/>
    <w:rsid w:val="20605D1D"/>
    <w:rsid w:val="20621A95"/>
    <w:rsid w:val="20657B97"/>
    <w:rsid w:val="206A0C3C"/>
    <w:rsid w:val="206A6B9C"/>
    <w:rsid w:val="206C0909"/>
    <w:rsid w:val="207277FE"/>
    <w:rsid w:val="20735A50"/>
    <w:rsid w:val="207417C9"/>
    <w:rsid w:val="2076109D"/>
    <w:rsid w:val="207812B9"/>
    <w:rsid w:val="207B2B57"/>
    <w:rsid w:val="207D68CF"/>
    <w:rsid w:val="207E1DE6"/>
    <w:rsid w:val="207E3421"/>
    <w:rsid w:val="207E5B63"/>
    <w:rsid w:val="2080016D"/>
    <w:rsid w:val="20801F1B"/>
    <w:rsid w:val="20823EE5"/>
    <w:rsid w:val="2084144E"/>
    <w:rsid w:val="20875058"/>
    <w:rsid w:val="208C08C0"/>
    <w:rsid w:val="208D63E6"/>
    <w:rsid w:val="208E601A"/>
    <w:rsid w:val="2099122F"/>
    <w:rsid w:val="20995346"/>
    <w:rsid w:val="209C3433"/>
    <w:rsid w:val="20A7394C"/>
    <w:rsid w:val="20A774A8"/>
    <w:rsid w:val="20AC4F3F"/>
    <w:rsid w:val="20B02799"/>
    <w:rsid w:val="20B34C95"/>
    <w:rsid w:val="20B3589F"/>
    <w:rsid w:val="20B47E17"/>
    <w:rsid w:val="20B65FAF"/>
    <w:rsid w:val="20B83463"/>
    <w:rsid w:val="20BE47F2"/>
    <w:rsid w:val="20D14525"/>
    <w:rsid w:val="20D353F5"/>
    <w:rsid w:val="20D77715"/>
    <w:rsid w:val="20D9164A"/>
    <w:rsid w:val="20DA787E"/>
    <w:rsid w:val="20DC0484"/>
    <w:rsid w:val="20DE6C42"/>
    <w:rsid w:val="20E2552A"/>
    <w:rsid w:val="20E26732"/>
    <w:rsid w:val="20E320BE"/>
    <w:rsid w:val="20E47F04"/>
    <w:rsid w:val="20E62665"/>
    <w:rsid w:val="20EB1A8B"/>
    <w:rsid w:val="20ED4895"/>
    <w:rsid w:val="20EE157B"/>
    <w:rsid w:val="20EE3329"/>
    <w:rsid w:val="20F63F8C"/>
    <w:rsid w:val="20F9358E"/>
    <w:rsid w:val="20FA1CCE"/>
    <w:rsid w:val="20FA3A7C"/>
    <w:rsid w:val="20FB17E4"/>
    <w:rsid w:val="21041F40"/>
    <w:rsid w:val="210670D2"/>
    <w:rsid w:val="21080B1F"/>
    <w:rsid w:val="210E3641"/>
    <w:rsid w:val="210E6D86"/>
    <w:rsid w:val="210F3FE9"/>
    <w:rsid w:val="21162880"/>
    <w:rsid w:val="21182154"/>
    <w:rsid w:val="21183FF4"/>
    <w:rsid w:val="211A411E"/>
    <w:rsid w:val="211B195F"/>
    <w:rsid w:val="211E38B3"/>
    <w:rsid w:val="211F1734"/>
    <w:rsid w:val="21222FD3"/>
    <w:rsid w:val="21274A8D"/>
    <w:rsid w:val="2127683B"/>
    <w:rsid w:val="212821DD"/>
    <w:rsid w:val="212C3B52"/>
    <w:rsid w:val="212E5E1B"/>
    <w:rsid w:val="212F12B2"/>
    <w:rsid w:val="21321F54"/>
    <w:rsid w:val="21355B5A"/>
    <w:rsid w:val="213571AA"/>
    <w:rsid w:val="21380A48"/>
    <w:rsid w:val="213F5933"/>
    <w:rsid w:val="21415B4F"/>
    <w:rsid w:val="2144119B"/>
    <w:rsid w:val="21484179"/>
    <w:rsid w:val="214B42D7"/>
    <w:rsid w:val="215238B8"/>
    <w:rsid w:val="2153379F"/>
    <w:rsid w:val="215A1951"/>
    <w:rsid w:val="215A451A"/>
    <w:rsid w:val="215D225D"/>
    <w:rsid w:val="215F2C5D"/>
    <w:rsid w:val="21607F8C"/>
    <w:rsid w:val="21666272"/>
    <w:rsid w:val="216A0679"/>
    <w:rsid w:val="216B497A"/>
    <w:rsid w:val="216D06F2"/>
    <w:rsid w:val="216D6944"/>
    <w:rsid w:val="216E0EF2"/>
    <w:rsid w:val="21741EDF"/>
    <w:rsid w:val="217C6B87"/>
    <w:rsid w:val="21820366"/>
    <w:rsid w:val="21837F15"/>
    <w:rsid w:val="218A2E91"/>
    <w:rsid w:val="218E2416"/>
    <w:rsid w:val="219524B8"/>
    <w:rsid w:val="219B4B25"/>
    <w:rsid w:val="219C2D85"/>
    <w:rsid w:val="21A166AB"/>
    <w:rsid w:val="21A8564D"/>
    <w:rsid w:val="21A97250"/>
    <w:rsid w:val="21AD0AEE"/>
    <w:rsid w:val="21AD4F92"/>
    <w:rsid w:val="21B31E7D"/>
    <w:rsid w:val="21B7196D"/>
    <w:rsid w:val="21BB6D03"/>
    <w:rsid w:val="21BE0F4D"/>
    <w:rsid w:val="21BE719F"/>
    <w:rsid w:val="21C67E02"/>
    <w:rsid w:val="21CC42AC"/>
    <w:rsid w:val="21CD73E2"/>
    <w:rsid w:val="21D50045"/>
    <w:rsid w:val="21D7553B"/>
    <w:rsid w:val="21D9026F"/>
    <w:rsid w:val="21DC7625"/>
    <w:rsid w:val="21DF35AE"/>
    <w:rsid w:val="21DF5F0C"/>
    <w:rsid w:val="21E4596C"/>
    <w:rsid w:val="21ED2171"/>
    <w:rsid w:val="21ED6FFE"/>
    <w:rsid w:val="21EF7359"/>
    <w:rsid w:val="21F33110"/>
    <w:rsid w:val="21F65217"/>
    <w:rsid w:val="21FC1A76"/>
    <w:rsid w:val="21FC6C72"/>
    <w:rsid w:val="22011FC9"/>
    <w:rsid w:val="22032E04"/>
    <w:rsid w:val="220646A2"/>
    <w:rsid w:val="220A75FE"/>
    <w:rsid w:val="220B1CB9"/>
    <w:rsid w:val="220F3557"/>
    <w:rsid w:val="22111639"/>
    <w:rsid w:val="22157F2F"/>
    <w:rsid w:val="22193154"/>
    <w:rsid w:val="22196184"/>
    <w:rsid w:val="221A1EFC"/>
    <w:rsid w:val="22215F9A"/>
    <w:rsid w:val="222C4C08"/>
    <w:rsid w:val="222E3E55"/>
    <w:rsid w:val="222F1FD0"/>
    <w:rsid w:val="222F49F4"/>
    <w:rsid w:val="22325497"/>
    <w:rsid w:val="22364F87"/>
    <w:rsid w:val="223876B6"/>
    <w:rsid w:val="223905D4"/>
    <w:rsid w:val="223A3859"/>
    <w:rsid w:val="223B12D5"/>
    <w:rsid w:val="223E208E"/>
    <w:rsid w:val="22407792"/>
    <w:rsid w:val="22422D80"/>
    <w:rsid w:val="22443B73"/>
    <w:rsid w:val="224539EC"/>
    <w:rsid w:val="224E0D5D"/>
    <w:rsid w:val="225104FC"/>
    <w:rsid w:val="22543BC3"/>
    <w:rsid w:val="225673D8"/>
    <w:rsid w:val="225B17B5"/>
    <w:rsid w:val="22602004"/>
    <w:rsid w:val="22610E74"/>
    <w:rsid w:val="22625D7D"/>
    <w:rsid w:val="2265761B"/>
    <w:rsid w:val="22682C67"/>
    <w:rsid w:val="226D2ED2"/>
    <w:rsid w:val="22730512"/>
    <w:rsid w:val="22763833"/>
    <w:rsid w:val="227855A0"/>
    <w:rsid w:val="227F4D69"/>
    <w:rsid w:val="22804455"/>
    <w:rsid w:val="228125D6"/>
    <w:rsid w:val="228201CD"/>
    <w:rsid w:val="228220FE"/>
    <w:rsid w:val="2286570E"/>
    <w:rsid w:val="22865C7F"/>
    <w:rsid w:val="22883309"/>
    <w:rsid w:val="228850B7"/>
    <w:rsid w:val="228A52D3"/>
    <w:rsid w:val="228E4DC3"/>
    <w:rsid w:val="22910CB0"/>
    <w:rsid w:val="22975397"/>
    <w:rsid w:val="22977811"/>
    <w:rsid w:val="229879F0"/>
    <w:rsid w:val="22995ED9"/>
    <w:rsid w:val="229C2958"/>
    <w:rsid w:val="229E3034"/>
    <w:rsid w:val="229E5239"/>
    <w:rsid w:val="22A10E8E"/>
    <w:rsid w:val="22A15189"/>
    <w:rsid w:val="22A30143"/>
    <w:rsid w:val="22A53EBB"/>
    <w:rsid w:val="22A7060C"/>
    <w:rsid w:val="22AC524A"/>
    <w:rsid w:val="22AD2D70"/>
    <w:rsid w:val="22AD4B1E"/>
    <w:rsid w:val="22AE2DA1"/>
    <w:rsid w:val="22B81E40"/>
    <w:rsid w:val="22BA68E9"/>
    <w:rsid w:val="22CC337D"/>
    <w:rsid w:val="22D0534D"/>
    <w:rsid w:val="22D30A28"/>
    <w:rsid w:val="22D62FCB"/>
    <w:rsid w:val="22E06AAB"/>
    <w:rsid w:val="22E36792"/>
    <w:rsid w:val="22E5250A"/>
    <w:rsid w:val="22E52653"/>
    <w:rsid w:val="22E83DA8"/>
    <w:rsid w:val="22EA18E2"/>
    <w:rsid w:val="22EA29E9"/>
    <w:rsid w:val="22EB775F"/>
    <w:rsid w:val="22F015DA"/>
    <w:rsid w:val="22F24516"/>
    <w:rsid w:val="22F25FED"/>
    <w:rsid w:val="22F34C27"/>
    <w:rsid w:val="22FB2B87"/>
    <w:rsid w:val="2302130E"/>
    <w:rsid w:val="230218D6"/>
    <w:rsid w:val="2304505A"/>
    <w:rsid w:val="23072480"/>
    <w:rsid w:val="230B6414"/>
    <w:rsid w:val="230C3F3A"/>
    <w:rsid w:val="230F2F1A"/>
    <w:rsid w:val="23151732"/>
    <w:rsid w:val="23155396"/>
    <w:rsid w:val="2318643B"/>
    <w:rsid w:val="23256C77"/>
    <w:rsid w:val="23260D8E"/>
    <w:rsid w:val="23262279"/>
    <w:rsid w:val="232914B4"/>
    <w:rsid w:val="232C56A2"/>
    <w:rsid w:val="232C638A"/>
    <w:rsid w:val="233063FB"/>
    <w:rsid w:val="2331285C"/>
    <w:rsid w:val="23333275"/>
    <w:rsid w:val="23386ADD"/>
    <w:rsid w:val="233B12B4"/>
    <w:rsid w:val="233C2631"/>
    <w:rsid w:val="233C2FBE"/>
    <w:rsid w:val="2340369D"/>
    <w:rsid w:val="234611FA"/>
    <w:rsid w:val="23474F72"/>
    <w:rsid w:val="234B6811"/>
    <w:rsid w:val="234D356B"/>
    <w:rsid w:val="234E68B9"/>
    <w:rsid w:val="2351194D"/>
    <w:rsid w:val="23512450"/>
    <w:rsid w:val="23563C4E"/>
    <w:rsid w:val="23582E28"/>
    <w:rsid w:val="235B27CC"/>
    <w:rsid w:val="235C0A1E"/>
    <w:rsid w:val="236478D2"/>
    <w:rsid w:val="2366189C"/>
    <w:rsid w:val="23682F40"/>
    <w:rsid w:val="236A16AF"/>
    <w:rsid w:val="236C2E40"/>
    <w:rsid w:val="236C59B5"/>
    <w:rsid w:val="236D2C2B"/>
    <w:rsid w:val="236E24FF"/>
    <w:rsid w:val="23700878"/>
    <w:rsid w:val="23711FEF"/>
    <w:rsid w:val="23715D17"/>
    <w:rsid w:val="23750E48"/>
    <w:rsid w:val="237818A7"/>
    <w:rsid w:val="23787B5B"/>
    <w:rsid w:val="237F64BA"/>
    <w:rsid w:val="23887A65"/>
    <w:rsid w:val="238F2A84"/>
    <w:rsid w:val="2394376D"/>
    <w:rsid w:val="23950905"/>
    <w:rsid w:val="23955CDE"/>
    <w:rsid w:val="239D4B92"/>
    <w:rsid w:val="239F4588"/>
    <w:rsid w:val="23A14683"/>
    <w:rsid w:val="23A203FB"/>
    <w:rsid w:val="23A36271"/>
    <w:rsid w:val="23A3664D"/>
    <w:rsid w:val="23A41537"/>
    <w:rsid w:val="23A5639B"/>
    <w:rsid w:val="23AB5501"/>
    <w:rsid w:val="23AE4FF1"/>
    <w:rsid w:val="23B00850"/>
    <w:rsid w:val="23B2407F"/>
    <w:rsid w:val="23B26485"/>
    <w:rsid w:val="23B26C53"/>
    <w:rsid w:val="23B84938"/>
    <w:rsid w:val="23B95E70"/>
    <w:rsid w:val="23BA1BE8"/>
    <w:rsid w:val="23BC64AB"/>
    <w:rsid w:val="23BD7D15"/>
    <w:rsid w:val="23C3381B"/>
    <w:rsid w:val="23C562A3"/>
    <w:rsid w:val="23CD1D77"/>
    <w:rsid w:val="23CD36CA"/>
    <w:rsid w:val="23CD71CE"/>
    <w:rsid w:val="23D04F68"/>
    <w:rsid w:val="23D3375A"/>
    <w:rsid w:val="23D36806"/>
    <w:rsid w:val="23D73E2E"/>
    <w:rsid w:val="23DD0DC1"/>
    <w:rsid w:val="23DD1433"/>
    <w:rsid w:val="23DF164F"/>
    <w:rsid w:val="23E50E3E"/>
    <w:rsid w:val="23E66539"/>
    <w:rsid w:val="23E822B1"/>
    <w:rsid w:val="23EB04AE"/>
    <w:rsid w:val="23EE53EE"/>
    <w:rsid w:val="23F21382"/>
    <w:rsid w:val="23F35C21"/>
    <w:rsid w:val="23F45C8C"/>
    <w:rsid w:val="23F5677C"/>
    <w:rsid w:val="23F70746"/>
    <w:rsid w:val="23F724F4"/>
    <w:rsid w:val="23F87428"/>
    <w:rsid w:val="23FE3883"/>
    <w:rsid w:val="23FF13A9"/>
    <w:rsid w:val="240070E4"/>
    <w:rsid w:val="24015121"/>
    <w:rsid w:val="24086840"/>
    <w:rsid w:val="2409047A"/>
    <w:rsid w:val="241412F8"/>
    <w:rsid w:val="24141D9B"/>
    <w:rsid w:val="24155071"/>
    <w:rsid w:val="24156E1F"/>
    <w:rsid w:val="241E5CD3"/>
    <w:rsid w:val="24280900"/>
    <w:rsid w:val="24293F8F"/>
    <w:rsid w:val="242B219E"/>
    <w:rsid w:val="2433423F"/>
    <w:rsid w:val="243454F7"/>
    <w:rsid w:val="2435301D"/>
    <w:rsid w:val="24376D95"/>
    <w:rsid w:val="24377E1B"/>
    <w:rsid w:val="24392B0D"/>
    <w:rsid w:val="243C0D71"/>
    <w:rsid w:val="24474DE5"/>
    <w:rsid w:val="244A4405"/>
    <w:rsid w:val="244B45EE"/>
    <w:rsid w:val="244D480A"/>
    <w:rsid w:val="244E3DB7"/>
    <w:rsid w:val="244E7ABC"/>
    <w:rsid w:val="244F4E98"/>
    <w:rsid w:val="245076FF"/>
    <w:rsid w:val="245277EF"/>
    <w:rsid w:val="245506BD"/>
    <w:rsid w:val="24577437"/>
    <w:rsid w:val="245A4A6F"/>
    <w:rsid w:val="245B6EFA"/>
    <w:rsid w:val="245C4A4D"/>
    <w:rsid w:val="245E07C6"/>
    <w:rsid w:val="245E2574"/>
    <w:rsid w:val="24613E12"/>
    <w:rsid w:val="246202E3"/>
    <w:rsid w:val="2463402E"/>
    <w:rsid w:val="246435E0"/>
    <w:rsid w:val="24661428"/>
    <w:rsid w:val="246758CC"/>
    <w:rsid w:val="24701BA8"/>
    <w:rsid w:val="24743B45"/>
    <w:rsid w:val="2474470C"/>
    <w:rsid w:val="24746821"/>
    <w:rsid w:val="247A0F48"/>
    <w:rsid w:val="247B366D"/>
    <w:rsid w:val="24863878"/>
    <w:rsid w:val="248C7444"/>
    <w:rsid w:val="248D10AB"/>
    <w:rsid w:val="249064A5"/>
    <w:rsid w:val="24942439"/>
    <w:rsid w:val="249441E7"/>
    <w:rsid w:val="24945F95"/>
    <w:rsid w:val="249577B8"/>
    <w:rsid w:val="24997A50"/>
    <w:rsid w:val="249F7859"/>
    <w:rsid w:val="24A868F5"/>
    <w:rsid w:val="24AA3E9F"/>
    <w:rsid w:val="24B1096A"/>
    <w:rsid w:val="24B13BE8"/>
    <w:rsid w:val="24B86128"/>
    <w:rsid w:val="24B87766"/>
    <w:rsid w:val="24BB79C6"/>
    <w:rsid w:val="24BC54EC"/>
    <w:rsid w:val="24BD4B8E"/>
    <w:rsid w:val="24BD5534"/>
    <w:rsid w:val="24BE578F"/>
    <w:rsid w:val="24C20D54"/>
    <w:rsid w:val="24C26FA6"/>
    <w:rsid w:val="24C77D7F"/>
    <w:rsid w:val="24C85C3F"/>
    <w:rsid w:val="24CC0484"/>
    <w:rsid w:val="24CC3981"/>
    <w:rsid w:val="24CF3471"/>
    <w:rsid w:val="24CF521F"/>
    <w:rsid w:val="24D31BA1"/>
    <w:rsid w:val="24DB3BC4"/>
    <w:rsid w:val="24E011DB"/>
    <w:rsid w:val="24E20CE0"/>
    <w:rsid w:val="24E23100"/>
    <w:rsid w:val="24E24F53"/>
    <w:rsid w:val="24E46F1D"/>
    <w:rsid w:val="24EC2197"/>
    <w:rsid w:val="24EE7D9B"/>
    <w:rsid w:val="24F37B79"/>
    <w:rsid w:val="24F42ED8"/>
    <w:rsid w:val="24F83CA6"/>
    <w:rsid w:val="24F9229C"/>
    <w:rsid w:val="24FE78B3"/>
    <w:rsid w:val="25013F2D"/>
    <w:rsid w:val="250258C1"/>
    <w:rsid w:val="250A26FB"/>
    <w:rsid w:val="250A44A9"/>
    <w:rsid w:val="25153B66"/>
    <w:rsid w:val="25184E18"/>
    <w:rsid w:val="251915FD"/>
    <w:rsid w:val="2519649B"/>
    <w:rsid w:val="251A3586"/>
    <w:rsid w:val="251E582B"/>
    <w:rsid w:val="252A06A8"/>
    <w:rsid w:val="252C0BFF"/>
    <w:rsid w:val="252E316F"/>
    <w:rsid w:val="25382DC5"/>
    <w:rsid w:val="253944F4"/>
    <w:rsid w:val="253A4D8F"/>
    <w:rsid w:val="253C3683"/>
    <w:rsid w:val="253D41AC"/>
    <w:rsid w:val="25473008"/>
    <w:rsid w:val="25551BC9"/>
    <w:rsid w:val="25554512"/>
    <w:rsid w:val="25596CEC"/>
    <w:rsid w:val="255B1211"/>
    <w:rsid w:val="25645917"/>
    <w:rsid w:val="25676104"/>
    <w:rsid w:val="25687A82"/>
    <w:rsid w:val="257302A1"/>
    <w:rsid w:val="25754083"/>
    <w:rsid w:val="257613C3"/>
    <w:rsid w:val="25761E37"/>
    <w:rsid w:val="257A518B"/>
    <w:rsid w:val="257B2ABA"/>
    <w:rsid w:val="2580651A"/>
    <w:rsid w:val="25887774"/>
    <w:rsid w:val="258C3110"/>
    <w:rsid w:val="258C59A3"/>
    <w:rsid w:val="259111F3"/>
    <w:rsid w:val="25920967"/>
    <w:rsid w:val="259326F1"/>
    <w:rsid w:val="259439FC"/>
    <w:rsid w:val="25A075BE"/>
    <w:rsid w:val="25A22934"/>
    <w:rsid w:val="25A57169"/>
    <w:rsid w:val="25A73FAD"/>
    <w:rsid w:val="25AB17E9"/>
    <w:rsid w:val="25AD37B3"/>
    <w:rsid w:val="25AE66B4"/>
    <w:rsid w:val="25B06DFF"/>
    <w:rsid w:val="25B255F8"/>
    <w:rsid w:val="25C1100C"/>
    <w:rsid w:val="25C11C5B"/>
    <w:rsid w:val="25C70488"/>
    <w:rsid w:val="25C82446"/>
    <w:rsid w:val="25D02FFD"/>
    <w:rsid w:val="25D23219"/>
    <w:rsid w:val="25D2354F"/>
    <w:rsid w:val="25D24FC7"/>
    <w:rsid w:val="25D323C5"/>
    <w:rsid w:val="25D41D16"/>
    <w:rsid w:val="25D56865"/>
    <w:rsid w:val="25DC5E46"/>
    <w:rsid w:val="25DC7BF4"/>
    <w:rsid w:val="25E371D4"/>
    <w:rsid w:val="25E42F4C"/>
    <w:rsid w:val="25E61914"/>
    <w:rsid w:val="25E62821"/>
    <w:rsid w:val="25E87A4B"/>
    <w:rsid w:val="25EB6089"/>
    <w:rsid w:val="25EC3BAF"/>
    <w:rsid w:val="25EE348E"/>
    <w:rsid w:val="25F211C5"/>
    <w:rsid w:val="25F32EC2"/>
    <w:rsid w:val="25F660D7"/>
    <w:rsid w:val="25FB159F"/>
    <w:rsid w:val="25FF38E2"/>
    <w:rsid w:val="26025181"/>
    <w:rsid w:val="260D24A3"/>
    <w:rsid w:val="261750D0"/>
    <w:rsid w:val="261A071C"/>
    <w:rsid w:val="261A311D"/>
    <w:rsid w:val="261C6242"/>
    <w:rsid w:val="261E645E"/>
    <w:rsid w:val="262050CC"/>
    <w:rsid w:val="26217CFD"/>
    <w:rsid w:val="2622316C"/>
    <w:rsid w:val="2623053C"/>
    <w:rsid w:val="26243349"/>
    <w:rsid w:val="262670C1"/>
    <w:rsid w:val="262D044F"/>
    <w:rsid w:val="262E3697"/>
    <w:rsid w:val="26325A66"/>
    <w:rsid w:val="263316E0"/>
    <w:rsid w:val="263537A8"/>
    <w:rsid w:val="26413EFB"/>
    <w:rsid w:val="26431A21"/>
    <w:rsid w:val="2650413E"/>
    <w:rsid w:val="26556842"/>
    <w:rsid w:val="265754CC"/>
    <w:rsid w:val="265A320F"/>
    <w:rsid w:val="265A4FBD"/>
    <w:rsid w:val="265C0D35"/>
    <w:rsid w:val="26614134"/>
    <w:rsid w:val="26633E71"/>
    <w:rsid w:val="26666563"/>
    <w:rsid w:val="266B0F78"/>
    <w:rsid w:val="266B5B15"/>
    <w:rsid w:val="26747E2C"/>
    <w:rsid w:val="26753BA5"/>
    <w:rsid w:val="26793695"/>
    <w:rsid w:val="267C0A39"/>
    <w:rsid w:val="267C3185"/>
    <w:rsid w:val="26802C75"/>
    <w:rsid w:val="26865C8E"/>
    <w:rsid w:val="26881B2A"/>
    <w:rsid w:val="268C732C"/>
    <w:rsid w:val="268D34D6"/>
    <w:rsid w:val="26920BFA"/>
    <w:rsid w:val="269229A8"/>
    <w:rsid w:val="269640B9"/>
    <w:rsid w:val="26995AE5"/>
    <w:rsid w:val="269B185D"/>
    <w:rsid w:val="269B7AAF"/>
    <w:rsid w:val="269E134D"/>
    <w:rsid w:val="269F0C21"/>
    <w:rsid w:val="26A06E73"/>
    <w:rsid w:val="26A36964"/>
    <w:rsid w:val="26A61FB0"/>
    <w:rsid w:val="26A65805"/>
    <w:rsid w:val="26A74667"/>
    <w:rsid w:val="26AA5F44"/>
    <w:rsid w:val="26AD2521"/>
    <w:rsid w:val="26AF70B6"/>
    <w:rsid w:val="26B05D19"/>
    <w:rsid w:val="26B307E8"/>
    <w:rsid w:val="26B369A7"/>
    <w:rsid w:val="26B96187"/>
    <w:rsid w:val="26BC0E63"/>
    <w:rsid w:val="26BE19EF"/>
    <w:rsid w:val="26C32062"/>
    <w:rsid w:val="26C521E0"/>
    <w:rsid w:val="26C756D4"/>
    <w:rsid w:val="26CA3EF0"/>
    <w:rsid w:val="26CC5EBA"/>
    <w:rsid w:val="26CE4858"/>
    <w:rsid w:val="26D57B6E"/>
    <w:rsid w:val="26D62895"/>
    <w:rsid w:val="26D93B30"/>
    <w:rsid w:val="26DB434F"/>
    <w:rsid w:val="26DD00C8"/>
    <w:rsid w:val="26DD17BC"/>
    <w:rsid w:val="26DD7622"/>
    <w:rsid w:val="26DE7F7F"/>
    <w:rsid w:val="26E72A75"/>
    <w:rsid w:val="26EB3677"/>
    <w:rsid w:val="26ED7BDF"/>
    <w:rsid w:val="26EF337F"/>
    <w:rsid w:val="26F86CAF"/>
    <w:rsid w:val="26F91347"/>
    <w:rsid w:val="26F947D6"/>
    <w:rsid w:val="26FB67A0"/>
    <w:rsid w:val="26FD42C6"/>
    <w:rsid w:val="26FE003E"/>
    <w:rsid w:val="26FF7EE9"/>
    <w:rsid w:val="27063D4E"/>
    <w:rsid w:val="270A69E3"/>
    <w:rsid w:val="270B6448"/>
    <w:rsid w:val="270B7A08"/>
    <w:rsid w:val="270D43CE"/>
    <w:rsid w:val="27112B98"/>
    <w:rsid w:val="271617F6"/>
    <w:rsid w:val="27165C3A"/>
    <w:rsid w:val="271B4A72"/>
    <w:rsid w:val="271D04C4"/>
    <w:rsid w:val="27220408"/>
    <w:rsid w:val="27271343"/>
    <w:rsid w:val="27284D09"/>
    <w:rsid w:val="272A0CB2"/>
    <w:rsid w:val="272C6959"/>
    <w:rsid w:val="272D15F2"/>
    <w:rsid w:val="272F01F7"/>
    <w:rsid w:val="27351E17"/>
    <w:rsid w:val="273A039A"/>
    <w:rsid w:val="27421CD9"/>
    <w:rsid w:val="274243CE"/>
    <w:rsid w:val="27475541"/>
    <w:rsid w:val="274912B9"/>
    <w:rsid w:val="274924FE"/>
    <w:rsid w:val="274E68CF"/>
    <w:rsid w:val="2750262D"/>
    <w:rsid w:val="2756057A"/>
    <w:rsid w:val="2759240E"/>
    <w:rsid w:val="275A48D9"/>
    <w:rsid w:val="275B0FEC"/>
    <w:rsid w:val="275B28C6"/>
    <w:rsid w:val="275D4D64"/>
    <w:rsid w:val="275E470B"/>
    <w:rsid w:val="27606603"/>
    <w:rsid w:val="27612F92"/>
    <w:rsid w:val="27634177"/>
    <w:rsid w:val="276E51C4"/>
    <w:rsid w:val="27716366"/>
    <w:rsid w:val="27724186"/>
    <w:rsid w:val="277420AE"/>
    <w:rsid w:val="27787DF0"/>
    <w:rsid w:val="2779313B"/>
    <w:rsid w:val="27797B83"/>
    <w:rsid w:val="277F4CDB"/>
    <w:rsid w:val="27806CA5"/>
    <w:rsid w:val="27812709"/>
    <w:rsid w:val="27840543"/>
    <w:rsid w:val="278422F1"/>
    <w:rsid w:val="27871DE1"/>
    <w:rsid w:val="27894998"/>
    <w:rsid w:val="278E73B9"/>
    <w:rsid w:val="278F251B"/>
    <w:rsid w:val="27922F5A"/>
    <w:rsid w:val="27952750"/>
    <w:rsid w:val="2799678B"/>
    <w:rsid w:val="279B588D"/>
    <w:rsid w:val="279D0DF3"/>
    <w:rsid w:val="279D33B3"/>
    <w:rsid w:val="279F35CF"/>
    <w:rsid w:val="279F537D"/>
    <w:rsid w:val="27A02EA3"/>
    <w:rsid w:val="27A04C51"/>
    <w:rsid w:val="27A77A67"/>
    <w:rsid w:val="27AB594A"/>
    <w:rsid w:val="27B30E28"/>
    <w:rsid w:val="27B41158"/>
    <w:rsid w:val="27B525EA"/>
    <w:rsid w:val="27B70919"/>
    <w:rsid w:val="27B84691"/>
    <w:rsid w:val="27BD61DB"/>
    <w:rsid w:val="27C052F3"/>
    <w:rsid w:val="27C762F0"/>
    <w:rsid w:val="27C84A08"/>
    <w:rsid w:val="27CF654F"/>
    <w:rsid w:val="27D019DA"/>
    <w:rsid w:val="27D50D9F"/>
    <w:rsid w:val="27D843EB"/>
    <w:rsid w:val="27D86AE1"/>
    <w:rsid w:val="27DA0DC0"/>
    <w:rsid w:val="27DC36B5"/>
    <w:rsid w:val="27DD2E99"/>
    <w:rsid w:val="27DD4B45"/>
    <w:rsid w:val="27E15995"/>
    <w:rsid w:val="27E24956"/>
    <w:rsid w:val="27E41B78"/>
    <w:rsid w:val="27E54AE3"/>
    <w:rsid w:val="27E61368"/>
    <w:rsid w:val="27EB05C2"/>
    <w:rsid w:val="27EB411E"/>
    <w:rsid w:val="27F531EF"/>
    <w:rsid w:val="27FA0DB1"/>
    <w:rsid w:val="27FF406E"/>
    <w:rsid w:val="28041083"/>
    <w:rsid w:val="281003AD"/>
    <w:rsid w:val="281177B6"/>
    <w:rsid w:val="28185E93"/>
    <w:rsid w:val="281968B1"/>
    <w:rsid w:val="281A0EA7"/>
    <w:rsid w:val="281B76B8"/>
    <w:rsid w:val="281C6094"/>
    <w:rsid w:val="282000FB"/>
    <w:rsid w:val="28213FE4"/>
    <w:rsid w:val="282149C5"/>
    <w:rsid w:val="28215D92"/>
    <w:rsid w:val="282615FA"/>
    <w:rsid w:val="282910EA"/>
    <w:rsid w:val="282922A9"/>
    <w:rsid w:val="282D0BDB"/>
    <w:rsid w:val="282D0F72"/>
    <w:rsid w:val="282E319E"/>
    <w:rsid w:val="28302DCC"/>
    <w:rsid w:val="283261F1"/>
    <w:rsid w:val="2835183D"/>
    <w:rsid w:val="28373807"/>
    <w:rsid w:val="2838171A"/>
    <w:rsid w:val="283830DC"/>
    <w:rsid w:val="283C0E1E"/>
    <w:rsid w:val="283C60A4"/>
    <w:rsid w:val="283D6944"/>
    <w:rsid w:val="28413725"/>
    <w:rsid w:val="28414686"/>
    <w:rsid w:val="28463A4A"/>
    <w:rsid w:val="28497097"/>
    <w:rsid w:val="28537C15"/>
    <w:rsid w:val="285A0BA2"/>
    <w:rsid w:val="285D48A0"/>
    <w:rsid w:val="285D5CCC"/>
    <w:rsid w:val="285E6FE6"/>
    <w:rsid w:val="286363AA"/>
    <w:rsid w:val="286C1D7B"/>
    <w:rsid w:val="286D6445"/>
    <w:rsid w:val="286E522A"/>
    <w:rsid w:val="286F4FF3"/>
    <w:rsid w:val="28732DD2"/>
    <w:rsid w:val="28754330"/>
    <w:rsid w:val="287B7B98"/>
    <w:rsid w:val="287C121A"/>
    <w:rsid w:val="287C29F4"/>
    <w:rsid w:val="28814A83"/>
    <w:rsid w:val="288307FB"/>
    <w:rsid w:val="28843333"/>
    <w:rsid w:val="28844573"/>
    <w:rsid w:val="2885221B"/>
    <w:rsid w:val="288527C5"/>
    <w:rsid w:val="288602EB"/>
    <w:rsid w:val="28884063"/>
    <w:rsid w:val="28885E11"/>
    <w:rsid w:val="288959E2"/>
    <w:rsid w:val="288B3B53"/>
    <w:rsid w:val="288C3979"/>
    <w:rsid w:val="2890116A"/>
    <w:rsid w:val="28904CC6"/>
    <w:rsid w:val="289447B6"/>
    <w:rsid w:val="28996270"/>
    <w:rsid w:val="289B53C6"/>
    <w:rsid w:val="28A15A4A"/>
    <w:rsid w:val="28A16ED3"/>
    <w:rsid w:val="28A879F0"/>
    <w:rsid w:val="28AD20C3"/>
    <w:rsid w:val="28B60BD0"/>
    <w:rsid w:val="28BD1316"/>
    <w:rsid w:val="28BE46CD"/>
    <w:rsid w:val="28C0181B"/>
    <w:rsid w:val="28C5204D"/>
    <w:rsid w:val="28CC64D8"/>
    <w:rsid w:val="28CE6928"/>
    <w:rsid w:val="28CF0B3F"/>
    <w:rsid w:val="28D01566"/>
    <w:rsid w:val="28D21782"/>
    <w:rsid w:val="28D64DCE"/>
    <w:rsid w:val="28D92D29"/>
    <w:rsid w:val="28D948BF"/>
    <w:rsid w:val="28DE743B"/>
    <w:rsid w:val="28E514B5"/>
    <w:rsid w:val="28E53263"/>
    <w:rsid w:val="28E84B02"/>
    <w:rsid w:val="28EA17C3"/>
    <w:rsid w:val="28EA2628"/>
    <w:rsid w:val="28EA3771"/>
    <w:rsid w:val="28EB4DD4"/>
    <w:rsid w:val="28EB63A0"/>
    <w:rsid w:val="28EE2D15"/>
    <w:rsid w:val="28EF40E2"/>
    <w:rsid w:val="28F10206"/>
    <w:rsid w:val="28F3548C"/>
    <w:rsid w:val="28F6721F"/>
    <w:rsid w:val="28F87B06"/>
    <w:rsid w:val="28FC538E"/>
    <w:rsid w:val="28FD468F"/>
    <w:rsid w:val="28FE4325"/>
    <w:rsid w:val="28FE60D3"/>
    <w:rsid w:val="29051210"/>
    <w:rsid w:val="2907571B"/>
    <w:rsid w:val="290A2CCA"/>
    <w:rsid w:val="290A3D75"/>
    <w:rsid w:val="290C01AD"/>
    <w:rsid w:val="291B0A33"/>
    <w:rsid w:val="291E2574"/>
    <w:rsid w:val="291E6775"/>
    <w:rsid w:val="29224E4B"/>
    <w:rsid w:val="29232E70"/>
    <w:rsid w:val="292540AD"/>
    <w:rsid w:val="29265813"/>
    <w:rsid w:val="2927387C"/>
    <w:rsid w:val="292B71AF"/>
    <w:rsid w:val="292C2C40"/>
    <w:rsid w:val="29312005"/>
    <w:rsid w:val="29341AF5"/>
    <w:rsid w:val="29347D47"/>
    <w:rsid w:val="29387837"/>
    <w:rsid w:val="2939710B"/>
    <w:rsid w:val="293A3114"/>
    <w:rsid w:val="293C3D42"/>
    <w:rsid w:val="293D309F"/>
    <w:rsid w:val="29413A1E"/>
    <w:rsid w:val="2942161F"/>
    <w:rsid w:val="2943271A"/>
    <w:rsid w:val="29455AB0"/>
    <w:rsid w:val="294E0E09"/>
    <w:rsid w:val="29585E1D"/>
    <w:rsid w:val="295977AD"/>
    <w:rsid w:val="295D073B"/>
    <w:rsid w:val="295D729E"/>
    <w:rsid w:val="295E3016"/>
    <w:rsid w:val="295E6B72"/>
    <w:rsid w:val="29617E99"/>
    <w:rsid w:val="296252D9"/>
    <w:rsid w:val="296304C5"/>
    <w:rsid w:val="296534BD"/>
    <w:rsid w:val="29695400"/>
    <w:rsid w:val="296F21C7"/>
    <w:rsid w:val="29737029"/>
    <w:rsid w:val="297812BE"/>
    <w:rsid w:val="29797E39"/>
    <w:rsid w:val="297D349C"/>
    <w:rsid w:val="297E7FFF"/>
    <w:rsid w:val="298011DE"/>
    <w:rsid w:val="298560DE"/>
    <w:rsid w:val="298E56A9"/>
    <w:rsid w:val="29916F47"/>
    <w:rsid w:val="299270AF"/>
    <w:rsid w:val="29934A6D"/>
    <w:rsid w:val="29955C15"/>
    <w:rsid w:val="299802D6"/>
    <w:rsid w:val="299A5BB0"/>
    <w:rsid w:val="299D5919"/>
    <w:rsid w:val="299D6F78"/>
    <w:rsid w:val="29A139E7"/>
    <w:rsid w:val="29A37F13"/>
    <w:rsid w:val="29A65F05"/>
    <w:rsid w:val="29A749BD"/>
    <w:rsid w:val="29AC3D81"/>
    <w:rsid w:val="29AC6103"/>
    <w:rsid w:val="29B26DCD"/>
    <w:rsid w:val="29B570DA"/>
    <w:rsid w:val="29B733F6"/>
    <w:rsid w:val="29B833B7"/>
    <w:rsid w:val="29B9024C"/>
    <w:rsid w:val="29BA46F0"/>
    <w:rsid w:val="29BC27DC"/>
    <w:rsid w:val="29BC3632"/>
    <w:rsid w:val="29BD2CE7"/>
    <w:rsid w:val="29C015DB"/>
    <w:rsid w:val="29C53533"/>
    <w:rsid w:val="29C93B62"/>
    <w:rsid w:val="29C941B3"/>
    <w:rsid w:val="29D137E8"/>
    <w:rsid w:val="29D142F9"/>
    <w:rsid w:val="29D17BD1"/>
    <w:rsid w:val="29D357B2"/>
    <w:rsid w:val="29DB3D81"/>
    <w:rsid w:val="29DD03DE"/>
    <w:rsid w:val="29DD218D"/>
    <w:rsid w:val="29DF48AB"/>
    <w:rsid w:val="29E4351B"/>
    <w:rsid w:val="29E60A32"/>
    <w:rsid w:val="29E80839"/>
    <w:rsid w:val="29EA6657"/>
    <w:rsid w:val="29EB6846"/>
    <w:rsid w:val="29F00112"/>
    <w:rsid w:val="29F51284"/>
    <w:rsid w:val="29FF65A7"/>
    <w:rsid w:val="2A021BF3"/>
    <w:rsid w:val="2A0239A1"/>
    <w:rsid w:val="2A04596B"/>
    <w:rsid w:val="2A053438"/>
    <w:rsid w:val="2A0E6DD8"/>
    <w:rsid w:val="2A151926"/>
    <w:rsid w:val="2A157B78"/>
    <w:rsid w:val="2A1C0F07"/>
    <w:rsid w:val="2A1C442B"/>
    <w:rsid w:val="2A1D07DB"/>
    <w:rsid w:val="2A202079"/>
    <w:rsid w:val="2A2305EB"/>
    <w:rsid w:val="2A256E1F"/>
    <w:rsid w:val="2A261D85"/>
    <w:rsid w:val="2A263B34"/>
    <w:rsid w:val="2A2B114A"/>
    <w:rsid w:val="2A2D4EC2"/>
    <w:rsid w:val="2A2E0C3A"/>
    <w:rsid w:val="2A306760"/>
    <w:rsid w:val="2A351FC9"/>
    <w:rsid w:val="2A353A9F"/>
    <w:rsid w:val="2A3F0751"/>
    <w:rsid w:val="2A461AE0"/>
    <w:rsid w:val="2A467008"/>
    <w:rsid w:val="2A490E0C"/>
    <w:rsid w:val="2A506E02"/>
    <w:rsid w:val="2A5266D7"/>
    <w:rsid w:val="2A53244F"/>
    <w:rsid w:val="2A5646B3"/>
    <w:rsid w:val="2A5744DB"/>
    <w:rsid w:val="2A594772"/>
    <w:rsid w:val="2A596F1F"/>
    <w:rsid w:val="2A60107B"/>
    <w:rsid w:val="2A663F30"/>
    <w:rsid w:val="2A677CA8"/>
    <w:rsid w:val="2A6B7798"/>
    <w:rsid w:val="2A731B75"/>
    <w:rsid w:val="2A732242"/>
    <w:rsid w:val="2A7E23E8"/>
    <w:rsid w:val="2A7F1496"/>
    <w:rsid w:val="2A846041"/>
    <w:rsid w:val="2A863C41"/>
    <w:rsid w:val="2A8D5101"/>
    <w:rsid w:val="2A925337"/>
    <w:rsid w:val="2A9A1E2C"/>
    <w:rsid w:val="2A9E2ED5"/>
    <w:rsid w:val="2AA060CC"/>
    <w:rsid w:val="2AA42A4B"/>
    <w:rsid w:val="2AA73D32"/>
    <w:rsid w:val="2AAE58D7"/>
    <w:rsid w:val="2AB47391"/>
    <w:rsid w:val="2AB949A8"/>
    <w:rsid w:val="2ABA427C"/>
    <w:rsid w:val="2ABB5AEF"/>
    <w:rsid w:val="2ABD7572"/>
    <w:rsid w:val="2ABF1892"/>
    <w:rsid w:val="2AC410B2"/>
    <w:rsid w:val="2AC82E3D"/>
    <w:rsid w:val="2AC944BF"/>
    <w:rsid w:val="2ACA2711"/>
    <w:rsid w:val="2ACF5F79"/>
    <w:rsid w:val="2AD00096"/>
    <w:rsid w:val="2AD129C6"/>
    <w:rsid w:val="2AD6555A"/>
    <w:rsid w:val="2AD748CF"/>
    <w:rsid w:val="2AD76BDC"/>
    <w:rsid w:val="2AD924CA"/>
    <w:rsid w:val="2AE37E8F"/>
    <w:rsid w:val="2AE62058"/>
    <w:rsid w:val="2AEB08D9"/>
    <w:rsid w:val="2AEE5863"/>
    <w:rsid w:val="2AF106AC"/>
    <w:rsid w:val="2AF23A16"/>
    <w:rsid w:val="2B0705B1"/>
    <w:rsid w:val="2B073965"/>
    <w:rsid w:val="2B0A0D5F"/>
    <w:rsid w:val="2B0A2C0A"/>
    <w:rsid w:val="2B0B531B"/>
    <w:rsid w:val="2B0F60CC"/>
    <w:rsid w:val="2B127D43"/>
    <w:rsid w:val="2B157704"/>
    <w:rsid w:val="2B17347C"/>
    <w:rsid w:val="2B193B25"/>
    <w:rsid w:val="2B1B2F6C"/>
    <w:rsid w:val="2B2318AC"/>
    <w:rsid w:val="2B25203D"/>
    <w:rsid w:val="2B2757A4"/>
    <w:rsid w:val="2B2838DB"/>
    <w:rsid w:val="2B2D4A4E"/>
    <w:rsid w:val="2B2D7144"/>
    <w:rsid w:val="2B2F07C6"/>
    <w:rsid w:val="2B316E5E"/>
    <w:rsid w:val="2B335D46"/>
    <w:rsid w:val="2B365F84"/>
    <w:rsid w:val="2B366985"/>
    <w:rsid w:val="2B373B1E"/>
    <w:rsid w:val="2B381FB0"/>
    <w:rsid w:val="2B4029D3"/>
    <w:rsid w:val="2B475A44"/>
    <w:rsid w:val="2B481888"/>
    <w:rsid w:val="2B494EE0"/>
    <w:rsid w:val="2B4958D7"/>
    <w:rsid w:val="2B4D6E9E"/>
    <w:rsid w:val="2B4F70BA"/>
    <w:rsid w:val="2B512E08"/>
    <w:rsid w:val="2B532047"/>
    <w:rsid w:val="2B56190D"/>
    <w:rsid w:val="2B577D1D"/>
    <w:rsid w:val="2B5923D3"/>
    <w:rsid w:val="2B651583"/>
    <w:rsid w:val="2B6C0025"/>
    <w:rsid w:val="2B6C37C8"/>
    <w:rsid w:val="2B6C528E"/>
    <w:rsid w:val="2B6C7CBA"/>
    <w:rsid w:val="2B712B0A"/>
    <w:rsid w:val="2B766494"/>
    <w:rsid w:val="2B7B2F73"/>
    <w:rsid w:val="2B7B31CD"/>
    <w:rsid w:val="2B7C1A43"/>
    <w:rsid w:val="2B7D6630"/>
    <w:rsid w:val="2B807273"/>
    <w:rsid w:val="2B894E2A"/>
    <w:rsid w:val="2B916D8B"/>
    <w:rsid w:val="2B936FA7"/>
    <w:rsid w:val="2B950B6A"/>
    <w:rsid w:val="2B991C74"/>
    <w:rsid w:val="2B9F687E"/>
    <w:rsid w:val="2BA016C4"/>
    <w:rsid w:val="2BA20A6D"/>
    <w:rsid w:val="2BA44205"/>
    <w:rsid w:val="2BA70CA4"/>
    <w:rsid w:val="2BA7339A"/>
    <w:rsid w:val="2BAA2542"/>
    <w:rsid w:val="2BAE1B1E"/>
    <w:rsid w:val="2BB77DAF"/>
    <w:rsid w:val="2BB83445"/>
    <w:rsid w:val="2BBA09D7"/>
    <w:rsid w:val="2BC37160"/>
    <w:rsid w:val="2BC453FA"/>
    <w:rsid w:val="2BC90C1A"/>
    <w:rsid w:val="2BCA43B7"/>
    <w:rsid w:val="2BCB1C70"/>
    <w:rsid w:val="2BCD535E"/>
    <w:rsid w:val="2BCE0411"/>
    <w:rsid w:val="2BCE4D6E"/>
    <w:rsid w:val="2BD63337"/>
    <w:rsid w:val="2BDA2D10"/>
    <w:rsid w:val="2BDA4BD6"/>
    <w:rsid w:val="2BDD6474"/>
    <w:rsid w:val="2BE5357A"/>
    <w:rsid w:val="2BEB6DE3"/>
    <w:rsid w:val="2BEE0681"/>
    <w:rsid w:val="2BEE385B"/>
    <w:rsid w:val="2BF0601C"/>
    <w:rsid w:val="2BF11F1F"/>
    <w:rsid w:val="2BF26CB6"/>
    <w:rsid w:val="2BFD6FD7"/>
    <w:rsid w:val="2BFF463C"/>
    <w:rsid w:val="2C002162"/>
    <w:rsid w:val="2C012868"/>
    <w:rsid w:val="2C04518B"/>
    <w:rsid w:val="2C057779"/>
    <w:rsid w:val="2C0D299A"/>
    <w:rsid w:val="2C1018B8"/>
    <w:rsid w:val="2C1125C1"/>
    <w:rsid w:val="2C131E96"/>
    <w:rsid w:val="2C1C6592"/>
    <w:rsid w:val="2C1D2D14"/>
    <w:rsid w:val="2C226920"/>
    <w:rsid w:val="2C251BC9"/>
    <w:rsid w:val="2C2C11A9"/>
    <w:rsid w:val="2C2E3173"/>
    <w:rsid w:val="2C2F2614"/>
    <w:rsid w:val="2C300C99"/>
    <w:rsid w:val="2C317E40"/>
    <w:rsid w:val="2C33078A"/>
    <w:rsid w:val="2C385DA0"/>
    <w:rsid w:val="2C3B319A"/>
    <w:rsid w:val="2C462D13"/>
    <w:rsid w:val="2C462EC9"/>
    <w:rsid w:val="2C4958B7"/>
    <w:rsid w:val="2C49794B"/>
    <w:rsid w:val="2C4A2A23"/>
    <w:rsid w:val="2C4F7AFA"/>
    <w:rsid w:val="2C5129BE"/>
    <w:rsid w:val="2C51459B"/>
    <w:rsid w:val="2C534988"/>
    <w:rsid w:val="2C5A5D16"/>
    <w:rsid w:val="2C6609A6"/>
    <w:rsid w:val="2C6D49AA"/>
    <w:rsid w:val="2C6D5A4A"/>
    <w:rsid w:val="2C6E3570"/>
    <w:rsid w:val="2C6F6A79"/>
    <w:rsid w:val="2C71213F"/>
    <w:rsid w:val="2C730B86"/>
    <w:rsid w:val="2C73502A"/>
    <w:rsid w:val="2C7A0167"/>
    <w:rsid w:val="2C8114F5"/>
    <w:rsid w:val="2C8261EC"/>
    <w:rsid w:val="2C83526D"/>
    <w:rsid w:val="2C866B0B"/>
    <w:rsid w:val="2C8B2374"/>
    <w:rsid w:val="2C8E776E"/>
    <w:rsid w:val="2C901738"/>
    <w:rsid w:val="2C942D9B"/>
    <w:rsid w:val="2C961EBF"/>
    <w:rsid w:val="2C9812DB"/>
    <w:rsid w:val="2C9B4E57"/>
    <w:rsid w:val="2C9E20A7"/>
    <w:rsid w:val="2C9E674E"/>
    <w:rsid w:val="2C9F7BCD"/>
    <w:rsid w:val="2CA10CC9"/>
    <w:rsid w:val="2CA20047"/>
    <w:rsid w:val="2CA57EB7"/>
    <w:rsid w:val="2CAB47C4"/>
    <w:rsid w:val="2CAB642E"/>
    <w:rsid w:val="2CAD66BF"/>
    <w:rsid w:val="2CB271D8"/>
    <w:rsid w:val="2CB35427"/>
    <w:rsid w:val="2CB40269"/>
    <w:rsid w:val="2CB573F1"/>
    <w:rsid w:val="2CB76CC5"/>
    <w:rsid w:val="2CB9711D"/>
    <w:rsid w:val="2CBC42DB"/>
    <w:rsid w:val="2CBE3C1C"/>
    <w:rsid w:val="2CC118F2"/>
    <w:rsid w:val="2CC567B5"/>
    <w:rsid w:val="2CC74A58"/>
    <w:rsid w:val="2CC9787F"/>
    <w:rsid w:val="2CCD743B"/>
    <w:rsid w:val="2CD07D87"/>
    <w:rsid w:val="2CD2100E"/>
    <w:rsid w:val="2CD2152A"/>
    <w:rsid w:val="2CD51841"/>
    <w:rsid w:val="2CD63BB6"/>
    <w:rsid w:val="2CDF621C"/>
    <w:rsid w:val="2CE05A6C"/>
    <w:rsid w:val="2CE06F89"/>
    <w:rsid w:val="2CE20C16"/>
    <w:rsid w:val="2CE23395"/>
    <w:rsid w:val="2CE64BA5"/>
    <w:rsid w:val="2CE81574"/>
    <w:rsid w:val="2CEF1BF0"/>
    <w:rsid w:val="2CEF34E4"/>
    <w:rsid w:val="2CF9552F"/>
    <w:rsid w:val="2CFA7FE4"/>
    <w:rsid w:val="2CFB12A7"/>
    <w:rsid w:val="2CFE48F4"/>
    <w:rsid w:val="2D020411"/>
    <w:rsid w:val="2D077E77"/>
    <w:rsid w:val="2D086FCF"/>
    <w:rsid w:val="2D0B13C9"/>
    <w:rsid w:val="2D0B5263"/>
    <w:rsid w:val="2D0F4D53"/>
    <w:rsid w:val="2D0F6B01"/>
    <w:rsid w:val="2D1759B5"/>
    <w:rsid w:val="2D1D613B"/>
    <w:rsid w:val="2D1F5B4E"/>
    <w:rsid w:val="2D200D0E"/>
    <w:rsid w:val="2D2233D4"/>
    <w:rsid w:val="2D2325AC"/>
    <w:rsid w:val="2D24318C"/>
    <w:rsid w:val="2D247504"/>
    <w:rsid w:val="2D2D6683"/>
    <w:rsid w:val="2D314E05"/>
    <w:rsid w:val="2D346567"/>
    <w:rsid w:val="2D39592C"/>
    <w:rsid w:val="2D3C391E"/>
    <w:rsid w:val="2D3E1194"/>
    <w:rsid w:val="2D4349FC"/>
    <w:rsid w:val="2D452523"/>
    <w:rsid w:val="2D4B4FE3"/>
    <w:rsid w:val="2D4D2A86"/>
    <w:rsid w:val="2D4D587B"/>
    <w:rsid w:val="2D5269EE"/>
    <w:rsid w:val="2D55028C"/>
    <w:rsid w:val="2D551E4E"/>
    <w:rsid w:val="2D586214"/>
    <w:rsid w:val="2D595FCE"/>
    <w:rsid w:val="2D5B1E69"/>
    <w:rsid w:val="2D5C05DE"/>
    <w:rsid w:val="2D5E35E4"/>
    <w:rsid w:val="2D622E39"/>
    <w:rsid w:val="2D661D22"/>
    <w:rsid w:val="2D687FBF"/>
    <w:rsid w:val="2D6C14C5"/>
    <w:rsid w:val="2D6D1A79"/>
    <w:rsid w:val="2D6D7CCB"/>
    <w:rsid w:val="2D6F134E"/>
    <w:rsid w:val="2D7256F4"/>
    <w:rsid w:val="2D7B5F44"/>
    <w:rsid w:val="2D7E5A35"/>
    <w:rsid w:val="2D8566CB"/>
    <w:rsid w:val="2D8C0151"/>
    <w:rsid w:val="2D8D0683"/>
    <w:rsid w:val="2D8D11DF"/>
    <w:rsid w:val="2D8D7A26"/>
    <w:rsid w:val="2D940467"/>
    <w:rsid w:val="2D940CF3"/>
    <w:rsid w:val="2D970F00"/>
    <w:rsid w:val="2D990AC0"/>
    <w:rsid w:val="2D9A3BB6"/>
    <w:rsid w:val="2D9B6614"/>
    <w:rsid w:val="2D9E60D7"/>
    <w:rsid w:val="2DA10FA5"/>
    <w:rsid w:val="2DA46F1E"/>
    <w:rsid w:val="2DAA682A"/>
    <w:rsid w:val="2DAC79DB"/>
    <w:rsid w:val="2DAF3561"/>
    <w:rsid w:val="2DB1022D"/>
    <w:rsid w:val="2DB155D6"/>
    <w:rsid w:val="2DB50D6C"/>
    <w:rsid w:val="2DB9081B"/>
    <w:rsid w:val="2DBB27E5"/>
    <w:rsid w:val="2DBD655D"/>
    <w:rsid w:val="2DC0604D"/>
    <w:rsid w:val="2DC16410"/>
    <w:rsid w:val="2DC16AE6"/>
    <w:rsid w:val="2DC81455"/>
    <w:rsid w:val="2DCB59DC"/>
    <w:rsid w:val="2DCC67A0"/>
    <w:rsid w:val="2DCD480F"/>
    <w:rsid w:val="2DD34C40"/>
    <w:rsid w:val="2DD6761F"/>
    <w:rsid w:val="2DDC50D9"/>
    <w:rsid w:val="2DE03FF9"/>
    <w:rsid w:val="2DE22D25"/>
    <w:rsid w:val="2DE65084"/>
    <w:rsid w:val="2DEA30CA"/>
    <w:rsid w:val="2DEA78B6"/>
    <w:rsid w:val="2DEC65E8"/>
    <w:rsid w:val="2DED194A"/>
    <w:rsid w:val="2DF4595A"/>
    <w:rsid w:val="2DF717DC"/>
    <w:rsid w:val="2DF75CFE"/>
    <w:rsid w:val="2DF87595"/>
    <w:rsid w:val="2DFA155F"/>
    <w:rsid w:val="2E051CB2"/>
    <w:rsid w:val="2E06476F"/>
    <w:rsid w:val="2E072EE4"/>
    <w:rsid w:val="2E073C7C"/>
    <w:rsid w:val="2E081658"/>
    <w:rsid w:val="2E093550"/>
    <w:rsid w:val="2E096542"/>
    <w:rsid w:val="2E0A13CC"/>
    <w:rsid w:val="2E0E51FE"/>
    <w:rsid w:val="2E110D45"/>
    <w:rsid w:val="2E112C5C"/>
    <w:rsid w:val="2E166B2C"/>
    <w:rsid w:val="2E1810BD"/>
    <w:rsid w:val="2E1C3FD3"/>
    <w:rsid w:val="2E1E4B22"/>
    <w:rsid w:val="2E1F5758"/>
    <w:rsid w:val="2E20642B"/>
    <w:rsid w:val="2E254102"/>
    <w:rsid w:val="2E2C36E3"/>
    <w:rsid w:val="2E310CF9"/>
    <w:rsid w:val="2E3472AB"/>
    <w:rsid w:val="2E374561"/>
    <w:rsid w:val="2E3A5DFF"/>
    <w:rsid w:val="2E3A7BAD"/>
    <w:rsid w:val="2E3F6F72"/>
    <w:rsid w:val="2E3F7067"/>
    <w:rsid w:val="2E41718E"/>
    <w:rsid w:val="2E444588"/>
    <w:rsid w:val="2E456552"/>
    <w:rsid w:val="2E467984"/>
    <w:rsid w:val="2E494E75"/>
    <w:rsid w:val="2E4B33C6"/>
    <w:rsid w:val="2E503607"/>
    <w:rsid w:val="2E521140"/>
    <w:rsid w:val="2E56075F"/>
    <w:rsid w:val="2E5609C9"/>
    <w:rsid w:val="2E57641F"/>
    <w:rsid w:val="2E5E1B85"/>
    <w:rsid w:val="2E5E24D1"/>
    <w:rsid w:val="2E624479"/>
    <w:rsid w:val="2E640C69"/>
    <w:rsid w:val="2E653838"/>
    <w:rsid w:val="2E6548EF"/>
    <w:rsid w:val="2E6946F8"/>
    <w:rsid w:val="2E6E69EE"/>
    <w:rsid w:val="2E76670C"/>
    <w:rsid w:val="2E7D5DFC"/>
    <w:rsid w:val="2E7F0DEE"/>
    <w:rsid w:val="2E7F7CB6"/>
    <w:rsid w:val="2E81758A"/>
    <w:rsid w:val="2E840E2D"/>
    <w:rsid w:val="2E87157E"/>
    <w:rsid w:val="2E884DBD"/>
    <w:rsid w:val="2E887C64"/>
    <w:rsid w:val="2E913C85"/>
    <w:rsid w:val="2E946BA9"/>
    <w:rsid w:val="2E9574DA"/>
    <w:rsid w:val="2E9A689E"/>
    <w:rsid w:val="2E9C43C4"/>
    <w:rsid w:val="2E9D1EEA"/>
    <w:rsid w:val="2E9F2106"/>
    <w:rsid w:val="2EA25753"/>
    <w:rsid w:val="2EA31F9C"/>
    <w:rsid w:val="2EA4372B"/>
    <w:rsid w:val="2EA80FBB"/>
    <w:rsid w:val="2EA94167"/>
    <w:rsid w:val="2EB3183F"/>
    <w:rsid w:val="2EB86D24"/>
    <w:rsid w:val="2EBA484A"/>
    <w:rsid w:val="2EBC0352"/>
    <w:rsid w:val="2EBC745E"/>
    <w:rsid w:val="2EBD258D"/>
    <w:rsid w:val="2EC4391B"/>
    <w:rsid w:val="2EC8340B"/>
    <w:rsid w:val="2EC851B9"/>
    <w:rsid w:val="2ECE0A3B"/>
    <w:rsid w:val="2ECF18FE"/>
    <w:rsid w:val="2ED342C4"/>
    <w:rsid w:val="2ED81174"/>
    <w:rsid w:val="2ED90DC8"/>
    <w:rsid w:val="2EDA313F"/>
    <w:rsid w:val="2EDB33B4"/>
    <w:rsid w:val="2EE105AA"/>
    <w:rsid w:val="2EE42B62"/>
    <w:rsid w:val="2EE43FBD"/>
    <w:rsid w:val="2EE770B6"/>
    <w:rsid w:val="2EE90600"/>
    <w:rsid w:val="2EE95130"/>
    <w:rsid w:val="2EEB70FA"/>
    <w:rsid w:val="2EEE2746"/>
    <w:rsid w:val="2EF04710"/>
    <w:rsid w:val="2EF21577"/>
    <w:rsid w:val="2EFE0BDB"/>
    <w:rsid w:val="2F0023CA"/>
    <w:rsid w:val="2F0957D2"/>
    <w:rsid w:val="2F0C4005"/>
    <w:rsid w:val="2F0E0C40"/>
    <w:rsid w:val="2F126434"/>
    <w:rsid w:val="2F162DA0"/>
    <w:rsid w:val="2F181C8C"/>
    <w:rsid w:val="2F1877C3"/>
    <w:rsid w:val="2F266384"/>
    <w:rsid w:val="2F2820FC"/>
    <w:rsid w:val="2F2A5E74"/>
    <w:rsid w:val="2F2E1976"/>
    <w:rsid w:val="2F3108C4"/>
    <w:rsid w:val="2F330B1C"/>
    <w:rsid w:val="2F336759"/>
    <w:rsid w:val="2F381AC1"/>
    <w:rsid w:val="2F382B16"/>
    <w:rsid w:val="2F4354B9"/>
    <w:rsid w:val="2F451C0C"/>
    <w:rsid w:val="2F45680A"/>
    <w:rsid w:val="2F535D43"/>
    <w:rsid w:val="2F555A29"/>
    <w:rsid w:val="2F5745E0"/>
    <w:rsid w:val="2F5A7DDB"/>
    <w:rsid w:val="2F601896"/>
    <w:rsid w:val="2F6173BC"/>
    <w:rsid w:val="2F647280"/>
    <w:rsid w:val="2F656EAC"/>
    <w:rsid w:val="2F6A296E"/>
    <w:rsid w:val="2F6D7B0F"/>
    <w:rsid w:val="2F723377"/>
    <w:rsid w:val="2F7317DE"/>
    <w:rsid w:val="2F734F7B"/>
    <w:rsid w:val="2F77256D"/>
    <w:rsid w:val="2F794705"/>
    <w:rsid w:val="2F7E428B"/>
    <w:rsid w:val="2F7F2CAB"/>
    <w:rsid w:val="2F805A94"/>
    <w:rsid w:val="2F807842"/>
    <w:rsid w:val="2F83242A"/>
    <w:rsid w:val="2F8A09E3"/>
    <w:rsid w:val="2F904855"/>
    <w:rsid w:val="2F9257C7"/>
    <w:rsid w:val="2F9C6646"/>
    <w:rsid w:val="2F9D35FE"/>
    <w:rsid w:val="2F9F55D0"/>
    <w:rsid w:val="2FA01C92"/>
    <w:rsid w:val="2FA038EE"/>
    <w:rsid w:val="2FA06136"/>
    <w:rsid w:val="2FA430DC"/>
    <w:rsid w:val="2FA572A9"/>
    <w:rsid w:val="2FA84FEB"/>
    <w:rsid w:val="2FA93A5B"/>
    <w:rsid w:val="2FB25B7E"/>
    <w:rsid w:val="2FB4573E"/>
    <w:rsid w:val="2FB50143"/>
    <w:rsid w:val="2FBB4D1E"/>
    <w:rsid w:val="2FBD0A96"/>
    <w:rsid w:val="2FC30B74"/>
    <w:rsid w:val="2FC3109E"/>
    <w:rsid w:val="2FC736C3"/>
    <w:rsid w:val="2FCA4F61"/>
    <w:rsid w:val="2FCB3085"/>
    <w:rsid w:val="2FCC6F2B"/>
    <w:rsid w:val="2FCF24D1"/>
    <w:rsid w:val="2FD5161D"/>
    <w:rsid w:val="2FDE6606"/>
    <w:rsid w:val="2FE43EA3"/>
    <w:rsid w:val="2FE9188B"/>
    <w:rsid w:val="2FF008DC"/>
    <w:rsid w:val="2FF04987"/>
    <w:rsid w:val="2FF16C8A"/>
    <w:rsid w:val="2FF515FC"/>
    <w:rsid w:val="2FF81704"/>
    <w:rsid w:val="2FF95846"/>
    <w:rsid w:val="2FFB58E6"/>
    <w:rsid w:val="2FFB63E5"/>
    <w:rsid w:val="2FFD70E5"/>
    <w:rsid w:val="2FFE4D66"/>
    <w:rsid w:val="300456D0"/>
    <w:rsid w:val="30055365"/>
    <w:rsid w:val="30073ABF"/>
    <w:rsid w:val="30085A89"/>
    <w:rsid w:val="300E30A0"/>
    <w:rsid w:val="300F0BC6"/>
    <w:rsid w:val="300F3271"/>
    <w:rsid w:val="30110DE2"/>
    <w:rsid w:val="3016198D"/>
    <w:rsid w:val="30180C08"/>
    <w:rsid w:val="302239A1"/>
    <w:rsid w:val="30274161"/>
    <w:rsid w:val="30275F10"/>
    <w:rsid w:val="3028491C"/>
    <w:rsid w:val="302A5A00"/>
    <w:rsid w:val="302C79CA"/>
    <w:rsid w:val="30314FE0"/>
    <w:rsid w:val="30376AC9"/>
    <w:rsid w:val="303F66E2"/>
    <w:rsid w:val="303F6C03"/>
    <w:rsid w:val="303F76FD"/>
    <w:rsid w:val="3045283A"/>
    <w:rsid w:val="304532A2"/>
    <w:rsid w:val="304A7E50"/>
    <w:rsid w:val="304C7B53"/>
    <w:rsid w:val="304D0D09"/>
    <w:rsid w:val="304F161A"/>
    <w:rsid w:val="30517430"/>
    <w:rsid w:val="305331A8"/>
    <w:rsid w:val="30560A1E"/>
    <w:rsid w:val="305D4027"/>
    <w:rsid w:val="305F38FB"/>
    <w:rsid w:val="306074E1"/>
    <w:rsid w:val="30626669"/>
    <w:rsid w:val="306453B6"/>
    <w:rsid w:val="30663AD5"/>
    <w:rsid w:val="306E3B3E"/>
    <w:rsid w:val="306F0895"/>
    <w:rsid w:val="306F1960"/>
    <w:rsid w:val="30703D5A"/>
    <w:rsid w:val="30732DB7"/>
    <w:rsid w:val="307A6AFD"/>
    <w:rsid w:val="307D0225"/>
    <w:rsid w:val="30802C0D"/>
    <w:rsid w:val="3083222E"/>
    <w:rsid w:val="3086532C"/>
    <w:rsid w:val="30872CAA"/>
    <w:rsid w:val="309418B1"/>
    <w:rsid w:val="30942DF3"/>
    <w:rsid w:val="30A04771"/>
    <w:rsid w:val="30A12619"/>
    <w:rsid w:val="30A26DBF"/>
    <w:rsid w:val="30A33C04"/>
    <w:rsid w:val="30A565FF"/>
    <w:rsid w:val="30A92F6D"/>
    <w:rsid w:val="30A93220"/>
    <w:rsid w:val="30AC0EC3"/>
    <w:rsid w:val="30AE03DF"/>
    <w:rsid w:val="30B14A21"/>
    <w:rsid w:val="30BD4AC6"/>
    <w:rsid w:val="30BF25EC"/>
    <w:rsid w:val="30C13E45"/>
    <w:rsid w:val="30C87203"/>
    <w:rsid w:val="30CB7DBF"/>
    <w:rsid w:val="30D147C9"/>
    <w:rsid w:val="30D1519F"/>
    <w:rsid w:val="30D342E9"/>
    <w:rsid w:val="30D95414"/>
    <w:rsid w:val="30DC13F0"/>
    <w:rsid w:val="30DC4F4C"/>
    <w:rsid w:val="30DD79DF"/>
    <w:rsid w:val="30DF52E9"/>
    <w:rsid w:val="30DF77C7"/>
    <w:rsid w:val="30E27C07"/>
    <w:rsid w:val="30E42053"/>
    <w:rsid w:val="30E57AFE"/>
    <w:rsid w:val="30ED53AB"/>
    <w:rsid w:val="30F2476F"/>
    <w:rsid w:val="30F47581"/>
    <w:rsid w:val="30F77FD8"/>
    <w:rsid w:val="30FC55EE"/>
    <w:rsid w:val="30FE1366"/>
    <w:rsid w:val="310102D1"/>
    <w:rsid w:val="31010E56"/>
    <w:rsid w:val="31067AB6"/>
    <w:rsid w:val="31091AB9"/>
    <w:rsid w:val="310A747F"/>
    <w:rsid w:val="310F699B"/>
    <w:rsid w:val="31102E48"/>
    <w:rsid w:val="31172428"/>
    <w:rsid w:val="3119731D"/>
    <w:rsid w:val="311C64BD"/>
    <w:rsid w:val="311E0E0E"/>
    <w:rsid w:val="3122509A"/>
    <w:rsid w:val="31230DCD"/>
    <w:rsid w:val="31241816"/>
    <w:rsid w:val="31254859"/>
    <w:rsid w:val="31277A7C"/>
    <w:rsid w:val="31300B2E"/>
    <w:rsid w:val="31460CCA"/>
    <w:rsid w:val="31467379"/>
    <w:rsid w:val="314B68FF"/>
    <w:rsid w:val="314C6881"/>
    <w:rsid w:val="314E47F2"/>
    <w:rsid w:val="314F3970"/>
    <w:rsid w:val="3152520E"/>
    <w:rsid w:val="31552F50"/>
    <w:rsid w:val="31594282"/>
    <w:rsid w:val="315A5F63"/>
    <w:rsid w:val="31660CB9"/>
    <w:rsid w:val="31677B0A"/>
    <w:rsid w:val="316848CE"/>
    <w:rsid w:val="317258B0"/>
    <w:rsid w:val="31747780"/>
    <w:rsid w:val="3175714F"/>
    <w:rsid w:val="317653A0"/>
    <w:rsid w:val="317732C2"/>
    <w:rsid w:val="317E1996"/>
    <w:rsid w:val="317E4255"/>
    <w:rsid w:val="317F1D7B"/>
    <w:rsid w:val="31813D45"/>
    <w:rsid w:val="318203D5"/>
    <w:rsid w:val="31837ABD"/>
    <w:rsid w:val="31864EB8"/>
    <w:rsid w:val="31872DB7"/>
    <w:rsid w:val="318A344C"/>
    <w:rsid w:val="318B62FF"/>
    <w:rsid w:val="318C4BC4"/>
    <w:rsid w:val="318E3C80"/>
    <w:rsid w:val="318F6F0E"/>
    <w:rsid w:val="31921AAF"/>
    <w:rsid w:val="319837BB"/>
    <w:rsid w:val="319B4E07"/>
    <w:rsid w:val="319C292D"/>
    <w:rsid w:val="319C67C8"/>
    <w:rsid w:val="31A365D3"/>
    <w:rsid w:val="31A65C70"/>
    <w:rsid w:val="31AC6064"/>
    <w:rsid w:val="31B00F29"/>
    <w:rsid w:val="31B41A25"/>
    <w:rsid w:val="31B83E69"/>
    <w:rsid w:val="31BE28A4"/>
    <w:rsid w:val="31C31D41"/>
    <w:rsid w:val="31CA569B"/>
    <w:rsid w:val="31CA56EC"/>
    <w:rsid w:val="31CD6F8B"/>
    <w:rsid w:val="31CE3FBE"/>
    <w:rsid w:val="31CE41BF"/>
    <w:rsid w:val="31CF2D03"/>
    <w:rsid w:val="31D06BD6"/>
    <w:rsid w:val="31D245A1"/>
    <w:rsid w:val="31D25E0E"/>
    <w:rsid w:val="31D73965"/>
    <w:rsid w:val="31DB16A7"/>
    <w:rsid w:val="31DB3455"/>
    <w:rsid w:val="31DD71CE"/>
    <w:rsid w:val="31DE3B22"/>
    <w:rsid w:val="31E372E8"/>
    <w:rsid w:val="31E63BA8"/>
    <w:rsid w:val="31E83DC4"/>
    <w:rsid w:val="31EA02D3"/>
    <w:rsid w:val="31EA18EB"/>
    <w:rsid w:val="31EA5447"/>
    <w:rsid w:val="31F061D4"/>
    <w:rsid w:val="31F44517"/>
    <w:rsid w:val="31FB4569"/>
    <w:rsid w:val="31FD6E89"/>
    <w:rsid w:val="32022CFB"/>
    <w:rsid w:val="32032443"/>
    <w:rsid w:val="320D17D1"/>
    <w:rsid w:val="32144BB9"/>
    <w:rsid w:val="32146967"/>
    <w:rsid w:val="3215190C"/>
    <w:rsid w:val="321702EA"/>
    <w:rsid w:val="321773A4"/>
    <w:rsid w:val="32195D2C"/>
    <w:rsid w:val="321A26C3"/>
    <w:rsid w:val="321A2B4A"/>
    <w:rsid w:val="32272ACB"/>
    <w:rsid w:val="322A0418"/>
    <w:rsid w:val="32320A80"/>
    <w:rsid w:val="32333292"/>
    <w:rsid w:val="32364B30"/>
    <w:rsid w:val="323D5EBE"/>
    <w:rsid w:val="32433370"/>
    <w:rsid w:val="3244135A"/>
    <w:rsid w:val="324F1C81"/>
    <w:rsid w:val="32543208"/>
    <w:rsid w:val="32560D2E"/>
    <w:rsid w:val="32597B75"/>
    <w:rsid w:val="325A081E"/>
    <w:rsid w:val="325F4087"/>
    <w:rsid w:val="32607DFF"/>
    <w:rsid w:val="326722A1"/>
    <w:rsid w:val="326C1FD3"/>
    <w:rsid w:val="326E6078"/>
    <w:rsid w:val="326F784E"/>
    <w:rsid w:val="326F7C94"/>
    <w:rsid w:val="32721929"/>
    <w:rsid w:val="3273368E"/>
    <w:rsid w:val="327F0671"/>
    <w:rsid w:val="327F10FF"/>
    <w:rsid w:val="328414BB"/>
    <w:rsid w:val="32843ADD"/>
    <w:rsid w:val="3284589B"/>
    <w:rsid w:val="32891103"/>
    <w:rsid w:val="32894282"/>
    <w:rsid w:val="328C4750"/>
    <w:rsid w:val="32902492"/>
    <w:rsid w:val="32914361"/>
    <w:rsid w:val="32935BE4"/>
    <w:rsid w:val="329F26D5"/>
    <w:rsid w:val="32A11432"/>
    <w:rsid w:val="32A27237"/>
    <w:rsid w:val="32A47CEB"/>
    <w:rsid w:val="32A82BEB"/>
    <w:rsid w:val="32AA584D"/>
    <w:rsid w:val="32AE31AE"/>
    <w:rsid w:val="32B408C1"/>
    <w:rsid w:val="32B55A55"/>
    <w:rsid w:val="32B900B2"/>
    <w:rsid w:val="32BE537B"/>
    <w:rsid w:val="32C0264B"/>
    <w:rsid w:val="32C27D73"/>
    <w:rsid w:val="32C57C62"/>
    <w:rsid w:val="32CB5278"/>
    <w:rsid w:val="32D22AAA"/>
    <w:rsid w:val="32D33A39"/>
    <w:rsid w:val="32DF3241"/>
    <w:rsid w:val="32E14A9C"/>
    <w:rsid w:val="32EF06F1"/>
    <w:rsid w:val="32F01183"/>
    <w:rsid w:val="32F347CF"/>
    <w:rsid w:val="32F37F02"/>
    <w:rsid w:val="32F6606D"/>
    <w:rsid w:val="32FB467E"/>
    <w:rsid w:val="33002A5E"/>
    <w:rsid w:val="33030EB6"/>
    <w:rsid w:val="330D5DEB"/>
    <w:rsid w:val="331F247A"/>
    <w:rsid w:val="331F55C4"/>
    <w:rsid w:val="33244988"/>
    <w:rsid w:val="332F677D"/>
    <w:rsid w:val="3334695E"/>
    <w:rsid w:val="333C6176"/>
    <w:rsid w:val="333D3C9C"/>
    <w:rsid w:val="333D5A4A"/>
    <w:rsid w:val="333F5C66"/>
    <w:rsid w:val="33412253"/>
    <w:rsid w:val="3341553A"/>
    <w:rsid w:val="334212F0"/>
    <w:rsid w:val="334424E5"/>
    <w:rsid w:val="3344327C"/>
    <w:rsid w:val="334749B2"/>
    <w:rsid w:val="33482D6D"/>
    <w:rsid w:val="33492641"/>
    <w:rsid w:val="33506D2C"/>
    <w:rsid w:val="33584A7B"/>
    <w:rsid w:val="335A44BE"/>
    <w:rsid w:val="335C6818"/>
    <w:rsid w:val="335D0CAA"/>
    <w:rsid w:val="335D7E9A"/>
    <w:rsid w:val="336006A9"/>
    <w:rsid w:val="33613E2E"/>
    <w:rsid w:val="33615BDC"/>
    <w:rsid w:val="33621DF2"/>
    <w:rsid w:val="336456CD"/>
    <w:rsid w:val="33670C83"/>
    <w:rsid w:val="336D3F50"/>
    <w:rsid w:val="33704071"/>
    <w:rsid w:val="33773E94"/>
    <w:rsid w:val="337C0FFF"/>
    <w:rsid w:val="337D7CD6"/>
    <w:rsid w:val="337E053C"/>
    <w:rsid w:val="337F11F7"/>
    <w:rsid w:val="337F6063"/>
    <w:rsid w:val="33811DDB"/>
    <w:rsid w:val="33813B3B"/>
    <w:rsid w:val="33834BE5"/>
    <w:rsid w:val="33837901"/>
    <w:rsid w:val="3385446A"/>
    <w:rsid w:val="33855315"/>
    <w:rsid w:val="338D64EF"/>
    <w:rsid w:val="339064C2"/>
    <w:rsid w:val="33925D96"/>
    <w:rsid w:val="33953AD8"/>
    <w:rsid w:val="339733AC"/>
    <w:rsid w:val="3399116F"/>
    <w:rsid w:val="339A341A"/>
    <w:rsid w:val="339F04B3"/>
    <w:rsid w:val="33A55C06"/>
    <w:rsid w:val="33A77FCA"/>
    <w:rsid w:val="33A90B37"/>
    <w:rsid w:val="33B03342"/>
    <w:rsid w:val="33B51A84"/>
    <w:rsid w:val="33B73A4E"/>
    <w:rsid w:val="33BE24AE"/>
    <w:rsid w:val="33C56C5E"/>
    <w:rsid w:val="33C70135"/>
    <w:rsid w:val="33C95001"/>
    <w:rsid w:val="33D12D62"/>
    <w:rsid w:val="33D313E6"/>
    <w:rsid w:val="33D5736C"/>
    <w:rsid w:val="33D6173F"/>
    <w:rsid w:val="33D97C0D"/>
    <w:rsid w:val="33DC34B5"/>
    <w:rsid w:val="33DD3477"/>
    <w:rsid w:val="33E52369"/>
    <w:rsid w:val="33EB36F8"/>
    <w:rsid w:val="33EC7B9C"/>
    <w:rsid w:val="33EE2CBB"/>
    <w:rsid w:val="33F56325"/>
    <w:rsid w:val="33F977FB"/>
    <w:rsid w:val="33FA0960"/>
    <w:rsid w:val="33FC4279"/>
    <w:rsid w:val="33FF27C2"/>
    <w:rsid w:val="340C3D9A"/>
    <w:rsid w:val="34140EA1"/>
    <w:rsid w:val="34186248"/>
    <w:rsid w:val="341C3615"/>
    <w:rsid w:val="341C4349"/>
    <w:rsid w:val="34202060"/>
    <w:rsid w:val="342750AF"/>
    <w:rsid w:val="34346E4D"/>
    <w:rsid w:val="34367069"/>
    <w:rsid w:val="3445105A"/>
    <w:rsid w:val="344828F8"/>
    <w:rsid w:val="344A6670"/>
    <w:rsid w:val="344D5195"/>
    <w:rsid w:val="3451224B"/>
    <w:rsid w:val="34583ED8"/>
    <w:rsid w:val="34584DD6"/>
    <w:rsid w:val="345C31CC"/>
    <w:rsid w:val="345D2265"/>
    <w:rsid w:val="345E3ECA"/>
    <w:rsid w:val="34601B4D"/>
    <w:rsid w:val="34602FDD"/>
    <w:rsid w:val="34607C42"/>
    <w:rsid w:val="34670FD0"/>
    <w:rsid w:val="34682854"/>
    <w:rsid w:val="346E05B1"/>
    <w:rsid w:val="346E6207"/>
    <w:rsid w:val="346F1641"/>
    <w:rsid w:val="346F545A"/>
    <w:rsid w:val="34727975"/>
    <w:rsid w:val="34732681"/>
    <w:rsid w:val="347A6754"/>
    <w:rsid w:val="347C3525"/>
    <w:rsid w:val="347D07F4"/>
    <w:rsid w:val="347E456C"/>
    <w:rsid w:val="34833825"/>
    <w:rsid w:val="348733AC"/>
    <w:rsid w:val="34873421"/>
    <w:rsid w:val="348E2A01"/>
    <w:rsid w:val="34906F65"/>
    <w:rsid w:val="34945B3E"/>
    <w:rsid w:val="34974931"/>
    <w:rsid w:val="3498084D"/>
    <w:rsid w:val="349F1742"/>
    <w:rsid w:val="34A75871"/>
    <w:rsid w:val="34A87C04"/>
    <w:rsid w:val="34AC10D9"/>
    <w:rsid w:val="34AE6BFF"/>
    <w:rsid w:val="34AF2977"/>
    <w:rsid w:val="34B166F0"/>
    <w:rsid w:val="34B34216"/>
    <w:rsid w:val="34B47F8E"/>
    <w:rsid w:val="34BD32E6"/>
    <w:rsid w:val="34C226AB"/>
    <w:rsid w:val="34C74165"/>
    <w:rsid w:val="34CF3F2A"/>
    <w:rsid w:val="34D37644"/>
    <w:rsid w:val="34D67F04"/>
    <w:rsid w:val="34D83C7C"/>
    <w:rsid w:val="34DA0BF7"/>
    <w:rsid w:val="34DF40E1"/>
    <w:rsid w:val="34E16FD5"/>
    <w:rsid w:val="34EE34A0"/>
    <w:rsid w:val="34FA3BF3"/>
    <w:rsid w:val="34FB5BBD"/>
    <w:rsid w:val="350201A1"/>
    <w:rsid w:val="35051296"/>
    <w:rsid w:val="35074561"/>
    <w:rsid w:val="350951DC"/>
    <w:rsid w:val="350C7DCA"/>
    <w:rsid w:val="350E4EC2"/>
    <w:rsid w:val="351078BA"/>
    <w:rsid w:val="3512281F"/>
    <w:rsid w:val="351A6043"/>
    <w:rsid w:val="351F5D4F"/>
    <w:rsid w:val="351F7AFD"/>
    <w:rsid w:val="352E65E0"/>
    <w:rsid w:val="3533180D"/>
    <w:rsid w:val="3535269B"/>
    <w:rsid w:val="353A0807"/>
    <w:rsid w:val="35466E38"/>
    <w:rsid w:val="354B460C"/>
    <w:rsid w:val="354B67AB"/>
    <w:rsid w:val="354D71E1"/>
    <w:rsid w:val="354E03E2"/>
    <w:rsid w:val="354E5738"/>
    <w:rsid w:val="354F379C"/>
    <w:rsid w:val="35501674"/>
    <w:rsid w:val="35522FB5"/>
    <w:rsid w:val="35526022"/>
    <w:rsid w:val="355552CD"/>
    <w:rsid w:val="355718E2"/>
    <w:rsid w:val="355A0FFD"/>
    <w:rsid w:val="355B43B6"/>
    <w:rsid w:val="355D49EF"/>
    <w:rsid w:val="35670F33"/>
    <w:rsid w:val="35686C5A"/>
    <w:rsid w:val="356B6E70"/>
    <w:rsid w:val="357563ED"/>
    <w:rsid w:val="357651E8"/>
    <w:rsid w:val="35793F0F"/>
    <w:rsid w:val="357A11D7"/>
    <w:rsid w:val="357F0595"/>
    <w:rsid w:val="35842377"/>
    <w:rsid w:val="35843E04"/>
    <w:rsid w:val="358463F8"/>
    <w:rsid w:val="358856A2"/>
    <w:rsid w:val="358B0CEF"/>
    <w:rsid w:val="358B50DA"/>
    <w:rsid w:val="358B5193"/>
    <w:rsid w:val="358E07DF"/>
    <w:rsid w:val="35904557"/>
    <w:rsid w:val="35917C0B"/>
    <w:rsid w:val="35977693"/>
    <w:rsid w:val="359A53D6"/>
    <w:rsid w:val="359B0108"/>
    <w:rsid w:val="359C0088"/>
    <w:rsid w:val="359F0C3E"/>
    <w:rsid w:val="359F479A"/>
    <w:rsid w:val="35A16764"/>
    <w:rsid w:val="35A26038"/>
    <w:rsid w:val="35A34C80"/>
    <w:rsid w:val="35A53185"/>
    <w:rsid w:val="35A71D1B"/>
    <w:rsid w:val="35A95619"/>
    <w:rsid w:val="35AD335B"/>
    <w:rsid w:val="35B025DF"/>
    <w:rsid w:val="35B069A7"/>
    <w:rsid w:val="35B35E83"/>
    <w:rsid w:val="35B53FBD"/>
    <w:rsid w:val="35B71478"/>
    <w:rsid w:val="35B9585C"/>
    <w:rsid w:val="35BE0B40"/>
    <w:rsid w:val="35BE10C4"/>
    <w:rsid w:val="35BF3050"/>
    <w:rsid w:val="35BF4E3C"/>
    <w:rsid w:val="35C47314"/>
    <w:rsid w:val="35CA3387"/>
    <w:rsid w:val="35CA5CBB"/>
    <w:rsid w:val="35CB36F8"/>
    <w:rsid w:val="35D025B1"/>
    <w:rsid w:val="35D07049"/>
    <w:rsid w:val="35D2691D"/>
    <w:rsid w:val="35D27676"/>
    <w:rsid w:val="35D5640E"/>
    <w:rsid w:val="35D92B2B"/>
    <w:rsid w:val="35D97CAC"/>
    <w:rsid w:val="35DB559B"/>
    <w:rsid w:val="35DC154A"/>
    <w:rsid w:val="35DE1766"/>
    <w:rsid w:val="35E13818"/>
    <w:rsid w:val="35E52AF5"/>
    <w:rsid w:val="35E61B0E"/>
    <w:rsid w:val="35E83F05"/>
    <w:rsid w:val="35EF5721"/>
    <w:rsid w:val="35EF74CF"/>
    <w:rsid w:val="35F72828"/>
    <w:rsid w:val="35F834CE"/>
    <w:rsid w:val="35FC0A7B"/>
    <w:rsid w:val="35FE5964"/>
    <w:rsid w:val="35FF4995"/>
    <w:rsid w:val="360016DD"/>
    <w:rsid w:val="36032F7B"/>
    <w:rsid w:val="360C3541"/>
    <w:rsid w:val="360D3DFA"/>
    <w:rsid w:val="361909F0"/>
    <w:rsid w:val="36193799"/>
    <w:rsid w:val="361A45B2"/>
    <w:rsid w:val="361C403D"/>
    <w:rsid w:val="361C5DEB"/>
    <w:rsid w:val="361E7DB5"/>
    <w:rsid w:val="3620279D"/>
    <w:rsid w:val="36203F6D"/>
    <w:rsid w:val="36246818"/>
    <w:rsid w:val="3628134B"/>
    <w:rsid w:val="362F3D70"/>
    <w:rsid w:val="36331F1D"/>
    <w:rsid w:val="36372206"/>
    <w:rsid w:val="36392378"/>
    <w:rsid w:val="36393417"/>
    <w:rsid w:val="3639699D"/>
    <w:rsid w:val="363D4937"/>
    <w:rsid w:val="363E0457"/>
    <w:rsid w:val="36407D2B"/>
    <w:rsid w:val="36432D79"/>
    <w:rsid w:val="36472A7C"/>
    <w:rsid w:val="3648318B"/>
    <w:rsid w:val="36484E32"/>
    <w:rsid w:val="364A2958"/>
    <w:rsid w:val="364C5B2E"/>
    <w:rsid w:val="364C66D0"/>
    <w:rsid w:val="364D6FFD"/>
    <w:rsid w:val="3652180C"/>
    <w:rsid w:val="365E28A7"/>
    <w:rsid w:val="36622E91"/>
    <w:rsid w:val="36666F38"/>
    <w:rsid w:val="36690728"/>
    <w:rsid w:val="367125DA"/>
    <w:rsid w:val="36730100"/>
    <w:rsid w:val="367479D5"/>
    <w:rsid w:val="367C7E81"/>
    <w:rsid w:val="367E68B5"/>
    <w:rsid w:val="367E6AA5"/>
    <w:rsid w:val="367F2244"/>
    <w:rsid w:val="36825D60"/>
    <w:rsid w:val="36826596"/>
    <w:rsid w:val="368340BC"/>
    <w:rsid w:val="36897924"/>
    <w:rsid w:val="368A544A"/>
    <w:rsid w:val="368D2BF6"/>
    <w:rsid w:val="36962041"/>
    <w:rsid w:val="36981915"/>
    <w:rsid w:val="36985DB9"/>
    <w:rsid w:val="369D6496"/>
    <w:rsid w:val="36A007CA"/>
    <w:rsid w:val="36AF0414"/>
    <w:rsid w:val="36B14785"/>
    <w:rsid w:val="36B30278"/>
    <w:rsid w:val="36B424C7"/>
    <w:rsid w:val="36B73708"/>
    <w:rsid w:val="36B85B13"/>
    <w:rsid w:val="36B87C32"/>
    <w:rsid w:val="36BC3278"/>
    <w:rsid w:val="36BD725D"/>
    <w:rsid w:val="36C02C1A"/>
    <w:rsid w:val="36C1089E"/>
    <w:rsid w:val="36C1778B"/>
    <w:rsid w:val="36C35B13"/>
    <w:rsid w:val="36C651E0"/>
    <w:rsid w:val="36C95F72"/>
    <w:rsid w:val="36D14E27"/>
    <w:rsid w:val="36D73248"/>
    <w:rsid w:val="36D81C0F"/>
    <w:rsid w:val="36ED4BFB"/>
    <w:rsid w:val="36F34D9D"/>
    <w:rsid w:val="36F667D0"/>
    <w:rsid w:val="36FD5C1C"/>
    <w:rsid w:val="370276D6"/>
    <w:rsid w:val="3709705E"/>
    <w:rsid w:val="370B658B"/>
    <w:rsid w:val="370C090F"/>
    <w:rsid w:val="370E2F5C"/>
    <w:rsid w:val="3710616D"/>
    <w:rsid w:val="37117919"/>
    <w:rsid w:val="37135440"/>
    <w:rsid w:val="37151B83"/>
    <w:rsid w:val="371A057C"/>
    <w:rsid w:val="371A0990"/>
    <w:rsid w:val="371A315B"/>
    <w:rsid w:val="371B2546"/>
    <w:rsid w:val="371D3646"/>
    <w:rsid w:val="372431A9"/>
    <w:rsid w:val="37260039"/>
    <w:rsid w:val="372B4013"/>
    <w:rsid w:val="37311C27"/>
    <w:rsid w:val="37321E9F"/>
    <w:rsid w:val="37384EA6"/>
    <w:rsid w:val="373D070E"/>
    <w:rsid w:val="373F7FE3"/>
    <w:rsid w:val="37490265"/>
    <w:rsid w:val="374968C5"/>
    <w:rsid w:val="374D7782"/>
    <w:rsid w:val="374E2B08"/>
    <w:rsid w:val="37520D08"/>
    <w:rsid w:val="37531CE0"/>
    <w:rsid w:val="37533DA9"/>
    <w:rsid w:val="375717D0"/>
    <w:rsid w:val="3758649C"/>
    <w:rsid w:val="3763259F"/>
    <w:rsid w:val="37695060"/>
    <w:rsid w:val="376A72C3"/>
    <w:rsid w:val="376B702A"/>
    <w:rsid w:val="376E6B1A"/>
    <w:rsid w:val="376F6730"/>
    <w:rsid w:val="377C5C5A"/>
    <w:rsid w:val="377F6482"/>
    <w:rsid w:val="37814AE6"/>
    <w:rsid w:val="3781684D"/>
    <w:rsid w:val="378759F2"/>
    <w:rsid w:val="378955B8"/>
    <w:rsid w:val="37897D9B"/>
    <w:rsid w:val="378D3C11"/>
    <w:rsid w:val="37964CE9"/>
    <w:rsid w:val="379677C6"/>
    <w:rsid w:val="37991DE9"/>
    <w:rsid w:val="379954F3"/>
    <w:rsid w:val="379A5AEA"/>
    <w:rsid w:val="379C71E3"/>
    <w:rsid w:val="37A1383F"/>
    <w:rsid w:val="37A22AEC"/>
    <w:rsid w:val="37A94BA2"/>
    <w:rsid w:val="37B00EE0"/>
    <w:rsid w:val="37B06AF7"/>
    <w:rsid w:val="37B26A07"/>
    <w:rsid w:val="37B3452D"/>
    <w:rsid w:val="37B373AC"/>
    <w:rsid w:val="37B469A0"/>
    <w:rsid w:val="37B7401D"/>
    <w:rsid w:val="37BB4934"/>
    <w:rsid w:val="37BC33D8"/>
    <w:rsid w:val="37BE184F"/>
    <w:rsid w:val="37C00785"/>
    <w:rsid w:val="37C130EE"/>
    <w:rsid w:val="37C1407A"/>
    <w:rsid w:val="37C17446"/>
    <w:rsid w:val="37C404E8"/>
    <w:rsid w:val="37C46AA1"/>
    <w:rsid w:val="37C506FA"/>
    <w:rsid w:val="37C64260"/>
    <w:rsid w:val="37C9180B"/>
    <w:rsid w:val="37C93D50"/>
    <w:rsid w:val="37CA60FE"/>
    <w:rsid w:val="37CB2170"/>
    <w:rsid w:val="37CB5D1A"/>
    <w:rsid w:val="37CF4253"/>
    <w:rsid w:val="37D27F86"/>
    <w:rsid w:val="37D64071"/>
    <w:rsid w:val="37DD15AA"/>
    <w:rsid w:val="37E1104B"/>
    <w:rsid w:val="37E312B6"/>
    <w:rsid w:val="37E666B0"/>
    <w:rsid w:val="37F107C7"/>
    <w:rsid w:val="37F30DCD"/>
    <w:rsid w:val="37F7266B"/>
    <w:rsid w:val="37F86DB7"/>
    <w:rsid w:val="37FE1C4C"/>
    <w:rsid w:val="37FE27F7"/>
    <w:rsid w:val="3801798E"/>
    <w:rsid w:val="38037262"/>
    <w:rsid w:val="38060621"/>
    <w:rsid w:val="38084878"/>
    <w:rsid w:val="380A4A95"/>
    <w:rsid w:val="380D1E8F"/>
    <w:rsid w:val="38170F5F"/>
    <w:rsid w:val="381750B3"/>
    <w:rsid w:val="381F7431"/>
    <w:rsid w:val="382673F4"/>
    <w:rsid w:val="382C6835"/>
    <w:rsid w:val="38325D99"/>
    <w:rsid w:val="3836588A"/>
    <w:rsid w:val="3838311F"/>
    <w:rsid w:val="383A1ABA"/>
    <w:rsid w:val="383E473E"/>
    <w:rsid w:val="38473444"/>
    <w:rsid w:val="384C19A5"/>
    <w:rsid w:val="385201EA"/>
    <w:rsid w:val="38547ABE"/>
    <w:rsid w:val="38583A14"/>
    <w:rsid w:val="385A5DD7"/>
    <w:rsid w:val="385B3990"/>
    <w:rsid w:val="385F23EF"/>
    <w:rsid w:val="386B4E07"/>
    <w:rsid w:val="386B727B"/>
    <w:rsid w:val="387168C2"/>
    <w:rsid w:val="38740160"/>
    <w:rsid w:val="38787C50"/>
    <w:rsid w:val="387D61FF"/>
    <w:rsid w:val="388008B3"/>
    <w:rsid w:val="38821599"/>
    <w:rsid w:val="38883C0B"/>
    <w:rsid w:val="388C46A9"/>
    <w:rsid w:val="388F7868"/>
    <w:rsid w:val="38936FC6"/>
    <w:rsid w:val="38966328"/>
    <w:rsid w:val="389F4A2A"/>
    <w:rsid w:val="38A071A7"/>
    <w:rsid w:val="38A35844"/>
    <w:rsid w:val="38A43D2E"/>
    <w:rsid w:val="38A547BD"/>
    <w:rsid w:val="38A56B9D"/>
    <w:rsid w:val="38A94FE7"/>
    <w:rsid w:val="38AF73EA"/>
    <w:rsid w:val="38C369F1"/>
    <w:rsid w:val="38C42E95"/>
    <w:rsid w:val="38C4326F"/>
    <w:rsid w:val="38C84008"/>
    <w:rsid w:val="38CE3014"/>
    <w:rsid w:val="38D17360"/>
    <w:rsid w:val="38D346EF"/>
    <w:rsid w:val="38DB1F8D"/>
    <w:rsid w:val="38DE382B"/>
    <w:rsid w:val="38E1455F"/>
    <w:rsid w:val="38E2156D"/>
    <w:rsid w:val="38E2331B"/>
    <w:rsid w:val="38E27079"/>
    <w:rsid w:val="38E52E0C"/>
    <w:rsid w:val="38E835C7"/>
    <w:rsid w:val="38EC5F48"/>
    <w:rsid w:val="38F1355F"/>
    <w:rsid w:val="38F27A29"/>
    <w:rsid w:val="38F31085"/>
    <w:rsid w:val="38F6071E"/>
    <w:rsid w:val="38F70143"/>
    <w:rsid w:val="38F85BFF"/>
    <w:rsid w:val="38FC0F83"/>
    <w:rsid w:val="38FC7FC9"/>
    <w:rsid w:val="38FE4B0D"/>
    <w:rsid w:val="3906088F"/>
    <w:rsid w:val="39070FD4"/>
    <w:rsid w:val="39096AFA"/>
    <w:rsid w:val="390B6641"/>
    <w:rsid w:val="390D6387"/>
    <w:rsid w:val="390E55DB"/>
    <w:rsid w:val="391159AF"/>
    <w:rsid w:val="39131D9F"/>
    <w:rsid w:val="39140DAC"/>
    <w:rsid w:val="39186D3D"/>
    <w:rsid w:val="391D07F7"/>
    <w:rsid w:val="391D359F"/>
    <w:rsid w:val="391D7DB8"/>
    <w:rsid w:val="39223465"/>
    <w:rsid w:val="392505F0"/>
    <w:rsid w:val="39253208"/>
    <w:rsid w:val="39276F80"/>
    <w:rsid w:val="392A7C0D"/>
    <w:rsid w:val="39311BAD"/>
    <w:rsid w:val="39316051"/>
    <w:rsid w:val="39353C1E"/>
    <w:rsid w:val="39365415"/>
    <w:rsid w:val="393B53E7"/>
    <w:rsid w:val="394400B2"/>
    <w:rsid w:val="39497482"/>
    <w:rsid w:val="394979EB"/>
    <w:rsid w:val="394C104B"/>
    <w:rsid w:val="394E6C03"/>
    <w:rsid w:val="39555895"/>
    <w:rsid w:val="39561614"/>
    <w:rsid w:val="395F671A"/>
    <w:rsid w:val="3960472E"/>
    <w:rsid w:val="39627FB8"/>
    <w:rsid w:val="39661562"/>
    <w:rsid w:val="396661BD"/>
    <w:rsid w:val="39693A3D"/>
    <w:rsid w:val="396A5E37"/>
    <w:rsid w:val="39706B79"/>
    <w:rsid w:val="39775BEF"/>
    <w:rsid w:val="397A3554"/>
    <w:rsid w:val="397A6819"/>
    <w:rsid w:val="39825E89"/>
    <w:rsid w:val="39837CD5"/>
    <w:rsid w:val="398A7D80"/>
    <w:rsid w:val="398B6032"/>
    <w:rsid w:val="398D31F9"/>
    <w:rsid w:val="398E5251"/>
    <w:rsid w:val="39904B26"/>
    <w:rsid w:val="399122FC"/>
    <w:rsid w:val="399326EA"/>
    <w:rsid w:val="399565E0"/>
    <w:rsid w:val="399A3BF6"/>
    <w:rsid w:val="399B34CA"/>
    <w:rsid w:val="399D36E6"/>
    <w:rsid w:val="399D7242"/>
    <w:rsid w:val="39A14595"/>
    <w:rsid w:val="39A30504"/>
    <w:rsid w:val="39A46823"/>
    <w:rsid w:val="39AA37AD"/>
    <w:rsid w:val="39AA65D6"/>
    <w:rsid w:val="39B06F76"/>
    <w:rsid w:val="39B822CE"/>
    <w:rsid w:val="39B9648E"/>
    <w:rsid w:val="39C510A0"/>
    <w:rsid w:val="39C944DB"/>
    <w:rsid w:val="39C97889"/>
    <w:rsid w:val="39CC6817"/>
    <w:rsid w:val="39CF05D0"/>
    <w:rsid w:val="39D117B5"/>
    <w:rsid w:val="39D23390"/>
    <w:rsid w:val="39D921F1"/>
    <w:rsid w:val="39DB63AC"/>
    <w:rsid w:val="39DC24AF"/>
    <w:rsid w:val="39DE5B45"/>
    <w:rsid w:val="39E44E71"/>
    <w:rsid w:val="39E500D9"/>
    <w:rsid w:val="39E73B05"/>
    <w:rsid w:val="39EB0E18"/>
    <w:rsid w:val="39F047D5"/>
    <w:rsid w:val="39F50E2C"/>
    <w:rsid w:val="39F72AA6"/>
    <w:rsid w:val="39F74BA5"/>
    <w:rsid w:val="39FA0974"/>
    <w:rsid w:val="39FA17C6"/>
    <w:rsid w:val="39FA3D41"/>
    <w:rsid w:val="39FA4695"/>
    <w:rsid w:val="39FB069B"/>
    <w:rsid w:val="3A015A23"/>
    <w:rsid w:val="3A053765"/>
    <w:rsid w:val="3A06303A"/>
    <w:rsid w:val="3A064DE8"/>
    <w:rsid w:val="3A087E95"/>
    <w:rsid w:val="3A0F5CB3"/>
    <w:rsid w:val="3A176FF5"/>
    <w:rsid w:val="3A19526E"/>
    <w:rsid w:val="3A1A4D37"/>
    <w:rsid w:val="3A1A6666"/>
    <w:rsid w:val="3A1F40FB"/>
    <w:rsid w:val="3A231E3E"/>
    <w:rsid w:val="3A2725E9"/>
    <w:rsid w:val="3A2A4F7A"/>
    <w:rsid w:val="3A2B2AA0"/>
    <w:rsid w:val="3A2B6F44"/>
    <w:rsid w:val="3A2D05C6"/>
    <w:rsid w:val="3A323E2F"/>
    <w:rsid w:val="3A361B71"/>
    <w:rsid w:val="3A371445"/>
    <w:rsid w:val="3A377491"/>
    <w:rsid w:val="3A476F2A"/>
    <w:rsid w:val="3A483652"/>
    <w:rsid w:val="3A4D6EBA"/>
    <w:rsid w:val="3A564290"/>
    <w:rsid w:val="3A5E69D2"/>
    <w:rsid w:val="3A607C42"/>
    <w:rsid w:val="3A612966"/>
    <w:rsid w:val="3A63048C"/>
    <w:rsid w:val="3A657AB4"/>
    <w:rsid w:val="3A694A70"/>
    <w:rsid w:val="3A6C12A8"/>
    <w:rsid w:val="3A6F3410"/>
    <w:rsid w:val="3A711DFA"/>
    <w:rsid w:val="3A713CCC"/>
    <w:rsid w:val="3A761B04"/>
    <w:rsid w:val="3A7C6384"/>
    <w:rsid w:val="3A7F2567"/>
    <w:rsid w:val="3A813820"/>
    <w:rsid w:val="3A8469CC"/>
    <w:rsid w:val="3A850402"/>
    <w:rsid w:val="3A852E20"/>
    <w:rsid w:val="3A881CA1"/>
    <w:rsid w:val="3A896114"/>
    <w:rsid w:val="3A8D2CDC"/>
    <w:rsid w:val="3A8D3E5E"/>
    <w:rsid w:val="3A8D5A5A"/>
    <w:rsid w:val="3A9022AD"/>
    <w:rsid w:val="3A933532"/>
    <w:rsid w:val="3A96260F"/>
    <w:rsid w:val="3A970136"/>
    <w:rsid w:val="3A976388"/>
    <w:rsid w:val="3A992100"/>
    <w:rsid w:val="3A9C399E"/>
    <w:rsid w:val="3A9E14C4"/>
    <w:rsid w:val="3AA06FEA"/>
    <w:rsid w:val="3AA30888"/>
    <w:rsid w:val="3AA32404"/>
    <w:rsid w:val="3AA35841"/>
    <w:rsid w:val="3AA50AA5"/>
    <w:rsid w:val="3AA80595"/>
    <w:rsid w:val="3AAA1667"/>
    <w:rsid w:val="3AAA2FF5"/>
    <w:rsid w:val="3AAD343A"/>
    <w:rsid w:val="3AB02FA5"/>
    <w:rsid w:val="3ABA5A57"/>
    <w:rsid w:val="3ABB02C8"/>
    <w:rsid w:val="3ABC621B"/>
    <w:rsid w:val="3ABD5DEE"/>
    <w:rsid w:val="3AC16F61"/>
    <w:rsid w:val="3AC234D7"/>
    <w:rsid w:val="3AC70A1B"/>
    <w:rsid w:val="3AC84793"/>
    <w:rsid w:val="3ACD1B7A"/>
    <w:rsid w:val="3ACD4686"/>
    <w:rsid w:val="3ACE7FFB"/>
    <w:rsid w:val="3AD16642"/>
    <w:rsid w:val="3AD66F8F"/>
    <w:rsid w:val="3AD70E9F"/>
    <w:rsid w:val="3ADB0022"/>
    <w:rsid w:val="3ADB1BE8"/>
    <w:rsid w:val="3AE0737A"/>
    <w:rsid w:val="3AE3337B"/>
    <w:rsid w:val="3AE41219"/>
    <w:rsid w:val="3AE77F14"/>
    <w:rsid w:val="3AE8273F"/>
    <w:rsid w:val="3AEA0046"/>
    <w:rsid w:val="3AEA3208"/>
    <w:rsid w:val="3AEA4709"/>
    <w:rsid w:val="3AEA64B7"/>
    <w:rsid w:val="3AED36B0"/>
    <w:rsid w:val="3AEF2E86"/>
    <w:rsid w:val="3AF16365"/>
    <w:rsid w:val="3AF30A76"/>
    <w:rsid w:val="3AF45588"/>
    <w:rsid w:val="3AF630AE"/>
    <w:rsid w:val="3AFE25B6"/>
    <w:rsid w:val="3AFE4ABA"/>
    <w:rsid w:val="3B000C6C"/>
    <w:rsid w:val="3B02230D"/>
    <w:rsid w:val="3B046CD4"/>
    <w:rsid w:val="3B051157"/>
    <w:rsid w:val="3B05633B"/>
    <w:rsid w:val="3B0A6B5A"/>
    <w:rsid w:val="3B0B5121"/>
    <w:rsid w:val="3B196D9D"/>
    <w:rsid w:val="3B20428D"/>
    <w:rsid w:val="3B212BD7"/>
    <w:rsid w:val="3B225C51"/>
    <w:rsid w:val="3B2554CE"/>
    <w:rsid w:val="3B260368"/>
    <w:rsid w:val="3B27770B"/>
    <w:rsid w:val="3B29112C"/>
    <w:rsid w:val="3B2929B3"/>
    <w:rsid w:val="3B2D2566"/>
    <w:rsid w:val="3B2D4F2D"/>
    <w:rsid w:val="3B315089"/>
    <w:rsid w:val="3B3D2A8B"/>
    <w:rsid w:val="3B443337"/>
    <w:rsid w:val="3B476F2C"/>
    <w:rsid w:val="3B4D3EBF"/>
    <w:rsid w:val="3B605538"/>
    <w:rsid w:val="3B637AD5"/>
    <w:rsid w:val="3B673FAC"/>
    <w:rsid w:val="3B6B06B1"/>
    <w:rsid w:val="3B6B3A9C"/>
    <w:rsid w:val="3B6D6E59"/>
    <w:rsid w:val="3B725E37"/>
    <w:rsid w:val="3B7346FF"/>
    <w:rsid w:val="3B7566C9"/>
    <w:rsid w:val="3B762441"/>
    <w:rsid w:val="3B765F9D"/>
    <w:rsid w:val="3B781910"/>
    <w:rsid w:val="3B79050B"/>
    <w:rsid w:val="3B7A783B"/>
    <w:rsid w:val="3B7D557D"/>
    <w:rsid w:val="3B7F12F6"/>
    <w:rsid w:val="3B820DE6"/>
    <w:rsid w:val="3B887BDE"/>
    <w:rsid w:val="3B8A13BA"/>
    <w:rsid w:val="3B8A7FFE"/>
    <w:rsid w:val="3B8B1A48"/>
    <w:rsid w:val="3B8E32E7"/>
    <w:rsid w:val="3B8E4274"/>
    <w:rsid w:val="3B911029"/>
    <w:rsid w:val="3B936B4F"/>
    <w:rsid w:val="3B9603ED"/>
    <w:rsid w:val="3B9A1EA4"/>
    <w:rsid w:val="3B9A7EDD"/>
    <w:rsid w:val="3BA174BE"/>
    <w:rsid w:val="3BA42B0A"/>
    <w:rsid w:val="3BA448B8"/>
    <w:rsid w:val="3BA50630"/>
    <w:rsid w:val="3BAB6F0D"/>
    <w:rsid w:val="3BB13950"/>
    <w:rsid w:val="3BB52F69"/>
    <w:rsid w:val="3BB858DE"/>
    <w:rsid w:val="3BBA273E"/>
    <w:rsid w:val="3BBD3634"/>
    <w:rsid w:val="3BBF7944"/>
    <w:rsid w:val="3BC62A80"/>
    <w:rsid w:val="3BC74A4B"/>
    <w:rsid w:val="3BC76709"/>
    <w:rsid w:val="3BC77624"/>
    <w:rsid w:val="3BC82016"/>
    <w:rsid w:val="3BC92571"/>
    <w:rsid w:val="3BCC3A5A"/>
    <w:rsid w:val="3BD038FF"/>
    <w:rsid w:val="3BD90E74"/>
    <w:rsid w:val="3BD978DC"/>
    <w:rsid w:val="3BDA477E"/>
    <w:rsid w:val="3BDB0AC1"/>
    <w:rsid w:val="3BDD1D33"/>
    <w:rsid w:val="3BDE2894"/>
    <w:rsid w:val="3BDF3B42"/>
    <w:rsid w:val="3BE07D75"/>
    <w:rsid w:val="3BE14070"/>
    <w:rsid w:val="3BE32AA0"/>
    <w:rsid w:val="3BE7089C"/>
    <w:rsid w:val="3BE86E9B"/>
    <w:rsid w:val="3BE9676F"/>
    <w:rsid w:val="3BEE0229"/>
    <w:rsid w:val="3BF13876"/>
    <w:rsid w:val="3BF9014C"/>
    <w:rsid w:val="3BFF12C8"/>
    <w:rsid w:val="3BFF2436"/>
    <w:rsid w:val="3C032AA7"/>
    <w:rsid w:val="3C0626E5"/>
    <w:rsid w:val="3C0745D5"/>
    <w:rsid w:val="3C096E11"/>
    <w:rsid w:val="3C0A4D16"/>
    <w:rsid w:val="3C0E1A05"/>
    <w:rsid w:val="3C0E1FC9"/>
    <w:rsid w:val="3C0E4B12"/>
    <w:rsid w:val="3C112EB7"/>
    <w:rsid w:val="3C116506"/>
    <w:rsid w:val="3C131A3E"/>
    <w:rsid w:val="3C134CAD"/>
    <w:rsid w:val="3C1A101E"/>
    <w:rsid w:val="3C1B147E"/>
    <w:rsid w:val="3C245ED1"/>
    <w:rsid w:val="3C281562"/>
    <w:rsid w:val="3C2974B3"/>
    <w:rsid w:val="3C2F0D84"/>
    <w:rsid w:val="3C305003"/>
    <w:rsid w:val="3C320116"/>
    <w:rsid w:val="3C335C3C"/>
    <w:rsid w:val="3C37572C"/>
    <w:rsid w:val="3C395CAF"/>
    <w:rsid w:val="3C39608A"/>
    <w:rsid w:val="3C3A47FE"/>
    <w:rsid w:val="3C3B356A"/>
    <w:rsid w:val="3C3C2D43"/>
    <w:rsid w:val="3C3E2F5F"/>
    <w:rsid w:val="3C424FBF"/>
    <w:rsid w:val="3C425417"/>
    <w:rsid w:val="3C447E49"/>
    <w:rsid w:val="3C45321E"/>
    <w:rsid w:val="3C485B8B"/>
    <w:rsid w:val="3C4D13F4"/>
    <w:rsid w:val="3C52254E"/>
    <w:rsid w:val="3C52359C"/>
    <w:rsid w:val="3C525C61"/>
    <w:rsid w:val="3C53017F"/>
    <w:rsid w:val="3C531513"/>
    <w:rsid w:val="3C541977"/>
    <w:rsid w:val="3C544530"/>
    <w:rsid w:val="3C553E04"/>
    <w:rsid w:val="3C6109FB"/>
    <w:rsid w:val="3C616C4D"/>
    <w:rsid w:val="3C6504EB"/>
    <w:rsid w:val="3C666012"/>
    <w:rsid w:val="3C6B3931"/>
    <w:rsid w:val="3C6B42A6"/>
    <w:rsid w:val="3C6B7ACC"/>
    <w:rsid w:val="3C6C7925"/>
    <w:rsid w:val="3C6D73A0"/>
    <w:rsid w:val="3C742582"/>
    <w:rsid w:val="3C836BC3"/>
    <w:rsid w:val="3C862E04"/>
    <w:rsid w:val="3C88242C"/>
    <w:rsid w:val="3C886DBE"/>
    <w:rsid w:val="3C8D7A42"/>
    <w:rsid w:val="3C8E2C30"/>
    <w:rsid w:val="3C902C6D"/>
    <w:rsid w:val="3C905550"/>
    <w:rsid w:val="3C936023"/>
    <w:rsid w:val="3CA046F1"/>
    <w:rsid w:val="3CA07775"/>
    <w:rsid w:val="3CA65E19"/>
    <w:rsid w:val="3CA8662A"/>
    <w:rsid w:val="3CAB393A"/>
    <w:rsid w:val="3CB02ABC"/>
    <w:rsid w:val="3CB13731"/>
    <w:rsid w:val="3CB269B6"/>
    <w:rsid w:val="3CB3358B"/>
    <w:rsid w:val="3CB52AF5"/>
    <w:rsid w:val="3CB67377"/>
    <w:rsid w:val="3CB70E00"/>
    <w:rsid w:val="3CB76A3A"/>
    <w:rsid w:val="3CB824F0"/>
    <w:rsid w:val="3CBC20D5"/>
    <w:rsid w:val="3CBF1A5E"/>
    <w:rsid w:val="3CC86CCC"/>
    <w:rsid w:val="3CCE3D29"/>
    <w:rsid w:val="3CCF5047"/>
    <w:rsid w:val="3CD25455"/>
    <w:rsid w:val="3CD76F0F"/>
    <w:rsid w:val="3CD967E3"/>
    <w:rsid w:val="3CE07B72"/>
    <w:rsid w:val="3CE1162D"/>
    <w:rsid w:val="3CE5162C"/>
    <w:rsid w:val="3CE8111C"/>
    <w:rsid w:val="3CEA006F"/>
    <w:rsid w:val="3CEB33F8"/>
    <w:rsid w:val="3CEB663C"/>
    <w:rsid w:val="3CF03B2D"/>
    <w:rsid w:val="3CF25AF7"/>
    <w:rsid w:val="3CF25E8E"/>
    <w:rsid w:val="3CF6444F"/>
    <w:rsid w:val="3CF96E86"/>
    <w:rsid w:val="3CFA6F56"/>
    <w:rsid w:val="3D007D17"/>
    <w:rsid w:val="3D037D04"/>
    <w:rsid w:val="3D0715A3"/>
    <w:rsid w:val="3D073351"/>
    <w:rsid w:val="3D082712"/>
    <w:rsid w:val="3D0C4E0B"/>
    <w:rsid w:val="3D115F7D"/>
    <w:rsid w:val="3D143CBF"/>
    <w:rsid w:val="3D1B30D0"/>
    <w:rsid w:val="3D1C1907"/>
    <w:rsid w:val="3D222FB2"/>
    <w:rsid w:val="3D24407E"/>
    <w:rsid w:val="3D2739F3"/>
    <w:rsid w:val="3D2A34E3"/>
    <w:rsid w:val="3D2A69F0"/>
    <w:rsid w:val="3D344D0D"/>
    <w:rsid w:val="3D3A5ABF"/>
    <w:rsid w:val="3D406F54"/>
    <w:rsid w:val="3D4134E7"/>
    <w:rsid w:val="3D4313C4"/>
    <w:rsid w:val="3D4520CB"/>
    <w:rsid w:val="3D4B13A7"/>
    <w:rsid w:val="3D4E71D1"/>
    <w:rsid w:val="3D4F6AA6"/>
    <w:rsid w:val="3D595B76"/>
    <w:rsid w:val="3D5D1D52"/>
    <w:rsid w:val="3D6549A6"/>
    <w:rsid w:val="3D6B6021"/>
    <w:rsid w:val="3D6B60D2"/>
    <w:rsid w:val="3D6D1730"/>
    <w:rsid w:val="3D79262F"/>
    <w:rsid w:val="3D7F55DD"/>
    <w:rsid w:val="3D827BF5"/>
    <w:rsid w:val="3D850719"/>
    <w:rsid w:val="3D857F39"/>
    <w:rsid w:val="3D8726E3"/>
    <w:rsid w:val="3D8825E6"/>
    <w:rsid w:val="3D8B21D4"/>
    <w:rsid w:val="3D8C7CFA"/>
    <w:rsid w:val="3D921224"/>
    <w:rsid w:val="3D930949"/>
    <w:rsid w:val="3D93654B"/>
    <w:rsid w:val="3D9A71DB"/>
    <w:rsid w:val="3D9D5CEE"/>
    <w:rsid w:val="3D9F7A2D"/>
    <w:rsid w:val="3DA212CB"/>
    <w:rsid w:val="3DA2751D"/>
    <w:rsid w:val="3DA9265A"/>
    <w:rsid w:val="3DAA3D38"/>
    <w:rsid w:val="3DAE01CF"/>
    <w:rsid w:val="3DAE1A1E"/>
    <w:rsid w:val="3DB04665"/>
    <w:rsid w:val="3DB50891"/>
    <w:rsid w:val="3DB650F7"/>
    <w:rsid w:val="3DB87A8F"/>
    <w:rsid w:val="3DBA4867"/>
    <w:rsid w:val="3DBB27D7"/>
    <w:rsid w:val="3DBD4357"/>
    <w:rsid w:val="3DC07D6D"/>
    <w:rsid w:val="3DC70D32"/>
    <w:rsid w:val="3DCC00F6"/>
    <w:rsid w:val="3DCD3F0C"/>
    <w:rsid w:val="3DD516A1"/>
    <w:rsid w:val="3DD7735A"/>
    <w:rsid w:val="3DD87578"/>
    <w:rsid w:val="3DDD67A7"/>
    <w:rsid w:val="3DDF35D7"/>
    <w:rsid w:val="3DDF607B"/>
    <w:rsid w:val="3DE74F30"/>
    <w:rsid w:val="3DEB6AD5"/>
    <w:rsid w:val="3DEF15E5"/>
    <w:rsid w:val="3DF00289"/>
    <w:rsid w:val="3DF1535C"/>
    <w:rsid w:val="3DF42A74"/>
    <w:rsid w:val="3DF5764D"/>
    <w:rsid w:val="3DF6370A"/>
    <w:rsid w:val="3DF77C1C"/>
    <w:rsid w:val="3DFA3744"/>
    <w:rsid w:val="3DFF671E"/>
    <w:rsid w:val="3E030FFE"/>
    <w:rsid w:val="3E06185A"/>
    <w:rsid w:val="3E0930F8"/>
    <w:rsid w:val="3E0C5804"/>
    <w:rsid w:val="3E0D0E3B"/>
    <w:rsid w:val="3E1026D9"/>
    <w:rsid w:val="3E185FAA"/>
    <w:rsid w:val="3E1C0F2E"/>
    <w:rsid w:val="3E1C4AF4"/>
    <w:rsid w:val="3E1D4DF6"/>
    <w:rsid w:val="3E1F0B55"/>
    <w:rsid w:val="3E1F291C"/>
    <w:rsid w:val="3E1F46CA"/>
    <w:rsid w:val="3E2241BA"/>
    <w:rsid w:val="3E235B37"/>
    <w:rsid w:val="3E247F32"/>
    <w:rsid w:val="3E2E6081"/>
    <w:rsid w:val="3E300132"/>
    <w:rsid w:val="3E350391"/>
    <w:rsid w:val="3E377C66"/>
    <w:rsid w:val="3E3839DE"/>
    <w:rsid w:val="3E391743"/>
    <w:rsid w:val="3E391C30"/>
    <w:rsid w:val="3E3C527C"/>
    <w:rsid w:val="3E3D09DE"/>
    <w:rsid w:val="3E440CBF"/>
    <w:rsid w:val="3E4660FB"/>
    <w:rsid w:val="3E4847E6"/>
    <w:rsid w:val="3E4B0FF4"/>
    <w:rsid w:val="3E533F2D"/>
    <w:rsid w:val="3E540A3D"/>
    <w:rsid w:val="3E55633E"/>
    <w:rsid w:val="3E570308"/>
    <w:rsid w:val="3E577721"/>
    <w:rsid w:val="3E5A7DF8"/>
    <w:rsid w:val="3E5D65FA"/>
    <w:rsid w:val="3E642A25"/>
    <w:rsid w:val="3E647289"/>
    <w:rsid w:val="3E6A24AA"/>
    <w:rsid w:val="3E75078E"/>
    <w:rsid w:val="3E751C7B"/>
    <w:rsid w:val="3E79027E"/>
    <w:rsid w:val="3E7B250D"/>
    <w:rsid w:val="3E7E5827"/>
    <w:rsid w:val="3E7F33BB"/>
    <w:rsid w:val="3E825452"/>
    <w:rsid w:val="3E8409D1"/>
    <w:rsid w:val="3E866E17"/>
    <w:rsid w:val="3E87561B"/>
    <w:rsid w:val="3E8B1AC7"/>
    <w:rsid w:val="3E8B6370"/>
    <w:rsid w:val="3E907C2F"/>
    <w:rsid w:val="3E976956"/>
    <w:rsid w:val="3EA00C1E"/>
    <w:rsid w:val="3EA66B99"/>
    <w:rsid w:val="3EA846BF"/>
    <w:rsid w:val="3EAA11DD"/>
    <w:rsid w:val="3EB412B6"/>
    <w:rsid w:val="3EB70DA6"/>
    <w:rsid w:val="3EBA035C"/>
    <w:rsid w:val="3EBB0897"/>
    <w:rsid w:val="3EBF1A09"/>
    <w:rsid w:val="3ECA6D2C"/>
    <w:rsid w:val="3ECB6600"/>
    <w:rsid w:val="3ECD05CA"/>
    <w:rsid w:val="3ECD2378"/>
    <w:rsid w:val="3ECF6F6C"/>
    <w:rsid w:val="3ED23E32"/>
    <w:rsid w:val="3ED30C29"/>
    <w:rsid w:val="3ED6180F"/>
    <w:rsid w:val="3ED74FA5"/>
    <w:rsid w:val="3EE30460"/>
    <w:rsid w:val="3EE44090"/>
    <w:rsid w:val="3EE85404"/>
    <w:rsid w:val="3EE92F0D"/>
    <w:rsid w:val="3EEA4CD8"/>
    <w:rsid w:val="3EEB2D19"/>
    <w:rsid w:val="3EEC4EF4"/>
    <w:rsid w:val="3EEF6CC1"/>
    <w:rsid w:val="3EF23B8C"/>
    <w:rsid w:val="3EF7501E"/>
    <w:rsid w:val="3F035D9A"/>
    <w:rsid w:val="3F0B2EA0"/>
    <w:rsid w:val="3F0D09C6"/>
    <w:rsid w:val="3F102691"/>
    <w:rsid w:val="3F163047"/>
    <w:rsid w:val="3F1637A7"/>
    <w:rsid w:val="3F19736B"/>
    <w:rsid w:val="3F1A1CC2"/>
    <w:rsid w:val="3F1D32FF"/>
    <w:rsid w:val="3F1D6DC9"/>
    <w:rsid w:val="3F1F2D1F"/>
    <w:rsid w:val="3F234470"/>
    <w:rsid w:val="3F2530A2"/>
    <w:rsid w:val="3F281CA4"/>
    <w:rsid w:val="3F291A23"/>
    <w:rsid w:val="3F2A7F57"/>
    <w:rsid w:val="3F3046E9"/>
    <w:rsid w:val="3F32667F"/>
    <w:rsid w:val="3F382E72"/>
    <w:rsid w:val="3F3C12AC"/>
    <w:rsid w:val="3F3E6DD2"/>
    <w:rsid w:val="3F422D66"/>
    <w:rsid w:val="3F484CFB"/>
    <w:rsid w:val="3F4B0544"/>
    <w:rsid w:val="3F4C0AAE"/>
    <w:rsid w:val="3F4F358B"/>
    <w:rsid w:val="3F505FDB"/>
    <w:rsid w:val="3F516A21"/>
    <w:rsid w:val="3F5413AE"/>
    <w:rsid w:val="3F577E93"/>
    <w:rsid w:val="3F583C9B"/>
    <w:rsid w:val="3F5F6F4D"/>
    <w:rsid w:val="3F6011D8"/>
    <w:rsid w:val="3F632CDC"/>
    <w:rsid w:val="3F67457A"/>
    <w:rsid w:val="3F713F07"/>
    <w:rsid w:val="3F78055A"/>
    <w:rsid w:val="3F7A3AC2"/>
    <w:rsid w:val="3F7E3672"/>
    <w:rsid w:val="3F8213B4"/>
    <w:rsid w:val="3F84512C"/>
    <w:rsid w:val="3F886454"/>
    <w:rsid w:val="3F8B72DF"/>
    <w:rsid w:val="3F8D4B52"/>
    <w:rsid w:val="3F8E5FAB"/>
    <w:rsid w:val="3F8F762D"/>
    <w:rsid w:val="3F9609BC"/>
    <w:rsid w:val="3F977363"/>
    <w:rsid w:val="3F981C83"/>
    <w:rsid w:val="3F985297"/>
    <w:rsid w:val="3FA27361"/>
    <w:rsid w:val="3FA336CF"/>
    <w:rsid w:val="3FA376F7"/>
    <w:rsid w:val="3FA410FF"/>
    <w:rsid w:val="3FA622F7"/>
    <w:rsid w:val="3FAC01DF"/>
    <w:rsid w:val="3FAD0B92"/>
    <w:rsid w:val="3FAE3F57"/>
    <w:rsid w:val="3FB138EF"/>
    <w:rsid w:val="3FB157F6"/>
    <w:rsid w:val="3FB23269"/>
    <w:rsid w:val="3FB620F2"/>
    <w:rsid w:val="3FB672B0"/>
    <w:rsid w:val="3FB929D0"/>
    <w:rsid w:val="3FBB6674"/>
    <w:rsid w:val="3FBC6458"/>
    <w:rsid w:val="3FBE59FD"/>
    <w:rsid w:val="3FCA37A3"/>
    <w:rsid w:val="3FCF2120"/>
    <w:rsid w:val="3FD37E62"/>
    <w:rsid w:val="3FDE5A59"/>
    <w:rsid w:val="3FE0426B"/>
    <w:rsid w:val="3FE060DB"/>
    <w:rsid w:val="3FE45BCB"/>
    <w:rsid w:val="3FE77469"/>
    <w:rsid w:val="3FE77B36"/>
    <w:rsid w:val="3FE91433"/>
    <w:rsid w:val="3FED711E"/>
    <w:rsid w:val="3FEE7EAC"/>
    <w:rsid w:val="3FF00C08"/>
    <w:rsid w:val="3FF027C2"/>
    <w:rsid w:val="3FF12096"/>
    <w:rsid w:val="3FF20746"/>
    <w:rsid w:val="3FF55DC1"/>
    <w:rsid w:val="3FF6120F"/>
    <w:rsid w:val="3FF84EFF"/>
    <w:rsid w:val="3FF878C8"/>
    <w:rsid w:val="3FFC3BF6"/>
    <w:rsid w:val="3FFF1934"/>
    <w:rsid w:val="40004FD0"/>
    <w:rsid w:val="40061FE5"/>
    <w:rsid w:val="40071623"/>
    <w:rsid w:val="40077B0C"/>
    <w:rsid w:val="40095632"/>
    <w:rsid w:val="40161AFD"/>
    <w:rsid w:val="40181D19"/>
    <w:rsid w:val="40195E74"/>
    <w:rsid w:val="401961DF"/>
    <w:rsid w:val="401C13CE"/>
    <w:rsid w:val="401E2E70"/>
    <w:rsid w:val="40212FAA"/>
    <w:rsid w:val="402204A1"/>
    <w:rsid w:val="40267B86"/>
    <w:rsid w:val="40267F92"/>
    <w:rsid w:val="402A41D8"/>
    <w:rsid w:val="402D35BD"/>
    <w:rsid w:val="402E34F4"/>
    <w:rsid w:val="402F67F1"/>
    <w:rsid w:val="4033445D"/>
    <w:rsid w:val="40436D96"/>
    <w:rsid w:val="4044666A"/>
    <w:rsid w:val="405215CC"/>
    <w:rsid w:val="405530BA"/>
    <w:rsid w:val="4056454A"/>
    <w:rsid w:val="40574C5C"/>
    <w:rsid w:val="4057639D"/>
    <w:rsid w:val="405F050A"/>
    <w:rsid w:val="40681C47"/>
    <w:rsid w:val="406D1341"/>
    <w:rsid w:val="406E1939"/>
    <w:rsid w:val="406E7B8B"/>
    <w:rsid w:val="40742103"/>
    <w:rsid w:val="40745AB2"/>
    <w:rsid w:val="40750F63"/>
    <w:rsid w:val="40766C97"/>
    <w:rsid w:val="407B6536"/>
    <w:rsid w:val="408670CC"/>
    <w:rsid w:val="408829FA"/>
    <w:rsid w:val="408B24EB"/>
    <w:rsid w:val="408D6263"/>
    <w:rsid w:val="40907B01"/>
    <w:rsid w:val="4099060F"/>
    <w:rsid w:val="409969B6"/>
    <w:rsid w:val="409A44DC"/>
    <w:rsid w:val="409D5D7A"/>
    <w:rsid w:val="40A821C5"/>
    <w:rsid w:val="40AB0497"/>
    <w:rsid w:val="40AB4593"/>
    <w:rsid w:val="40AD2461"/>
    <w:rsid w:val="40AD420F"/>
    <w:rsid w:val="40B557B9"/>
    <w:rsid w:val="40B57579"/>
    <w:rsid w:val="40B90D30"/>
    <w:rsid w:val="40BC08F6"/>
    <w:rsid w:val="40C35E21"/>
    <w:rsid w:val="40C477AB"/>
    <w:rsid w:val="40C5331A"/>
    <w:rsid w:val="40C53562"/>
    <w:rsid w:val="40C652D1"/>
    <w:rsid w:val="40C6737B"/>
    <w:rsid w:val="40C8729B"/>
    <w:rsid w:val="40CB3BBE"/>
    <w:rsid w:val="40D53766"/>
    <w:rsid w:val="40D6479F"/>
    <w:rsid w:val="40D9014A"/>
    <w:rsid w:val="40DB5220"/>
    <w:rsid w:val="40DE7721"/>
    <w:rsid w:val="40E01ACC"/>
    <w:rsid w:val="40E61E50"/>
    <w:rsid w:val="40E63BC5"/>
    <w:rsid w:val="40E64F02"/>
    <w:rsid w:val="40F22190"/>
    <w:rsid w:val="40F2256A"/>
    <w:rsid w:val="40F24318"/>
    <w:rsid w:val="40F260C6"/>
    <w:rsid w:val="40F72B9F"/>
    <w:rsid w:val="40F956A6"/>
    <w:rsid w:val="40FF267C"/>
    <w:rsid w:val="41006A35"/>
    <w:rsid w:val="410234F5"/>
    <w:rsid w:val="41032592"/>
    <w:rsid w:val="41055DF9"/>
    <w:rsid w:val="410A45DD"/>
    <w:rsid w:val="410C0082"/>
    <w:rsid w:val="410D4CAE"/>
    <w:rsid w:val="4112432E"/>
    <w:rsid w:val="41160D36"/>
    <w:rsid w:val="41165458"/>
    <w:rsid w:val="411C1395"/>
    <w:rsid w:val="411C6A34"/>
    <w:rsid w:val="411E7BA8"/>
    <w:rsid w:val="4124398E"/>
    <w:rsid w:val="41262132"/>
    <w:rsid w:val="41270465"/>
    <w:rsid w:val="412C6278"/>
    <w:rsid w:val="412C782A"/>
    <w:rsid w:val="41320BB8"/>
    <w:rsid w:val="413761CE"/>
    <w:rsid w:val="41377F7D"/>
    <w:rsid w:val="41390199"/>
    <w:rsid w:val="41395AA3"/>
    <w:rsid w:val="413C3FE6"/>
    <w:rsid w:val="414032D5"/>
    <w:rsid w:val="41405083"/>
    <w:rsid w:val="41414266"/>
    <w:rsid w:val="41436921"/>
    <w:rsid w:val="41466299"/>
    <w:rsid w:val="414C5861"/>
    <w:rsid w:val="414C7ECC"/>
    <w:rsid w:val="414D154E"/>
    <w:rsid w:val="41510C05"/>
    <w:rsid w:val="41513226"/>
    <w:rsid w:val="41517290"/>
    <w:rsid w:val="41524DB6"/>
    <w:rsid w:val="415648A7"/>
    <w:rsid w:val="4156661E"/>
    <w:rsid w:val="415D3E87"/>
    <w:rsid w:val="415E375B"/>
    <w:rsid w:val="415E52B6"/>
    <w:rsid w:val="4162149D"/>
    <w:rsid w:val="416C39BC"/>
    <w:rsid w:val="416D21AE"/>
    <w:rsid w:val="4173673A"/>
    <w:rsid w:val="417662C5"/>
    <w:rsid w:val="41776249"/>
    <w:rsid w:val="417B0732"/>
    <w:rsid w:val="417B430D"/>
    <w:rsid w:val="417C1E33"/>
    <w:rsid w:val="417D43EB"/>
    <w:rsid w:val="417D62D7"/>
    <w:rsid w:val="4180766A"/>
    <w:rsid w:val="41866A28"/>
    <w:rsid w:val="4189001E"/>
    <w:rsid w:val="418A4B29"/>
    <w:rsid w:val="418C2076"/>
    <w:rsid w:val="418E2292"/>
    <w:rsid w:val="41913B31"/>
    <w:rsid w:val="419158DF"/>
    <w:rsid w:val="41950879"/>
    <w:rsid w:val="41954723"/>
    <w:rsid w:val="41982A42"/>
    <w:rsid w:val="419C1B0B"/>
    <w:rsid w:val="419C2226"/>
    <w:rsid w:val="419D0727"/>
    <w:rsid w:val="419D24D5"/>
    <w:rsid w:val="41A069E2"/>
    <w:rsid w:val="41A339E2"/>
    <w:rsid w:val="41B05744"/>
    <w:rsid w:val="41B45A71"/>
    <w:rsid w:val="41BB295C"/>
    <w:rsid w:val="41BE1E20"/>
    <w:rsid w:val="41C37A62"/>
    <w:rsid w:val="41C45CB4"/>
    <w:rsid w:val="41CF23CD"/>
    <w:rsid w:val="41D66391"/>
    <w:rsid w:val="41D66AFC"/>
    <w:rsid w:val="41DD28D2"/>
    <w:rsid w:val="41DE0A1F"/>
    <w:rsid w:val="41E70B72"/>
    <w:rsid w:val="41E77BF5"/>
    <w:rsid w:val="41EA576A"/>
    <w:rsid w:val="41F06AA9"/>
    <w:rsid w:val="41F25A6B"/>
    <w:rsid w:val="41F40477"/>
    <w:rsid w:val="41F65354"/>
    <w:rsid w:val="41FA16D6"/>
    <w:rsid w:val="41FD2F74"/>
    <w:rsid w:val="42062D04"/>
    <w:rsid w:val="420A6C99"/>
    <w:rsid w:val="420C1409"/>
    <w:rsid w:val="420C356B"/>
    <w:rsid w:val="420C765B"/>
    <w:rsid w:val="420E33D3"/>
    <w:rsid w:val="420F2CA7"/>
    <w:rsid w:val="420F2E00"/>
    <w:rsid w:val="421156DC"/>
    <w:rsid w:val="42130902"/>
    <w:rsid w:val="42162288"/>
    <w:rsid w:val="42165DE4"/>
    <w:rsid w:val="42186000"/>
    <w:rsid w:val="4219379F"/>
    <w:rsid w:val="421C22C0"/>
    <w:rsid w:val="421D594F"/>
    <w:rsid w:val="4226071D"/>
    <w:rsid w:val="42291D6C"/>
    <w:rsid w:val="422936B2"/>
    <w:rsid w:val="422B7986"/>
    <w:rsid w:val="422C50C0"/>
    <w:rsid w:val="422D6421"/>
    <w:rsid w:val="422E137F"/>
    <w:rsid w:val="423170C2"/>
    <w:rsid w:val="42345750"/>
    <w:rsid w:val="423733D6"/>
    <w:rsid w:val="42380450"/>
    <w:rsid w:val="42472441"/>
    <w:rsid w:val="424D3EFC"/>
    <w:rsid w:val="424E1A22"/>
    <w:rsid w:val="4250579A"/>
    <w:rsid w:val="42521512"/>
    <w:rsid w:val="42554B5E"/>
    <w:rsid w:val="425608D6"/>
    <w:rsid w:val="42562684"/>
    <w:rsid w:val="425639AF"/>
    <w:rsid w:val="42565831"/>
    <w:rsid w:val="425828A0"/>
    <w:rsid w:val="425D222F"/>
    <w:rsid w:val="425F778B"/>
    <w:rsid w:val="4260230D"/>
    <w:rsid w:val="42625086"/>
    <w:rsid w:val="42642FF3"/>
    <w:rsid w:val="42672C91"/>
    <w:rsid w:val="426A6872"/>
    <w:rsid w:val="426B4382"/>
    <w:rsid w:val="426E38E9"/>
    <w:rsid w:val="42701998"/>
    <w:rsid w:val="427174BE"/>
    <w:rsid w:val="427C3788"/>
    <w:rsid w:val="42814AA0"/>
    <w:rsid w:val="428524AA"/>
    <w:rsid w:val="4286740D"/>
    <w:rsid w:val="428745B9"/>
    <w:rsid w:val="4290203A"/>
    <w:rsid w:val="42902CE7"/>
    <w:rsid w:val="4292190E"/>
    <w:rsid w:val="42982C2E"/>
    <w:rsid w:val="429F402B"/>
    <w:rsid w:val="42A87384"/>
    <w:rsid w:val="42B21FB1"/>
    <w:rsid w:val="42B3237E"/>
    <w:rsid w:val="42B51AA1"/>
    <w:rsid w:val="42B75819"/>
    <w:rsid w:val="42BB226C"/>
    <w:rsid w:val="42BD0BDC"/>
    <w:rsid w:val="42BD105D"/>
    <w:rsid w:val="42C929F1"/>
    <w:rsid w:val="42D21CBA"/>
    <w:rsid w:val="42D500A9"/>
    <w:rsid w:val="42D737C5"/>
    <w:rsid w:val="42DE0263"/>
    <w:rsid w:val="42E27DDC"/>
    <w:rsid w:val="42E71877"/>
    <w:rsid w:val="42E82A9E"/>
    <w:rsid w:val="42E934F8"/>
    <w:rsid w:val="42EC3A85"/>
    <w:rsid w:val="42EE4A25"/>
    <w:rsid w:val="42F30A76"/>
    <w:rsid w:val="42F500EF"/>
    <w:rsid w:val="42F73E67"/>
    <w:rsid w:val="42F86E8F"/>
    <w:rsid w:val="42FD18E1"/>
    <w:rsid w:val="42FE51F6"/>
    <w:rsid w:val="43000F6E"/>
    <w:rsid w:val="4300375D"/>
    <w:rsid w:val="43016A94"/>
    <w:rsid w:val="43065568"/>
    <w:rsid w:val="43080135"/>
    <w:rsid w:val="430A31C2"/>
    <w:rsid w:val="430B231C"/>
    <w:rsid w:val="430C30C1"/>
    <w:rsid w:val="430D5439"/>
    <w:rsid w:val="430F2F5F"/>
    <w:rsid w:val="43100A85"/>
    <w:rsid w:val="43104F29"/>
    <w:rsid w:val="43106CD7"/>
    <w:rsid w:val="431542ED"/>
    <w:rsid w:val="431A3E2D"/>
    <w:rsid w:val="431F2E9B"/>
    <w:rsid w:val="432A5FEB"/>
    <w:rsid w:val="432B1D63"/>
    <w:rsid w:val="432E7B9B"/>
    <w:rsid w:val="43304A0C"/>
    <w:rsid w:val="433504EC"/>
    <w:rsid w:val="43366EA0"/>
    <w:rsid w:val="4339551C"/>
    <w:rsid w:val="43395BF2"/>
    <w:rsid w:val="433A1882"/>
    <w:rsid w:val="433B01F8"/>
    <w:rsid w:val="433C7ACC"/>
    <w:rsid w:val="434043BC"/>
    <w:rsid w:val="434150E2"/>
    <w:rsid w:val="43471619"/>
    <w:rsid w:val="4348021A"/>
    <w:rsid w:val="4348021F"/>
    <w:rsid w:val="434846C3"/>
    <w:rsid w:val="434B7D67"/>
    <w:rsid w:val="434E6E4A"/>
    <w:rsid w:val="434F3699"/>
    <w:rsid w:val="435272F0"/>
    <w:rsid w:val="4355204F"/>
    <w:rsid w:val="435849AD"/>
    <w:rsid w:val="435A70A7"/>
    <w:rsid w:val="436634C5"/>
    <w:rsid w:val="43686B13"/>
    <w:rsid w:val="436D5ED7"/>
    <w:rsid w:val="4374652E"/>
    <w:rsid w:val="43766F04"/>
    <w:rsid w:val="43771ECC"/>
    <w:rsid w:val="43856F23"/>
    <w:rsid w:val="43870245"/>
    <w:rsid w:val="43884ABF"/>
    <w:rsid w:val="4388593B"/>
    <w:rsid w:val="438F6F2B"/>
    <w:rsid w:val="43917E18"/>
    <w:rsid w:val="4392593E"/>
    <w:rsid w:val="439416B6"/>
    <w:rsid w:val="439B0C97"/>
    <w:rsid w:val="439C056B"/>
    <w:rsid w:val="439E0787"/>
    <w:rsid w:val="439E597D"/>
    <w:rsid w:val="43A42E81"/>
    <w:rsid w:val="43A51B15"/>
    <w:rsid w:val="43AF71D5"/>
    <w:rsid w:val="43B509B9"/>
    <w:rsid w:val="43B87FA6"/>
    <w:rsid w:val="43BA5753"/>
    <w:rsid w:val="43BB4E95"/>
    <w:rsid w:val="43BD6E5F"/>
    <w:rsid w:val="43C755E8"/>
    <w:rsid w:val="43CC70A2"/>
    <w:rsid w:val="43D16466"/>
    <w:rsid w:val="43DB72E5"/>
    <w:rsid w:val="43DE4235"/>
    <w:rsid w:val="43DE6D89"/>
    <w:rsid w:val="43E15EC3"/>
    <w:rsid w:val="43E90A73"/>
    <w:rsid w:val="43ED4A2A"/>
    <w:rsid w:val="43EE7018"/>
    <w:rsid w:val="43EF46AD"/>
    <w:rsid w:val="43EF46D3"/>
    <w:rsid w:val="43FF153D"/>
    <w:rsid w:val="43FF6FF1"/>
    <w:rsid w:val="44046A4D"/>
    <w:rsid w:val="44046B45"/>
    <w:rsid w:val="440B33B0"/>
    <w:rsid w:val="44112D07"/>
    <w:rsid w:val="4416086B"/>
    <w:rsid w:val="441A7E0D"/>
    <w:rsid w:val="441B05F2"/>
    <w:rsid w:val="441D40A1"/>
    <w:rsid w:val="4420119C"/>
    <w:rsid w:val="44284660"/>
    <w:rsid w:val="442962A2"/>
    <w:rsid w:val="442C18EF"/>
    <w:rsid w:val="44305883"/>
    <w:rsid w:val="44366C11"/>
    <w:rsid w:val="44380293"/>
    <w:rsid w:val="443928A2"/>
    <w:rsid w:val="443A225E"/>
    <w:rsid w:val="443B7384"/>
    <w:rsid w:val="443D7F72"/>
    <w:rsid w:val="443E7113"/>
    <w:rsid w:val="44405590"/>
    <w:rsid w:val="44484B2F"/>
    <w:rsid w:val="44496945"/>
    <w:rsid w:val="444E3F5B"/>
    <w:rsid w:val="444F60D1"/>
    <w:rsid w:val="4450382F"/>
    <w:rsid w:val="44552B2F"/>
    <w:rsid w:val="44590916"/>
    <w:rsid w:val="445C1832"/>
    <w:rsid w:val="445D3C9B"/>
    <w:rsid w:val="445D5F4C"/>
    <w:rsid w:val="445D7CFA"/>
    <w:rsid w:val="445F4788"/>
    <w:rsid w:val="446077EA"/>
    <w:rsid w:val="44672049"/>
    <w:rsid w:val="446B0669"/>
    <w:rsid w:val="446B1423"/>
    <w:rsid w:val="446B4F27"/>
    <w:rsid w:val="446F6422"/>
    <w:rsid w:val="447102DE"/>
    <w:rsid w:val="44735770"/>
    <w:rsid w:val="44753296"/>
    <w:rsid w:val="44760DBC"/>
    <w:rsid w:val="4479123F"/>
    <w:rsid w:val="447B63D2"/>
    <w:rsid w:val="447D039C"/>
    <w:rsid w:val="447F5EC2"/>
    <w:rsid w:val="44827761"/>
    <w:rsid w:val="44857D6C"/>
    <w:rsid w:val="4487121B"/>
    <w:rsid w:val="44894F93"/>
    <w:rsid w:val="448C13FD"/>
    <w:rsid w:val="44927E6F"/>
    <w:rsid w:val="44935E12"/>
    <w:rsid w:val="449556E6"/>
    <w:rsid w:val="44972C25"/>
    <w:rsid w:val="44980365"/>
    <w:rsid w:val="44983428"/>
    <w:rsid w:val="449C17FD"/>
    <w:rsid w:val="449D5D1E"/>
    <w:rsid w:val="449F30AE"/>
    <w:rsid w:val="449F47B6"/>
    <w:rsid w:val="44A35499"/>
    <w:rsid w:val="44A65B45"/>
    <w:rsid w:val="44A73EC6"/>
    <w:rsid w:val="44A771C7"/>
    <w:rsid w:val="44A92FC5"/>
    <w:rsid w:val="44B3260D"/>
    <w:rsid w:val="44BD4C3D"/>
    <w:rsid w:val="44C164DB"/>
    <w:rsid w:val="44D06EA0"/>
    <w:rsid w:val="44D22496"/>
    <w:rsid w:val="44D3768F"/>
    <w:rsid w:val="44D42E45"/>
    <w:rsid w:val="44D47C10"/>
    <w:rsid w:val="44D73F50"/>
    <w:rsid w:val="44D75CFE"/>
    <w:rsid w:val="44D83825"/>
    <w:rsid w:val="44DC3290"/>
    <w:rsid w:val="44E00565"/>
    <w:rsid w:val="44E00647"/>
    <w:rsid w:val="44E1092B"/>
    <w:rsid w:val="44E16B7D"/>
    <w:rsid w:val="44E26451"/>
    <w:rsid w:val="44E405D7"/>
    <w:rsid w:val="44E64B09"/>
    <w:rsid w:val="44E941A9"/>
    <w:rsid w:val="44EA21D1"/>
    <w:rsid w:val="44F248E6"/>
    <w:rsid w:val="44F41C1A"/>
    <w:rsid w:val="44F543D6"/>
    <w:rsid w:val="44F5629C"/>
    <w:rsid w:val="44FC5765"/>
    <w:rsid w:val="450308A1"/>
    <w:rsid w:val="45057425"/>
    <w:rsid w:val="450F1080"/>
    <w:rsid w:val="45126D36"/>
    <w:rsid w:val="451505D5"/>
    <w:rsid w:val="45156827"/>
    <w:rsid w:val="45170DF5"/>
    <w:rsid w:val="451C5E07"/>
    <w:rsid w:val="451E1B7F"/>
    <w:rsid w:val="451F1453"/>
    <w:rsid w:val="451F2118"/>
    <w:rsid w:val="451F2C01"/>
    <w:rsid w:val="45216F7A"/>
    <w:rsid w:val="452627E2"/>
    <w:rsid w:val="452758AE"/>
    <w:rsid w:val="452D591E"/>
    <w:rsid w:val="45321D53"/>
    <w:rsid w:val="45394A3E"/>
    <w:rsid w:val="453A3BF7"/>
    <w:rsid w:val="453B2FFD"/>
    <w:rsid w:val="454964D0"/>
    <w:rsid w:val="454B1FE7"/>
    <w:rsid w:val="454F1EDE"/>
    <w:rsid w:val="4550785F"/>
    <w:rsid w:val="455166AF"/>
    <w:rsid w:val="45586785"/>
    <w:rsid w:val="45596713"/>
    <w:rsid w:val="455A248C"/>
    <w:rsid w:val="455A50B2"/>
    <w:rsid w:val="45625C51"/>
    <w:rsid w:val="456335FD"/>
    <w:rsid w:val="45682DFA"/>
    <w:rsid w:val="4568724B"/>
    <w:rsid w:val="45717F01"/>
    <w:rsid w:val="45730AF9"/>
    <w:rsid w:val="4577128F"/>
    <w:rsid w:val="457F625E"/>
    <w:rsid w:val="458115B6"/>
    <w:rsid w:val="45833790"/>
    <w:rsid w:val="458662BF"/>
    <w:rsid w:val="458C511D"/>
    <w:rsid w:val="458D57CB"/>
    <w:rsid w:val="458E3310"/>
    <w:rsid w:val="458F0387"/>
    <w:rsid w:val="459531E3"/>
    <w:rsid w:val="45965BB9"/>
    <w:rsid w:val="459736E0"/>
    <w:rsid w:val="4597548E"/>
    <w:rsid w:val="45997458"/>
    <w:rsid w:val="459A7498"/>
    <w:rsid w:val="459B4F7E"/>
    <w:rsid w:val="459B56C8"/>
    <w:rsid w:val="459B5914"/>
    <w:rsid w:val="45A04342"/>
    <w:rsid w:val="45A75441"/>
    <w:rsid w:val="45AD256B"/>
    <w:rsid w:val="45B24076"/>
    <w:rsid w:val="45B34F82"/>
    <w:rsid w:val="45B46040"/>
    <w:rsid w:val="45B57085"/>
    <w:rsid w:val="45BE0C6C"/>
    <w:rsid w:val="45C049E4"/>
    <w:rsid w:val="45C83286"/>
    <w:rsid w:val="45CF2E79"/>
    <w:rsid w:val="45CF4C28"/>
    <w:rsid w:val="45D36751"/>
    <w:rsid w:val="45D7020D"/>
    <w:rsid w:val="45DB35CC"/>
    <w:rsid w:val="45DD5596"/>
    <w:rsid w:val="45DE453C"/>
    <w:rsid w:val="45DE4E6B"/>
    <w:rsid w:val="45E53E71"/>
    <w:rsid w:val="45E61A88"/>
    <w:rsid w:val="45E96F9B"/>
    <w:rsid w:val="45EA1A61"/>
    <w:rsid w:val="45EA7CB3"/>
    <w:rsid w:val="45EC39D9"/>
    <w:rsid w:val="45ED3300"/>
    <w:rsid w:val="45EE046E"/>
    <w:rsid w:val="45EE77A4"/>
    <w:rsid w:val="45F813BF"/>
    <w:rsid w:val="45F8365B"/>
    <w:rsid w:val="45F865DC"/>
    <w:rsid w:val="45FB45F6"/>
    <w:rsid w:val="45FD3B47"/>
    <w:rsid w:val="45FD79E7"/>
    <w:rsid w:val="460100E0"/>
    <w:rsid w:val="460348D1"/>
    <w:rsid w:val="46042829"/>
    <w:rsid w:val="46042B88"/>
    <w:rsid w:val="46044DED"/>
    <w:rsid w:val="46072613"/>
    <w:rsid w:val="460A3EB2"/>
    <w:rsid w:val="460A4BD7"/>
    <w:rsid w:val="46132D66"/>
    <w:rsid w:val="461A0599"/>
    <w:rsid w:val="461F5BAF"/>
    <w:rsid w:val="462600D5"/>
    <w:rsid w:val="46295C1B"/>
    <w:rsid w:val="462A0F49"/>
    <w:rsid w:val="462A4554"/>
    <w:rsid w:val="462B3B83"/>
    <w:rsid w:val="462C1916"/>
    <w:rsid w:val="462C207A"/>
    <w:rsid w:val="462C3E28"/>
    <w:rsid w:val="46357180"/>
    <w:rsid w:val="463C0C85"/>
    <w:rsid w:val="463C7375"/>
    <w:rsid w:val="46402DFD"/>
    <w:rsid w:val="46456C98"/>
    <w:rsid w:val="464B2ABD"/>
    <w:rsid w:val="464E30C8"/>
    <w:rsid w:val="46557D90"/>
    <w:rsid w:val="465B470D"/>
    <w:rsid w:val="465F5FAB"/>
    <w:rsid w:val="4662583A"/>
    <w:rsid w:val="46655823"/>
    <w:rsid w:val="46696E2A"/>
    <w:rsid w:val="466979B6"/>
    <w:rsid w:val="466A1026"/>
    <w:rsid w:val="466B25F0"/>
    <w:rsid w:val="466C6C16"/>
    <w:rsid w:val="466E65F8"/>
    <w:rsid w:val="467142E3"/>
    <w:rsid w:val="46756273"/>
    <w:rsid w:val="46784BF4"/>
    <w:rsid w:val="468005A8"/>
    <w:rsid w:val="468448D8"/>
    <w:rsid w:val="468C0D6B"/>
    <w:rsid w:val="469159BA"/>
    <w:rsid w:val="4699566E"/>
    <w:rsid w:val="469D2F78"/>
    <w:rsid w:val="469D6BC0"/>
    <w:rsid w:val="469E5412"/>
    <w:rsid w:val="46A51B78"/>
    <w:rsid w:val="46A62431"/>
    <w:rsid w:val="46AC31BB"/>
    <w:rsid w:val="46AE0AC5"/>
    <w:rsid w:val="46AE3C1D"/>
    <w:rsid w:val="46B34549"/>
    <w:rsid w:val="46B7486B"/>
    <w:rsid w:val="46B77DBE"/>
    <w:rsid w:val="46BD7176"/>
    <w:rsid w:val="46BF6A4A"/>
    <w:rsid w:val="46C2487A"/>
    <w:rsid w:val="46CC5899"/>
    <w:rsid w:val="46D00866"/>
    <w:rsid w:val="46D00C57"/>
    <w:rsid w:val="46D02A05"/>
    <w:rsid w:val="46D06EA9"/>
    <w:rsid w:val="46D11EDF"/>
    <w:rsid w:val="46D96FB3"/>
    <w:rsid w:val="46DC1387"/>
    <w:rsid w:val="46DD26B1"/>
    <w:rsid w:val="46E2615A"/>
    <w:rsid w:val="46E84133"/>
    <w:rsid w:val="46EE6F3B"/>
    <w:rsid w:val="46EE732F"/>
    <w:rsid w:val="46F04218"/>
    <w:rsid w:val="46F30DEA"/>
    <w:rsid w:val="46F661E4"/>
    <w:rsid w:val="46F83E78"/>
    <w:rsid w:val="46F87B6E"/>
    <w:rsid w:val="46FB39DB"/>
    <w:rsid w:val="46FC1A4C"/>
    <w:rsid w:val="46FD2A93"/>
    <w:rsid w:val="46FD6269"/>
    <w:rsid w:val="46FE51E0"/>
    <w:rsid w:val="47000909"/>
    <w:rsid w:val="47007E18"/>
    <w:rsid w:val="47041880"/>
    <w:rsid w:val="47081233"/>
    <w:rsid w:val="470975AF"/>
    <w:rsid w:val="47122723"/>
    <w:rsid w:val="471634EF"/>
    <w:rsid w:val="471921F6"/>
    <w:rsid w:val="471C5C4A"/>
    <w:rsid w:val="471C6377"/>
    <w:rsid w:val="471E7C15"/>
    <w:rsid w:val="47213261"/>
    <w:rsid w:val="47234C08"/>
    <w:rsid w:val="4724470D"/>
    <w:rsid w:val="472901B7"/>
    <w:rsid w:val="472965B9"/>
    <w:rsid w:val="472D3ED1"/>
    <w:rsid w:val="473142C2"/>
    <w:rsid w:val="473531B0"/>
    <w:rsid w:val="4737303F"/>
    <w:rsid w:val="47376F28"/>
    <w:rsid w:val="47392CA0"/>
    <w:rsid w:val="473A07C7"/>
    <w:rsid w:val="473D3E13"/>
    <w:rsid w:val="47402ED6"/>
    <w:rsid w:val="47462CC7"/>
    <w:rsid w:val="474D674C"/>
    <w:rsid w:val="474E3196"/>
    <w:rsid w:val="475F6CDE"/>
    <w:rsid w:val="476615BC"/>
    <w:rsid w:val="4766336A"/>
    <w:rsid w:val="47697A94"/>
    <w:rsid w:val="47745A86"/>
    <w:rsid w:val="477607D1"/>
    <w:rsid w:val="47831770"/>
    <w:rsid w:val="47835CCA"/>
    <w:rsid w:val="47846F53"/>
    <w:rsid w:val="47853D4A"/>
    <w:rsid w:val="478657BA"/>
    <w:rsid w:val="478A1B18"/>
    <w:rsid w:val="478E2114"/>
    <w:rsid w:val="479028F2"/>
    <w:rsid w:val="479223B1"/>
    <w:rsid w:val="47940724"/>
    <w:rsid w:val="479419A8"/>
    <w:rsid w:val="47946129"/>
    <w:rsid w:val="479533AB"/>
    <w:rsid w:val="479B74B7"/>
    <w:rsid w:val="47A02B50"/>
    <w:rsid w:val="47A0687C"/>
    <w:rsid w:val="47A1346C"/>
    <w:rsid w:val="47A224DB"/>
    <w:rsid w:val="47A67C0A"/>
    <w:rsid w:val="47A82162"/>
    <w:rsid w:val="47A83982"/>
    <w:rsid w:val="47AB5220"/>
    <w:rsid w:val="47AC3472"/>
    <w:rsid w:val="47B16CDB"/>
    <w:rsid w:val="47B42327"/>
    <w:rsid w:val="47B75973"/>
    <w:rsid w:val="47B804C3"/>
    <w:rsid w:val="47BB36B5"/>
    <w:rsid w:val="47C022DE"/>
    <w:rsid w:val="47C85937"/>
    <w:rsid w:val="47C85DD2"/>
    <w:rsid w:val="47C87B80"/>
    <w:rsid w:val="47CA38F8"/>
    <w:rsid w:val="47CB3372"/>
    <w:rsid w:val="47CB7671"/>
    <w:rsid w:val="47D15BA1"/>
    <w:rsid w:val="47D15E43"/>
    <w:rsid w:val="47D868BC"/>
    <w:rsid w:val="47D90B0C"/>
    <w:rsid w:val="47DF247D"/>
    <w:rsid w:val="47E04ECA"/>
    <w:rsid w:val="47ED4AFD"/>
    <w:rsid w:val="47F172BA"/>
    <w:rsid w:val="47F22E4F"/>
    <w:rsid w:val="47F609B5"/>
    <w:rsid w:val="47F6293F"/>
    <w:rsid w:val="47F800BC"/>
    <w:rsid w:val="47F95F8C"/>
    <w:rsid w:val="47FB61A8"/>
    <w:rsid w:val="47FE6B56"/>
    <w:rsid w:val="48007DC3"/>
    <w:rsid w:val="48021EEB"/>
    <w:rsid w:val="480706A9"/>
    <w:rsid w:val="481132D5"/>
    <w:rsid w:val="48121523"/>
    <w:rsid w:val="481334F1"/>
    <w:rsid w:val="481608EC"/>
    <w:rsid w:val="48164D90"/>
    <w:rsid w:val="481728B6"/>
    <w:rsid w:val="48180B08"/>
    <w:rsid w:val="48183D4F"/>
    <w:rsid w:val="4819662E"/>
    <w:rsid w:val="481A4DA4"/>
    <w:rsid w:val="481B05F8"/>
    <w:rsid w:val="48205C0E"/>
    <w:rsid w:val="4823125B"/>
    <w:rsid w:val="48291F0B"/>
    <w:rsid w:val="482A069F"/>
    <w:rsid w:val="482A1680"/>
    <w:rsid w:val="483376F0"/>
    <w:rsid w:val="483671E0"/>
    <w:rsid w:val="483B0352"/>
    <w:rsid w:val="483B0549"/>
    <w:rsid w:val="48455675"/>
    <w:rsid w:val="484B254C"/>
    <w:rsid w:val="484C255F"/>
    <w:rsid w:val="484C4BC1"/>
    <w:rsid w:val="484E49E0"/>
    <w:rsid w:val="48580F04"/>
    <w:rsid w:val="485C5545"/>
    <w:rsid w:val="4860425D"/>
    <w:rsid w:val="48657AC5"/>
    <w:rsid w:val="4867383D"/>
    <w:rsid w:val="486D14F5"/>
    <w:rsid w:val="486D4E21"/>
    <w:rsid w:val="4874520B"/>
    <w:rsid w:val="48763A80"/>
    <w:rsid w:val="487815A6"/>
    <w:rsid w:val="48787A2E"/>
    <w:rsid w:val="487E59EF"/>
    <w:rsid w:val="48806059"/>
    <w:rsid w:val="48821704"/>
    <w:rsid w:val="488A3088"/>
    <w:rsid w:val="48914AE9"/>
    <w:rsid w:val="489B5295"/>
    <w:rsid w:val="489E3A00"/>
    <w:rsid w:val="48A018E9"/>
    <w:rsid w:val="48A16816"/>
    <w:rsid w:val="48A203D1"/>
    <w:rsid w:val="48A94C25"/>
    <w:rsid w:val="48A95C04"/>
    <w:rsid w:val="48AF34FD"/>
    <w:rsid w:val="48B1302D"/>
    <w:rsid w:val="48B3438D"/>
    <w:rsid w:val="48BD16AF"/>
    <w:rsid w:val="48C540C0"/>
    <w:rsid w:val="48CF1315"/>
    <w:rsid w:val="48D013E2"/>
    <w:rsid w:val="48D66617"/>
    <w:rsid w:val="48DD6C86"/>
    <w:rsid w:val="48DF1625"/>
    <w:rsid w:val="48DF6FA3"/>
    <w:rsid w:val="48E10B59"/>
    <w:rsid w:val="48E1714C"/>
    <w:rsid w:val="48EA3B26"/>
    <w:rsid w:val="48EC789E"/>
    <w:rsid w:val="48F03833"/>
    <w:rsid w:val="48F2181D"/>
    <w:rsid w:val="48F53030"/>
    <w:rsid w:val="48F8683C"/>
    <w:rsid w:val="48F92C39"/>
    <w:rsid w:val="48FA1472"/>
    <w:rsid w:val="48FA3B1A"/>
    <w:rsid w:val="48FD5F50"/>
    <w:rsid w:val="49005D67"/>
    <w:rsid w:val="490077F5"/>
    <w:rsid w:val="49066BB2"/>
    <w:rsid w:val="491017DF"/>
    <w:rsid w:val="49134BDB"/>
    <w:rsid w:val="49134D90"/>
    <w:rsid w:val="49155047"/>
    <w:rsid w:val="49172B6D"/>
    <w:rsid w:val="49185BC5"/>
    <w:rsid w:val="491C4628"/>
    <w:rsid w:val="491D214E"/>
    <w:rsid w:val="49227764"/>
    <w:rsid w:val="492359B6"/>
    <w:rsid w:val="492B486B"/>
    <w:rsid w:val="492B6619"/>
    <w:rsid w:val="492B7622"/>
    <w:rsid w:val="492E435B"/>
    <w:rsid w:val="49303C2F"/>
    <w:rsid w:val="49311755"/>
    <w:rsid w:val="493814AC"/>
    <w:rsid w:val="493C0826"/>
    <w:rsid w:val="493F20C4"/>
    <w:rsid w:val="49415E3C"/>
    <w:rsid w:val="49435EA6"/>
    <w:rsid w:val="49437E06"/>
    <w:rsid w:val="49450A41"/>
    <w:rsid w:val="494F67AB"/>
    <w:rsid w:val="495042D1"/>
    <w:rsid w:val="495342C3"/>
    <w:rsid w:val="49535B70"/>
    <w:rsid w:val="4953791E"/>
    <w:rsid w:val="4955379A"/>
    <w:rsid w:val="495768B4"/>
    <w:rsid w:val="495E1FB7"/>
    <w:rsid w:val="495F2766"/>
    <w:rsid w:val="4965269F"/>
    <w:rsid w:val="49697141"/>
    <w:rsid w:val="496B5B85"/>
    <w:rsid w:val="496E6A9E"/>
    <w:rsid w:val="496F29A9"/>
    <w:rsid w:val="4970227E"/>
    <w:rsid w:val="49725FF6"/>
    <w:rsid w:val="49731D6E"/>
    <w:rsid w:val="49753D38"/>
    <w:rsid w:val="4975606B"/>
    <w:rsid w:val="49783238"/>
    <w:rsid w:val="497A330E"/>
    <w:rsid w:val="497B34BB"/>
    <w:rsid w:val="497D6BA3"/>
    <w:rsid w:val="497E0E3E"/>
    <w:rsid w:val="49804BB7"/>
    <w:rsid w:val="49811CE1"/>
    <w:rsid w:val="49843F7B"/>
    <w:rsid w:val="4985153D"/>
    <w:rsid w:val="498D72D3"/>
    <w:rsid w:val="498F4C7B"/>
    <w:rsid w:val="498F4DFA"/>
    <w:rsid w:val="499046CE"/>
    <w:rsid w:val="4990798C"/>
    <w:rsid w:val="49953C0A"/>
    <w:rsid w:val="49A14B2D"/>
    <w:rsid w:val="49A215FA"/>
    <w:rsid w:val="49AC401C"/>
    <w:rsid w:val="49B01BF9"/>
    <w:rsid w:val="49B85AAA"/>
    <w:rsid w:val="49BC733E"/>
    <w:rsid w:val="49C94F4C"/>
    <w:rsid w:val="49CF169A"/>
    <w:rsid w:val="49CF51F6"/>
    <w:rsid w:val="49D15D74"/>
    <w:rsid w:val="49D22F38"/>
    <w:rsid w:val="49D4280C"/>
    <w:rsid w:val="49D46CB0"/>
    <w:rsid w:val="49D767A1"/>
    <w:rsid w:val="49DC7913"/>
    <w:rsid w:val="49E03495"/>
    <w:rsid w:val="49E05655"/>
    <w:rsid w:val="49E14F29"/>
    <w:rsid w:val="49E30CA1"/>
    <w:rsid w:val="49E76872"/>
    <w:rsid w:val="49E8275C"/>
    <w:rsid w:val="49EF5898"/>
    <w:rsid w:val="49F25EE8"/>
    <w:rsid w:val="49F4004B"/>
    <w:rsid w:val="49F904C5"/>
    <w:rsid w:val="49FD3E3C"/>
    <w:rsid w:val="4A0431D8"/>
    <w:rsid w:val="4A0444C5"/>
    <w:rsid w:val="4A0A0924"/>
    <w:rsid w:val="4A0C5E9D"/>
    <w:rsid w:val="4A0C644A"/>
    <w:rsid w:val="4A1277D9"/>
    <w:rsid w:val="4A1B043B"/>
    <w:rsid w:val="4A1B668D"/>
    <w:rsid w:val="4A1D48B6"/>
    <w:rsid w:val="4A213784"/>
    <w:rsid w:val="4A2A0466"/>
    <w:rsid w:val="4A2C621B"/>
    <w:rsid w:val="4A2F038B"/>
    <w:rsid w:val="4A310288"/>
    <w:rsid w:val="4A311A18"/>
    <w:rsid w:val="4A357BCE"/>
    <w:rsid w:val="4A370FED"/>
    <w:rsid w:val="4A3729E1"/>
    <w:rsid w:val="4A392FB7"/>
    <w:rsid w:val="4A3A7958"/>
    <w:rsid w:val="4A3E237C"/>
    <w:rsid w:val="4A3F54F7"/>
    <w:rsid w:val="4A4060F4"/>
    <w:rsid w:val="4A407A47"/>
    <w:rsid w:val="4A4754D4"/>
    <w:rsid w:val="4A4F27DB"/>
    <w:rsid w:val="4A521DC0"/>
    <w:rsid w:val="4A5405C7"/>
    <w:rsid w:val="4A5566CE"/>
    <w:rsid w:val="4A5676C5"/>
    <w:rsid w:val="4A5B218A"/>
    <w:rsid w:val="4A5B4A33"/>
    <w:rsid w:val="4A6073A2"/>
    <w:rsid w:val="4A6C513B"/>
    <w:rsid w:val="4A6E20DF"/>
    <w:rsid w:val="4A6F2535"/>
    <w:rsid w:val="4A717DB5"/>
    <w:rsid w:val="4A730277"/>
    <w:rsid w:val="4A7E6C1C"/>
    <w:rsid w:val="4A7F0F35"/>
    <w:rsid w:val="4A8561FD"/>
    <w:rsid w:val="4A873D23"/>
    <w:rsid w:val="4A895530"/>
    <w:rsid w:val="4A8E63F2"/>
    <w:rsid w:val="4A954692"/>
    <w:rsid w:val="4A985F30"/>
    <w:rsid w:val="4A9A1CA8"/>
    <w:rsid w:val="4AA76173"/>
    <w:rsid w:val="4AA85A47"/>
    <w:rsid w:val="4AAA7A11"/>
    <w:rsid w:val="4AAF6BC2"/>
    <w:rsid w:val="4AB1021B"/>
    <w:rsid w:val="4AB80D3C"/>
    <w:rsid w:val="4AB8666C"/>
    <w:rsid w:val="4ABA54BD"/>
    <w:rsid w:val="4ABA6F52"/>
    <w:rsid w:val="4ABD14F2"/>
    <w:rsid w:val="4AC26B09"/>
    <w:rsid w:val="4AC43F0D"/>
    <w:rsid w:val="4ACC5BD9"/>
    <w:rsid w:val="4ACC6DEF"/>
    <w:rsid w:val="4ACE1952"/>
    <w:rsid w:val="4ACE3F5A"/>
    <w:rsid w:val="4AD17653"/>
    <w:rsid w:val="4AD351BA"/>
    <w:rsid w:val="4AD40244"/>
    <w:rsid w:val="4AD417E9"/>
    <w:rsid w:val="4AD833F0"/>
    <w:rsid w:val="4AE03433"/>
    <w:rsid w:val="4AE20F59"/>
    <w:rsid w:val="4AE50A49"/>
    <w:rsid w:val="4AF173EE"/>
    <w:rsid w:val="4AF3760A"/>
    <w:rsid w:val="4AFA44F5"/>
    <w:rsid w:val="4B01400A"/>
    <w:rsid w:val="4B0215FB"/>
    <w:rsid w:val="4B0E7FA0"/>
    <w:rsid w:val="4B1F3F5B"/>
    <w:rsid w:val="4B201EE7"/>
    <w:rsid w:val="4B2077D6"/>
    <w:rsid w:val="4B245A16"/>
    <w:rsid w:val="4B2961F8"/>
    <w:rsid w:val="4B2C5595"/>
    <w:rsid w:val="4B2D30CB"/>
    <w:rsid w:val="4B2E0642"/>
    <w:rsid w:val="4B2E419E"/>
    <w:rsid w:val="4B2E7EB5"/>
    <w:rsid w:val="4B3309DA"/>
    <w:rsid w:val="4B3425E6"/>
    <w:rsid w:val="4B365A74"/>
    <w:rsid w:val="4B38501D"/>
    <w:rsid w:val="4B39687F"/>
    <w:rsid w:val="4B3D2633"/>
    <w:rsid w:val="4B3D45DA"/>
    <w:rsid w:val="4B4535E2"/>
    <w:rsid w:val="4B481704"/>
    <w:rsid w:val="4B492C2F"/>
    <w:rsid w:val="4B49547C"/>
    <w:rsid w:val="4B4B6AFE"/>
    <w:rsid w:val="4B4E70E1"/>
    <w:rsid w:val="4B50680B"/>
    <w:rsid w:val="4B584730"/>
    <w:rsid w:val="4B5A4F93"/>
    <w:rsid w:val="4B5F5242"/>
    <w:rsid w:val="4B65708D"/>
    <w:rsid w:val="4B6650BF"/>
    <w:rsid w:val="4B6776B0"/>
    <w:rsid w:val="4B6928EF"/>
    <w:rsid w:val="4B693428"/>
    <w:rsid w:val="4B6C5A20"/>
    <w:rsid w:val="4B6D116B"/>
    <w:rsid w:val="4B6E4EE3"/>
    <w:rsid w:val="4B6E6C91"/>
    <w:rsid w:val="4B6F4854"/>
    <w:rsid w:val="4B710D89"/>
    <w:rsid w:val="4B7110F8"/>
    <w:rsid w:val="4B753BD3"/>
    <w:rsid w:val="4B784F16"/>
    <w:rsid w:val="4B7C315C"/>
    <w:rsid w:val="4B8765A8"/>
    <w:rsid w:val="4B9762C0"/>
    <w:rsid w:val="4B9C55AC"/>
    <w:rsid w:val="4B9E7576"/>
    <w:rsid w:val="4BA16728"/>
    <w:rsid w:val="4BA206E8"/>
    <w:rsid w:val="4BA53E30"/>
    <w:rsid w:val="4BA674F8"/>
    <w:rsid w:val="4BA95F1B"/>
    <w:rsid w:val="4BAB29C4"/>
    <w:rsid w:val="4BAE2E6E"/>
    <w:rsid w:val="4BB072A9"/>
    <w:rsid w:val="4BB31BDB"/>
    <w:rsid w:val="4BB60FCD"/>
    <w:rsid w:val="4BB723E6"/>
    <w:rsid w:val="4BBA2153"/>
    <w:rsid w:val="4BBA3C84"/>
    <w:rsid w:val="4BBC4BE8"/>
    <w:rsid w:val="4BBF129A"/>
    <w:rsid w:val="4BBF74EC"/>
    <w:rsid w:val="4BBF76CF"/>
    <w:rsid w:val="4BC15012"/>
    <w:rsid w:val="4BC30D8B"/>
    <w:rsid w:val="4BC61EF2"/>
    <w:rsid w:val="4BC92119"/>
    <w:rsid w:val="4BCA1764"/>
    <w:rsid w:val="4BCB7C3F"/>
    <w:rsid w:val="4BCE0684"/>
    <w:rsid w:val="4BD016F9"/>
    <w:rsid w:val="4BD046E5"/>
    <w:rsid w:val="4BD27749"/>
    <w:rsid w:val="4BD50ABE"/>
    <w:rsid w:val="4BD765E4"/>
    <w:rsid w:val="4BDE5BC4"/>
    <w:rsid w:val="4BDE7697"/>
    <w:rsid w:val="4BE07B8E"/>
    <w:rsid w:val="4BE17463"/>
    <w:rsid w:val="4BE478F9"/>
    <w:rsid w:val="4BEB208F"/>
    <w:rsid w:val="4BED22AB"/>
    <w:rsid w:val="4BED7EC8"/>
    <w:rsid w:val="4BF03B4A"/>
    <w:rsid w:val="4BF5382E"/>
    <w:rsid w:val="4BF8401D"/>
    <w:rsid w:val="4BFA020F"/>
    <w:rsid w:val="4BFB6776"/>
    <w:rsid w:val="4BFC37BB"/>
    <w:rsid w:val="4BFF5B3B"/>
    <w:rsid w:val="4C002552"/>
    <w:rsid w:val="4C0733A3"/>
    <w:rsid w:val="4C086ABB"/>
    <w:rsid w:val="4C0A0767"/>
    <w:rsid w:val="4C0A6343"/>
    <w:rsid w:val="4C0E1768"/>
    <w:rsid w:val="4C0F2222"/>
    <w:rsid w:val="4C1114FA"/>
    <w:rsid w:val="4C17236E"/>
    <w:rsid w:val="4C190454"/>
    <w:rsid w:val="4C19530C"/>
    <w:rsid w:val="4C1F4A30"/>
    <w:rsid w:val="4C28128E"/>
    <w:rsid w:val="4C2E4748"/>
    <w:rsid w:val="4C310EB0"/>
    <w:rsid w:val="4C311213"/>
    <w:rsid w:val="4C364A67"/>
    <w:rsid w:val="4C3703CD"/>
    <w:rsid w:val="4C3919F3"/>
    <w:rsid w:val="4C3954F1"/>
    <w:rsid w:val="4C3B6EA2"/>
    <w:rsid w:val="4C3F126C"/>
    <w:rsid w:val="4C40062D"/>
    <w:rsid w:val="4C4037A3"/>
    <w:rsid w:val="4C403F79"/>
    <w:rsid w:val="4C404189"/>
    <w:rsid w:val="4C44099D"/>
    <w:rsid w:val="4C453E95"/>
    <w:rsid w:val="4C455C43"/>
    <w:rsid w:val="4C475E14"/>
    <w:rsid w:val="4C4F35BC"/>
    <w:rsid w:val="4C516D59"/>
    <w:rsid w:val="4C54631F"/>
    <w:rsid w:val="4C561BFF"/>
    <w:rsid w:val="4C5916EF"/>
    <w:rsid w:val="4C5D6CDA"/>
    <w:rsid w:val="4C5E0AB3"/>
    <w:rsid w:val="4C5E6D05"/>
    <w:rsid w:val="4C61684E"/>
    <w:rsid w:val="4C63256E"/>
    <w:rsid w:val="4C680376"/>
    <w:rsid w:val="4C6B4F7E"/>
    <w:rsid w:val="4C6F44E8"/>
    <w:rsid w:val="4C716769"/>
    <w:rsid w:val="4C72455F"/>
    <w:rsid w:val="4C7402D7"/>
    <w:rsid w:val="4C760506"/>
    <w:rsid w:val="4C7D362F"/>
    <w:rsid w:val="4C883D82"/>
    <w:rsid w:val="4C8B1B78"/>
    <w:rsid w:val="4C8C12EC"/>
    <w:rsid w:val="4C8D63ED"/>
    <w:rsid w:val="4C8F3363"/>
    <w:rsid w:val="4C926901"/>
    <w:rsid w:val="4C9359CC"/>
    <w:rsid w:val="4C96750D"/>
    <w:rsid w:val="4C983FC5"/>
    <w:rsid w:val="4C9B7155"/>
    <w:rsid w:val="4CA02E7A"/>
    <w:rsid w:val="4CA74208"/>
    <w:rsid w:val="4CAC181F"/>
    <w:rsid w:val="4CAD5597"/>
    <w:rsid w:val="4CB64A77"/>
    <w:rsid w:val="4CB70718"/>
    <w:rsid w:val="4CBB7CB4"/>
    <w:rsid w:val="4CC15875"/>
    <w:rsid w:val="4CC44A4F"/>
    <w:rsid w:val="4CC6281F"/>
    <w:rsid w:val="4CC90623"/>
    <w:rsid w:val="4CC94770"/>
    <w:rsid w:val="4CCA607B"/>
    <w:rsid w:val="4CCC7F23"/>
    <w:rsid w:val="4CCE7334"/>
    <w:rsid w:val="4CD314A1"/>
    <w:rsid w:val="4CD3324F"/>
    <w:rsid w:val="4CD82614"/>
    <w:rsid w:val="4CDD5E7C"/>
    <w:rsid w:val="4CDE345A"/>
    <w:rsid w:val="4CDF628B"/>
    <w:rsid w:val="4CF029F8"/>
    <w:rsid w:val="4CF136D5"/>
    <w:rsid w:val="4CF3744D"/>
    <w:rsid w:val="4CF47669"/>
    <w:rsid w:val="4CFD651E"/>
    <w:rsid w:val="4D017AF0"/>
    <w:rsid w:val="4D017EB1"/>
    <w:rsid w:val="4D027C28"/>
    <w:rsid w:val="4D0553D3"/>
    <w:rsid w:val="4D066599"/>
    <w:rsid w:val="4D07114B"/>
    <w:rsid w:val="4D0A4797"/>
    <w:rsid w:val="4D0E072B"/>
    <w:rsid w:val="4D0E24D9"/>
    <w:rsid w:val="4D1952A4"/>
    <w:rsid w:val="4D1C122D"/>
    <w:rsid w:val="4D205D07"/>
    <w:rsid w:val="4D256418"/>
    <w:rsid w:val="4D2873D7"/>
    <w:rsid w:val="4D2E2B7B"/>
    <w:rsid w:val="4D2F0C0B"/>
    <w:rsid w:val="4D3326F0"/>
    <w:rsid w:val="4D403045"/>
    <w:rsid w:val="4D4536C1"/>
    <w:rsid w:val="4D4C6BF1"/>
    <w:rsid w:val="4D4D495A"/>
    <w:rsid w:val="4D502AF2"/>
    <w:rsid w:val="4D563D91"/>
    <w:rsid w:val="4D5819A6"/>
    <w:rsid w:val="4D5C1497"/>
    <w:rsid w:val="4D6245D3"/>
    <w:rsid w:val="4D653795"/>
    <w:rsid w:val="4D695962"/>
    <w:rsid w:val="4D6B0E39"/>
    <w:rsid w:val="4D6B792C"/>
    <w:rsid w:val="4D6D5069"/>
    <w:rsid w:val="4D743088"/>
    <w:rsid w:val="4D7A7B6F"/>
    <w:rsid w:val="4D7E765F"/>
    <w:rsid w:val="4D8409ED"/>
    <w:rsid w:val="4D8808B6"/>
    <w:rsid w:val="4D8C2F83"/>
    <w:rsid w:val="4D8C33FE"/>
    <w:rsid w:val="4D8F01B0"/>
    <w:rsid w:val="4D916FF6"/>
    <w:rsid w:val="4D946439"/>
    <w:rsid w:val="4D950505"/>
    <w:rsid w:val="4D9549A9"/>
    <w:rsid w:val="4D963E29"/>
    <w:rsid w:val="4D987FF5"/>
    <w:rsid w:val="4D9C1893"/>
    <w:rsid w:val="4D9F3131"/>
    <w:rsid w:val="4D9F75D5"/>
    <w:rsid w:val="4DA30E74"/>
    <w:rsid w:val="4DA92DA8"/>
    <w:rsid w:val="4DAC59F8"/>
    <w:rsid w:val="4DAD3AA0"/>
    <w:rsid w:val="4DAE020B"/>
    <w:rsid w:val="4DB017E2"/>
    <w:rsid w:val="4DB22905"/>
    <w:rsid w:val="4DBB3B00"/>
    <w:rsid w:val="4DBE3EFF"/>
    <w:rsid w:val="4DBE5CAD"/>
    <w:rsid w:val="4DC10EA8"/>
    <w:rsid w:val="4DC25072"/>
    <w:rsid w:val="4DC90E55"/>
    <w:rsid w:val="4DCA75CA"/>
    <w:rsid w:val="4DCB51C5"/>
    <w:rsid w:val="4DCC07AF"/>
    <w:rsid w:val="4DCD5EF0"/>
    <w:rsid w:val="4DD11D11"/>
    <w:rsid w:val="4DD239E9"/>
    <w:rsid w:val="4DD3102D"/>
    <w:rsid w:val="4DD3727F"/>
    <w:rsid w:val="4DD629BF"/>
    <w:rsid w:val="4DD65712"/>
    <w:rsid w:val="4DDA23BB"/>
    <w:rsid w:val="4DDE1A78"/>
    <w:rsid w:val="4DE14D3A"/>
    <w:rsid w:val="4DE401CC"/>
    <w:rsid w:val="4DE4323A"/>
    <w:rsid w:val="4DE65204"/>
    <w:rsid w:val="4DF0398D"/>
    <w:rsid w:val="4DF17184"/>
    <w:rsid w:val="4DF400B5"/>
    <w:rsid w:val="4DF711BF"/>
    <w:rsid w:val="4DF80A94"/>
    <w:rsid w:val="4DFD7989"/>
    <w:rsid w:val="4DFE254E"/>
    <w:rsid w:val="4E0011BA"/>
    <w:rsid w:val="4E002D20"/>
    <w:rsid w:val="4E047438"/>
    <w:rsid w:val="4E050107"/>
    <w:rsid w:val="4E056322"/>
    <w:rsid w:val="4E0631B0"/>
    <w:rsid w:val="4E090103"/>
    <w:rsid w:val="4E111FCB"/>
    <w:rsid w:val="4E121E37"/>
    <w:rsid w:val="4E165AE9"/>
    <w:rsid w:val="4E1F4272"/>
    <w:rsid w:val="4E2373A1"/>
    <w:rsid w:val="4E257ADB"/>
    <w:rsid w:val="4E265601"/>
    <w:rsid w:val="4E306565"/>
    <w:rsid w:val="4E3441C2"/>
    <w:rsid w:val="4E375A60"/>
    <w:rsid w:val="4E451F2B"/>
    <w:rsid w:val="4E486C7C"/>
    <w:rsid w:val="4E4966F7"/>
    <w:rsid w:val="4E4C1D55"/>
    <w:rsid w:val="4E4D5343"/>
    <w:rsid w:val="4E4D7031"/>
    <w:rsid w:val="4E4E3EE6"/>
    <w:rsid w:val="4E50041A"/>
    <w:rsid w:val="4E5A4FDE"/>
    <w:rsid w:val="4E5C46C4"/>
    <w:rsid w:val="4E61488B"/>
    <w:rsid w:val="4E6240F6"/>
    <w:rsid w:val="4E633BD6"/>
    <w:rsid w:val="4E6B6980"/>
    <w:rsid w:val="4E6B74B7"/>
    <w:rsid w:val="4E6C1DDD"/>
    <w:rsid w:val="4E7520E4"/>
    <w:rsid w:val="4E763013"/>
    <w:rsid w:val="4E7773B0"/>
    <w:rsid w:val="4E7D1C38"/>
    <w:rsid w:val="4E7E543D"/>
    <w:rsid w:val="4E872543"/>
    <w:rsid w:val="4E8A7EF1"/>
    <w:rsid w:val="4E8C7B5A"/>
    <w:rsid w:val="4E8F764A"/>
    <w:rsid w:val="4E93713A"/>
    <w:rsid w:val="4E960CC2"/>
    <w:rsid w:val="4E9B0D4A"/>
    <w:rsid w:val="4E9C58C3"/>
    <w:rsid w:val="4E9D08C6"/>
    <w:rsid w:val="4EA12592"/>
    <w:rsid w:val="4EA2112B"/>
    <w:rsid w:val="4EA3747C"/>
    <w:rsid w:val="4EAA4484"/>
    <w:rsid w:val="4EAD5D22"/>
    <w:rsid w:val="4EB42C0C"/>
    <w:rsid w:val="4EB470B0"/>
    <w:rsid w:val="4EBB21ED"/>
    <w:rsid w:val="4EBD41B7"/>
    <w:rsid w:val="4EC15329"/>
    <w:rsid w:val="4EC56BC8"/>
    <w:rsid w:val="4ECE55E1"/>
    <w:rsid w:val="4ECF7A46"/>
    <w:rsid w:val="4ED432AF"/>
    <w:rsid w:val="4ED84587"/>
    <w:rsid w:val="4ED9561D"/>
    <w:rsid w:val="4EDF1751"/>
    <w:rsid w:val="4EE00B5A"/>
    <w:rsid w:val="4EE03060"/>
    <w:rsid w:val="4EE4588E"/>
    <w:rsid w:val="4EE96D5A"/>
    <w:rsid w:val="4EEA2AD2"/>
    <w:rsid w:val="4EED2812"/>
    <w:rsid w:val="4EEF1E97"/>
    <w:rsid w:val="4EF61477"/>
    <w:rsid w:val="4EF7784F"/>
    <w:rsid w:val="4EF828C2"/>
    <w:rsid w:val="4EF90E0F"/>
    <w:rsid w:val="4EFA4BA2"/>
    <w:rsid w:val="4EFD03FA"/>
    <w:rsid w:val="4EFE032C"/>
    <w:rsid w:val="4F005E52"/>
    <w:rsid w:val="4F057E34"/>
    <w:rsid w:val="4F093D37"/>
    <w:rsid w:val="4F0A7007"/>
    <w:rsid w:val="4F1002BF"/>
    <w:rsid w:val="4F110FA8"/>
    <w:rsid w:val="4F112E45"/>
    <w:rsid w:val="4F1162B1"/>
    <w:rsid w:val="4F156272"/>
    <w:rsid w:val="4F1638C7"/>
    <w:rsid w:val="4F18387B"/>
    <w:rsid w:val="4F196F13"/>
    <w:rsid w:val="4F1B2C8C"/>
    <w:rsid w:val="4F2029B1"/>
    <w:rsid w:val="4F20650C"/>
    <w:rsid w:val="4F22401A"/>
    <w:rsid w:val="4F26750A"/>
    <w:rsid w:val="4F271630"/>
    <w:rsid w:val="4F2852AB"/>
    <w:rsid w:val="4F2A4BBE"/>
    <w:rsid w:val="4F343D4D"/>
    <w:rsid w:val="4F4641AC"/>
    <w:rsid w:val="4F466F26"/>
    <w:rsid w:val="4F4B006C"/>
    <w:rsid w:val="4F4C1097"/>
    <w:rsid w:val="4F512B51"/>
    <w:rsid w:val="4F525119"/>
    <w:rsid w:val="4F552641"/>
    <w:rsid w:val="4F55619D"/>
    <w:rsid w:val="4F561F16"/>
    <w:rsid w:val="4F5A044D"/>
    <w:rsid w:val="4F642884"/>
    <w:rsid w:val="4F6463E1"/>
    <w:rsid w:val="4F6911AA"/>
    <w:rsid w:val="4F6B59C1"/>
    <w:rsid w:val="4F6E2D92"/>
    <w:rsid w:val="4F73400C"/>
    <w:rsid w:val="4F74239C"/>
    <w:rsid w:val="4F7B372A"/>
    <w:rsid w:val="4F7C5E20"/>
    <w:rsid w:val="4F802315"/>
    <w:rsid w:val="4F820F5D"/>
    <w:rsid w:val="4F840831"/>
    <w:rsid w:val="4F8E1894"/>
    <w:rsid w:val="4F8E345D"/>
    <w:rsid w:val="4F904905"/>
    <w:rsid w:val="4F93316A"/>
    <w:rsid w:val="4F9C400B"/>
    <w:rsid w:val="4F9E3301"/>
    <w:rsid w:val="4FA64C4B"/>
    <w:rsid w:val="4FAA2183"/>
    <w:rsid w:val="4FAD422B"/>
    <w:rsid w:val="4FC0286E"/>
    <w:rsid w:val="4FC05D98"/>
    <w:rsid w:val="4FC30FBB"/>
    <w:rsid w:val="4FC944EA"/>
    <w:rsid w:val="4FD01CC8"/>
    <w:rsid w:val="4FD035E4"/>
    <w:rsid w:val="4FD17E6F"/>
    <w:rsid w:val="4FD74E04"/>
    <w:rsid w:val="4FD81297"/>
    <w:rsid w:val="4FDA48F5"/>
    <w:rsid w:val="4FE237A9"/>
    <w:rsid w:val="4FE8133B"/>
    <w:rsid w:val="4FE92CD6"/>
    <w:rsid w:val="4FEB4D54"/>
    <w:rsid w:val="4FEE03A0"/>
    <w:rsid w:val="4FEF78FA"/>
    <w:rsid w:val="4FF07700"/>
    <w:rsid w:val="4FF510B4"/>
    <w:rsid w:val="4FF57980"/>
    <w:rsid w:val="4FFB6CDF"/>
    <w:rsid w:val="4FFD05E3"/>
    <w:rsid w:val="50000E1B"/>
    <w:rsid w:val="50024581"/>
    <w:rsid w:val="50031DC9"/>
    <w:rsid w:val="50053627"/>
    <w:rsid w:val="500F0A42"/>
    <w:rsid w:val="501047BA"/>
    <w:rsid w:val="50116E8A"/>
    <w:rsid w:val="50125E3D"/>
    <w:rsid w:val="501567AB"/>
    <w:rsid w:val="50175B49"/>
    <w:rsid w:val="501778F7"/>
    <w:rsid w:val="501A2F43"/>
    <w:rsid w:val="50253C24"/>
    <w:rsid w:val="502838B2"/>
    <w:rsid w:val="50296092"/>
    <w:rsid w:val="502B5150"/>
    <w:rsid w:val="50390CB3"/>
    <w:rsid w:val="5039786D"/>
    <w:rsid w:val="503A5393"/>
    <w:rsid w:val="503B1837"/>
    <w:rsid w:val="503D048D"/>
    <w:rsid w:val="5046047E"/>
    <w:rsid w:val="50461F8A"/>
    <w:rsid w:val="5046503F"/>
    <w:rsid w:val="5048717A"/>
    <w:rsid w:val="504D156B"/>
    <w:rsid w:val="504F0E3F"/>
    <w:rsid w:val="505521CD"/>
    <w:rsid w:val="50566671"/>
    <w:rsid w:val="50575B10"/>
    <w:rsid w:val="5058543D"/>
    <w:rsid w:val="5059611B"/>
    <w:rsid w:val="505C6C0A"/>
    <w:rsid w:val="505E5526"/>
    <w:rsid w:val="505E72D4"/>
    <w:rsid w:val="50611571"/>
    <w:rsid w:val="506239C4"/>
    <w:rsid w:val="506310AF"/>
    <w:rsid w:val="506461C6"/>
    <w:rsid w:val="50681F00"/>
    <w:rsid w:val="506863A4"/>
    <w:rsid w:val="506B7C43"/>
    <w:rsid w:val="506E17A7"/>
    <w:rsid w:val="50716B01"/>
    <w:rsid w:val="50724B35"/>
    <w:rsid w:val="507B7A10"/>
    <w:rsid w:val="507C775A"/>
    <w:rsid w:val="50804090"/>
    <w:rsid w:val="508166BD"/>
    <w:rsid w:val="50830AE8"/>
    <w:rsid w:val="50884351"/>
    <w:rsid w:val="50886B55"/>
    <w:rsid w:val="508C2093"/>
    <w:rsid w:val="5095081C"/>
    <w:rsid w:val="509531FC"/>
    <w:rsid w:val="5099030C"/>
    <w:rsid w:val="509B4084"/>
    <w:rsid w:val="509C604E"/>
    <w:rsid w:val="509E4546"/>
    <w:rsid w:val="50A20D78"/>
    <w:rsid w:val="50A373DC"/>
    <w:rsid w:val="50A62A29"/>
    <w:rsid w:val="50A76ECD"/>
    <w:rsid w:val="50A8054F"/>
    <w:rsid w:val="50AF6900"/>
    <w:rsid w:val="50B40959"/>
    <w:rsid w:val="50B61847"/>
    <w:rsid w:val="50B93970"/>
    <w:rsid w:val="50C335DB"/>
    <w:rsid w:val="50C8299F"/>
    <w:rsid w:val="50C85108"/>
    <w:rsid w:val="50C86E43"/>
    <w:rsid w:val="50CA5AE6"/>
    <w:rsid w:val="50CC248F"/>
    <w:rsid w:val="50D52BFC"/>
    <w:rsid w:val="50D650BC"/>
    <w:rsid w:val="50D85C66"/>
    <w:rsid w:val="50DB18BB"/>
    <w:rsid w:val="50E4012F"/>
    <w:rsid w:val="50E91662"/>
    <w:rsid w:val="50EC6481"/>
    <w:rsid w:val="50ED7825"/>
    <w:rsid w:val="50EE11C2"/>
    <w:rsid w:val="50F5163A"/>
    <w:rsid w:val="510460CD"/>
    <w:rsid w:val="510A120A"/>
    <w:rsid w:val="510F4A72"/>
    <w:rsid w:val="51143E36"/>
    <w:rsid w:val="511B3417"/>
    <w:rsid w:val="511D2CEB"/>
    <w:rsid w:val="511F2F07"/>
    <w:rsid w:val="511F61A8"/>
    <w:rsid w:val="51216C22"/>
    <w:rsid w:val="512324B2"/>
    <w:rsid w:val="5124051D"/>
    <w:rsid w:val="51267992"/>
    <w:rsid w:val="5127608E"/>
    <w:rsid w:val="512F0C70"/>
    <w:rsid w:val="512F1E25"/>
    <w:rsid w:val="513A1AEF"/>
    <w:rsid w:val="514021AB"/>
    <w:rsid w:val="514A5D72"/>
    <w:rsid w:val="514C35D0"/>
    <w:rsid w:val="514D7488"/>
    <w:rsid w:val="5153670D"/>
    <w:rsid w:val="515626A1"/>
    <w:rsid w:val="51581F75"/>
    <w:rsid w:val="515E05A0"/>
    <w:rsid w:val="51606370"/>
    <w:rsid w:val="51622DF4"/>
    <w:rsid w:val="51644DBE"/>
    <w:rsid w:val="516721B8"/>
    <w:rsid w:val="51695F30"/>
    <w:rsid w:val="516E081B"/>
    <w:rsid w:val="517A66F7"/>
    <w:rsid w:val="517B639D"/>
    <w:rsid w:val="5180327A"/>
    <w:rsid w:val="51845CD8"/>
    <w:rsid w:val="51894824"/>
    <w:rsid w:val="518B6393"/>
    <w:rsid w:val="518C39ED"/>
    <w:rsid w:val="518E5997"/>
    <w:rsid w:val="51907961"/>
    <w:rsid w:val="51962A9D"/>
    <w:rsid w:val="519A433C"/>
    <w:rsid w:val="51A11B6E"/>
    <w:rsid w:val="51A46F68"/>
    <w:rsid w:val="51A67184"/>
    <w:rsid w:val="51A74CAA"/>
    <w:rsid w:val="51A84088"/>
    <w:rsid w:val="51A90A23"/>
    <w:rsid w:val="51B26705"/>
    <w:rsid w:val="51B353FD"/>
    <w:rsid w:val="51B86EB8"/>
    <w:rsid w:val="51BA678C"/>
    <w:rsid w:val="51BC1407"/>
    <w:rsid w:val="51BD64F7"/>
    <w:rsid w:val="51C2578A"/>
    <w:rsid w:val="51CC5FB5"/>
    <w:rsid w:val="51D05FAF"/>
    <w:rsid w:val="51D17820"/>
    <w:rsid w:val="51D27F79"/>
    <w:rsid w:val="51D55866"/>
    <w:rsid w:val="51D610EC"/>
    <w:rsid w:val="51D743C0"/>
    <w:rsid w:val="51D84E64"/>
    <w:rsid w:val="51DA0BDC"/>
    <w:rsid w:val="51DB0CC2"/>
    <w:rsid w:val="51DE06B8"/>
    <w:rsid w:val="51DF4F46"/>
    <w:rsid w:val="51DF61F2"/>
    <w:rsid w:val="51E23F34"/>
    <w:rsid w:val="51E47CAD"/>
    <w:rsid w:val="51E8779D"/>
    <w:rsid w:val="51EB103B"/>
    <w:rsid w:val="51F003FF"/>
    <w:rsid w:val="51F53C68"/>
    <w:rsid w:val="51F577C4"/>
    <w:rsid w:val="51F6353C"/>
    <w:rsid w:val="51F7178E"/>
    <w:rsid w:val="51F779E0"/>
    <w:rsid w:val="51FB3309"/>
    <w:rsid w:val="51FF0643"/>
    <w:rsid w:val="5201260D"/>
    <w:rsid w:val="52020133"/>
    <w:rsid w:val="5202401F"/>
    <w:rsid w:val="52043EAB"/>
    <w:rsid w:val="5208399B"/>
    <w:rsid w:val="520A25B0"/>
    <w:rsid w:val="520E6AD8"/>
    <w:rsid w:val="52151C14"/>
    <w:rsid w:val="521560B8"/>
    <w:rsid w:val="52187956"/>
    <w:rsid w:val="52192B0A"/>
    <w:rsid w:val="521F21F3"/>
    <w:rsid w:val="521F6F37"/>
    <w:rsid w:val="522602C5"/>
    <w:rsid w:val="52322221"/>
    <w:rsid w:val="523522B6"/>
    <w:rsid w:val="52352944"/>
    <w:rsid w:val="52383CD0"/>
    <w:rsid w:val="523C056E"/>
    <w:rsid w:val="52417598"/>
    <w:rsid w:val="52495D62"/>
    <w:rsid w:val="52495FB3"/>
    <w:rsid w:val="524D7600"/>
    <w:rsid w:val="524F3750"/>
    <w:rsid w:val="525936A9"/>
    <w:rsid w:val="52601D13"/>
    <w:rsid w:val="52614E59"/>
    <w:rsid w:val="526241AF"/>
    <w:rsid w:val="526302BF"/>
    <w:rsid w:val="526451A8"/>
    <w:rsid w:val="526607F5"/>
    <w:rsid w:val="52691F60"/>
    <w:rsid w:val="526A5741"/>
    <w:rsid w:val="527A41AD"/>
    <w:rsid w:val="527B23BF"/>
    <w:rsid w:val="527E4058"/>
    <w:rsid w:val="52825A68"/>
    <w:rsid w:val="528360A4"/>
    <w:rsid w:val="52880433"/>
    <w:rsid w:val="52880638"/>
    <w:rsid w:val="528B1BF6"/>
    <w:rsid w:val="52927709"/>
    <w:rsid w:val="529B480F"/>
    <w:rsid w:val="529C29EE"/>
    <w:rsid w:val="529E1C09"/>
    <w:rsid w:val="529E3A37"/>
    <w:rsid w:val="529E60AD"/>
    <w:rsid w:val="52A116FA"/>
    <w:rsid w:val="52A82A88"/>
    <w:rsid w:val="52AB07CA"/>
    <w:rsid w:val="52AD5CF4"/>
    <w:rsid w:val="52B00589"/>
    <w:rsid w:val="52B014F7"/>
    <w:rsid w:val="52B633F7"/>
    <w:rsid w:val="52B72BAA"/>
    <w:rsid w:val="52B92EE7"/>
    <w:rsid w:val="52BA5EAA"/>
    <w:rsid w:val="52BF41CD"/>
    <w:rsid w:val="52C014E5"/>
    <w:rsid w:val="52C34BE9"/>
    <w:rsid w:val="52C7209E"/>
    <w:rsid w:val="52CD6993"/>
    <w:rsid w:val="52D9694A"/>
    <w:rsid w:val="52D970E6"/>
    <w:rsid w:val="52DB0880"/>
    <w:rsid w:val="52DB4C0C"/>
    <w:rsid w:val="52DC0984"/>
    <w:rsid w:val="52E9540A"/>
    <w:rsid w:val="52ED2B91"/>
    <w:rsid w:val="52ED75F8"/>
    <w:rsid w:val="52F5015F"/>
    <w:rsid w:val="52FA4EFE"/>
    <w:rsid w:val="52FB705C"/>
    <w:rsid w:val="52FC2DD4"/>
    <w:rsid w:val="53044A80"/>
    <w:rsid w:val="53083527"/>
    <w:rsid w:val="530C4011"/>
    <w:rsid w:val="53114AD1"/>
    <w:rsid w:val="531225F7"/>
    <w:rsid w:val="531C3A96"/>
    <w:rsid w:val="53205058"/>
    <w:rsid w:val="53210AC4"/>
    <w:rsid w:val="53226F6B"/>
    <w:rsid w:val="53285977"/>
    <w:rsid w:val="532F67BC"/>
    <w:rsid w:val="5338205E"/>
    <w:rsid w:val="53395DD6"/>
    <w:rsid w:val="533D14CD"/>
    <w:rsid w:val="533E5713"/>
    <w:rsid w:val="53426A39"/>
    <w:rsid w:val="53456529"/>
    <w:rsid w:val="53481C5D"/>
    <w:rsid w:val="534B1422"/>
    <w:rsid w:val="534D53DE"/>
    <w:rsid w:val="53530C46"/>
    <w:rsid w:val="53607807"/>
    <w:rsid w:val="5361584A"/>
    <w:rsid w:val="536270DB"/>
    <w:rsid w:val="53634C01"/>
    <w:rsid w:val="5364772A"/>
    <w:rsid w:val="536B3120"/>
    <w:rsid w:val="536C5EBC"/>
    <w:rsid w:val="536D31E1"/>
    <w:rsid w:val="53701161"/>
    <w:rsid w:val="537137C2"/>
    <w:rsid w:val="53733096"/>
    <w:rsid w:val="537806AC"/>
    <w:rsid w:val="53782B96"/>
    <w:rsid w:val="537C0582"/>
    <w:rsid w:val="53852DC9"/>
    <w:rsid w:val="5387195E"/>
    <w:rsid w:val="538928BA"/>
    <w:rsid w:val="5391176E"/>
    <w:rsid w:val="53980D4F"/>
    <w:rsid w:val="53986FA1"/>
    <w:rsid w:val="539A15FA"/>
    <w:rsid w:val="539A38B6"/>
    <w:rsid w:val="539B439B"/>
    <w:rsid w:val="539C2D37"/>
    <w:rsid w:val="539C3867"/>
    <w:rsid w:val="539C691D"/>
    <w:rsid w:val="539D45B7"/>
    <w:rsid w:val="53A21BCD"/>
    <w:rsid w:val="53A272A7"/>
    <w:rsid w:val="53A51783"/>
    <w:rsid w:val="53A738FE"/>
    <w:rsid w:val="53A76E27"/>
    <w:rsid w:val="53A86C2D"/>
    <w:rsid w:val="53A92F5C"/>
    <w:rsid w:val="53A94D0A"/>
    <w:rsid w:val="53AB7A78"/>
    <w:rsid w:val="53AC0356"/>
    <w:rsid w:val="53B37937"/>
    <w:rsid w:val="53B51901"/>
    <w:rsid w:val="53B8319F"/>
    <w:rsid w:val="53B97AEB"/>
    <w:rsid w:val="53C103D3"/>
    <w:rsid w:val="53C17B7A"/>
    <w:rsid w:val="53C20FC1"/>
    <w:rsid w:val="53C658BC"/>
    <w:rsid w:val="53C87D15"/>
    <w:rsid w:val="53C94B67"/>
    <w:rsid w:val="53CF4A5C"/>
    <w:rsid w:val="53D22848"/>
    <w:rsid w:val="53D33B35"/>
    <w:rsid w:val="53D77DB9"/>
    <w:rsid w:val="53D855EF"/>
    <w:rsid w:val="53E62F2C"/>
    <w:rsid w:val="53E66E14"/>
    <w:rsid w:val="53E75832"/>
    <w:rsid w:val="53E775E0"/>
    <w:rsid w:val="53ED1605"/>
    <w:rsid w:val="53ED75CC"/>
    <w:rsid w:val="53EE4E13"/>
    <w:rsid w:val="53F12DDC"/>
    <w:rsid w:val="53F43369"/>
    <w:rsid w:val="53F65A75"/>
    <w:rsid w:val="53F7550B"/>
    <w:rsid w:val="53F849D3"/>
    <w:rsid w:val="53F97A84"/>
    <w:rsid w:val="540168F4"/>
    <w:rsid w:val="540208BE"/>
    <w:rsid w:val="54047EF9"/>
    <w:rsid w:val="540630C1"/>
    <w:rsid w:val="540713B7"/>
    <w:rsid w:val="5407197E"/>
    <w:rsid w:val="54085A12"/>
    <w:rsid w:val="54093DF7"/>
    <w:rsid w:val="540A40FC"/>
    <w:rsid w:val="540B1521"/>
    <w:rsid w:val="54176117"/>
    <w:rsid w:val="541B35D1"/>
    <w:rsid w:val="541C16DC"/>
    <w:rsid w:val="541D3002"/>
    <w:rsid w:val="541F0363"/>
    <w:rsid w:val="54205A11"/>
    <w:rsid w:val="54224ABC"/>
    <w:rsid w:val="542720D3"/>
    <w:rsid w:val="542907F9"/>
    <w:rsid w:val="542C1497"/>
    <w:rsid w:val="542D76E9"/>
    <w:rsid w:val="542E0595"/>
    <w:rsid w:val="5435659E"/>
    <w:rsid w:val="543C75C3"/>
    <w:rsid w:val="543D36A4"/>
    <w:rsid w:val="543F741C"/>
    <w:rsid w:val="544113E6"/>
    <w:rsid w:val="54414145"/>
    <w:rsid w:val="54455968"/>
    <w:rsid w:val="544829C9"/>
    <w:rsid w:val="544D38E7"/>
    <w:rsid w:val="544E5F7D"/>
    <w:rsid w:val="545324F3"/>
    <w:rsid w:val="545638DE"/>
    <w:rsid w:val="545729B8"/>
    <w:rsid w:val="545E7ED1"/>
    <w:rsid w:val="546E7D01"/>
    <w:rsid w:val="54703A7A"/>
    <w:rsid w:val="5471223B"/>
    <w:rsid w:val="54715C90"/>
    <w:rsid w:val="54742BFB"/>
    <w:rsid w:val="5479292E"/>
    <w:rsid w:val="54792DC4"/>
    <w:rsid w:val="547A66A6"/>
    <w:rsid w:val="54866DF9"/>
    <w:rsid w:val="54882B71"/>
    <w:rsid w:val="54890353"/>
    <w:rsid w:val="548E4460"/>
    <w:rsid w:val="5492579E"/>
    <w:rsid w:val="54930906"/>
    <w:rsid w:val="5495528E"/>
    <w:rsid w:val="54960F6C"/>
    <w:rsid w:val="54977258"/>
    <w:rsid w:val="54A11688"/>
    <w:rsid w:val="54A3540A"/>
    <w:rsid w:val="54A47786"/>
    <w:rsid w:val="54A61249"/>
    <w:rsid w:val="54A656ED"/>
    <w:rsid w:val="54A7306B"/>
    <w:rsid w:val="54A84FC1"/>
    <w:rsid w:val="54AA0D3A"/>
    <w:rsid w:val="54AB2D04"/>
    <w:rsid w:val="54AE49A2"/>
    <w:rsid w:val="54BB6F43"/>
    <w:rsid w:val="54BF230B"/>
    <w:rsid w:val="54C142D5"/>
    <w:rsid w:val="54C45F7D"/>
    <w:rsid w:val="54C55890"/>
    <w:rsid w:val="54C83B76"/>
    <w:rsid w:val="54CA7B59"/>
    <w:rsid w:val="54CC4FCF"/>
    <w:rsid w:val="54CC5154"/>
    <w:rsid w:val="54CF69F2"/>
    <w:rsid w:val="54D65388"/>
    <w:rsid w:val="54DA7A98"/>
    <w:rsid w:val="54DC7D1A"/>
    <w:rsid w:val="54E1260A"/>
    <w:rsid w:val="54E21BB4"/>
    <w:rsid w:val="54E63D3C"/>
    <w:rsid w:val="54E84A3B"/>
    <w:rsid w:val="54EA7388"/>
    <w:rsid w:val="54EF0E42"/>
    <w:rsid w:val="54F16968"/>
    <w:rsid w:val="54F226E1"/>
    <w:rsid w:val="54F2448F"/>
    <w:rsid w:val="54F53A7A"/>
    <w:rsid w:val="54FA645B"/>
    <w:rsid w:val="55004DFD"/>
    <w:rsid w:val="550146D2"/>
    <w:rsid w:val="550210F1"/>
    <w:rsid w:val="55043940"/>
    <w:rsid w:val="55087B46"/>
    <w:rsid w:val="55104739"/>
    <w:rsid w:val="551072FC"/>
    <w:rsid w:val="5511700B"/>
    <w:rsid w:val="55173EF5"/>
    <w:rsid w:val="551A09AA"/>
    <w:rsid w:val="551E08BC"/>
    <w:rsid w:val="551E5284"/>
    <w:rsid w:val="552031DC"/>
    <w:rsid w:val="55230A2F"/>
    <w:rsid w:val="5523289A"/>
    <w:rsid w:val="55241B5D"/>
    <w:rsid w:val="5528196E"/>
    <w:rsid w:val="55290C6D"/>
    <w:rsid w:val="552D4107"/>
    <w:rsid w:val="552D54C7"/>
    <w:rsid w:val="553244DB"/>
    <w:rsid w:val="55326F81"/>
    <w:rsid w:val="553956EA"/>
    <w:rsid w:val="553B6729"/>
    <w:rsid w:val="553D1BAE"/>
    <w:rsid w:val="55452810"/>
    <w:rsid w:val="554A0159"/>
    <w:rsid w:val="554A067A"/>
    <w:rsid w:val="554C3B9F"/>
    <w:rsid w:val="554D393A"/>
    <w:rsid w:val="554F7B33"/>
    <w:rsid w:val="55521AC9"/>
    <w:rsid w:val="55586AEB"/>
    <w:rsid w:val="55594D02"/>
    <w:rsid w:val="555E1B24"/>
    <w:rsid w:val="555F60C6"/>
    <w:rsid w:val="55627866"/>
    <w:rsid w:val="5563713A"/>
    <w:rsid w:val="55683E45"/>
    <w:rsid w:val="556A04C9"/>
    <w:rsid w:val="556A0EF6"/>
    <w:rsid w:val="556D3021"/>
    <w:rsid w:val="55722296"/>
    <w:rsid w:val="55760C1C"/>
    <w:rsid w:val="557D764F"/>
    <w:rsid w:val="5583104B"/>
    <w:rsid w:val="558A2919"/>
    <w:rsid w:val="558B799F"/>
    <w:rsid w:val="558C7AEC"/>
    <w:rsid w:val="55900262"/>
    <w:rsid w:val="559C0786"/>
    <w:rsid w:val="559F08A4"/>
    <w:rsid w:val="55A51501"/>
    <w:rsid w:val="55A9498D"/>
    <w:rsid w:val="55AA6B17"/>
    <w:rsid w:val="55AF14F9"/>
    <w:rsid w:val="55AF3FD7"/>
    <w:rsid w:val="55B13EB6"/>
    <w:rsid w:val="55B87486"/>
    <w:rsid w:val="55B90195"/>
    <w:rsid w:val="55BB0D24"/>
    <w:rsid w:val="55C0458D"/>
    <w:rsid w:val="55C1776B"/>
    <w:rsid w:val="55C4407D"/>
    <w:rsid w:val="55C61462"/>
    <w:rsid w:val="55C8191C"/>
    <w:rsid w:val="55CC2F32"/>
    <w:rsid w:val="55CD51E6"/>
    <w:rsid w:val="55CE45EF"/>
    <w:rsid w:val="55CE7EA7"/>
    <w:rsid w:val="55D818D6"/>
    <w:rsid w:val="55DB20F6"/>
    <w:rsid w:val="55E16477"/>
    <w:rsid w:val="55E41916"/>
    <w:rsid w:val="55E86AB6"/>
    <w:rsid w:val="55EA2356"/>
    <w:rsid w:val="55F169CD"/>
    <w:rsid w:val="55F5449E"/>
    <w:rsid w:val="55F8221B"/>
    <w:rsid w:val="56024BA5"/>
    <w:rsid w:val="560B1CAC"/>
    <w:rsid w:val="560B7692"/>
    <w:rsid w:val="560E576D"/>
    <w:rsid w:val="56101070"/>
    <w:rsid w:val="56105181"/>
    <w:rsid w:val="56114DE8"/>
    <w:rsid w:val="5612303A"/>
    <w:rsid w:val="56135A2C"/>
    <w:rsid w:val="56136E71"/>
    <w:rsid w:val="561548D9"/>
    <w:rsid w:val="561843C9"/>
    <w:rsid w:val="561B32E9"/>
    <w:rsid w:val="56210428"/>
    <w:rsid w:val="5621502B"/>
    <w:rsid w:val="56261760"/>
    <w:rsid w:val="562C39D0"/>
    <w:rsid w:val="562D148B"/>
    <w:rsid w:val="5632621B"/>
    <w:rsid w:val="563A433F"/>
    <w:rsid w:val="563F375A"/>
    <w:rsid w:val="563F54B2"/>
    <w:rsid w:val="564738F5"/>
    <w:rsid w:val="56480230"/>
    <w:rsid w:val="564927D4"/>
    <w:rsid w:val="564C33E3"/>
    <w:rsid w:val="564D7444"/>
    <w:rsid w:val="564E6F83"/>
    <w:rsid w:val="56521689"/>
    <w:rsid w:val="565A22EB"/>
    <w:rsid w:val="565B1A48"/>
    <w:rsid w:val="56646BDD"/>
    <w:rsid w:val="56680EAC"/>
    <w:rsid w:val="566A0E57"/>
    <w:rsid w:val="56717635"/>
    <w:rsid w:val="56743D30"/>
    <w:rsid w:val="56762BF6"/>
    <w:rsid w:val="56764C4B"/>
    <w:rsid w:val="56793052"/>
    <w:rsid w:val="567D422C"/>
    <w:rsid w:val="568056AC"/>
    <w:rsid w:val="56830A66"/>
    <w:rsid w:val="56835CE6"/>
    <w:rsid w:val="56837A94"/>
    <w:rsid w:val="5684380C"/>
    <w:rsid w:val="56895567"/>
    <w:rsid w:val="56970914"/>
    <w:rsid w:val="569A4274"/>
    <w:rsid w:val="569E667C"/>
    <w:rsid w:val="56A018BD"/>
    <w:rsid w:val="56A0440A"/>
    <w:rsid w:val="56A25A40"/>
    <w:rsid w:val="56A47A0A"/>
    <w:rsid w:val="56A63783"/>
    <w:rsid w:val="56AA0DEE"/>
    <w:rsid w:val="56AB0D99"/>
    <w:rsid w:val="56B0015D"/>
    <w:rsid w:val="56B04601"/>
    <w:rsid w:val="56B22127"/>
    <w:rsid w:val="56BF401E"/>
    <w:rsid w:val="56C105BC"/>
    <w:rsid w:val="56C360E3"/>
    <w:rsid w:val="56C61E97"/>
    <w:rsid w:val="56CE6835"/>
    <w:rsid w:val="56D27CC5"/>
    <w:rsid w:val="56D41A26"/>
    <w:rsid w:val="56D45B12"/>
    <w:rsid w:val="56D5543B"/>
    <w:rsid w:val="56D85CC7"/>
    <w:rsid w:val="56D976B4"/>
    <w:rsid w:val="56DE1CF7"/>
    <w:rsid w:val="56E2111D"/>
    <w:rsid w:val="56E86E41"/>
    <w:rsid w:val="56E93E0E"/>
    <w:rsid w:val="56EA1292"/>
    <w:rsid w:val="56EA18C1"/>
    <w:rsid w:val="56ED13B1"/>
    <w:rsid w:val="56EE3078"/>
    <w:rsid w:val="56FE6A97"/>
    <w:rsid w:val="570109B9"/>
    <w:rsid w:val="570566FB"/>
    <w:rsid w:val="570877D5"/>
    <w:rsid w:val="57087DD5"/>
    <w:rsid w:val="570F2685"/>
    <w:rsid w:val="57102FAD"/>
    <w:rsid w:val="57150C99"/>
    <w:rsid w:val="57155B4A"/>
    <w:rsid w:val="5718516B"/>
    <w:rsid w:val="571B241A"/>
    <w:rsid w:val="57256D9D"/>
    <w:rsid w:val="572648C3"/>
    <w:rsid w:val="572A7F10"/>
    <w:rsid w:val="57305E0A"/>
    <w:rsid w:val="57306328"/>
    <w:rsid w:val="57322F4C"/>
    <w:rsid w:val="5737087F"/>
    <w:rsid w:val="57390153"/>
    <w:rsid w:val="57396CFC"/>
    <w:rsid w:val="573C4609"/>
    <w:rsid w:val="573E39BB"/>
    <w:rsid w:val="57403A2F"/>
    <w:rsid w:val="57405985"/>
    <w:rsid w:val="574249AC"/>
    <w:rsid w:val="574A05B2"/>
    <w:rsid w:val="57517B92"/>
    <w:rsid w:val="57525A8B"/>
    <w:rsid w:val="575431DF"/>
    <w:rsid w:val="57585886"/>
    <w:rsid w:val="575A45D9"/>
    <w:rsid w:val="575A7321"/>
    <w:rsid w:val="575C69E3"/>
    <w:rsid w:val="57603931"/>
    <w:rsid w:val="57635CAF"/>
    <w:rsid w:val="57667597"/>
    <w:rsid w:val="57683FE0"/>
    <w:rsid w:val="576C4722"/>
    <w:rsid w:val="576C6405"/>
    <w:rsid w:val="576C64D8"/>
    <w:rsid w:val="576E4FD5"/>
    <w:rsid w:val="57713D91"/>
    <w:rsid w:val="577363AB"/>
    <w:rsid w:val="577527BF"/>
    <w:rsid w:val="57776ECD"/>
    <w:rsid w:val="57781C71"/>
    <w:rsid w:val="577D0987"/>
    <w:rsid w:val="57805D82"/>
    <w:rsid w:val="57835872"/>
    <w:rsid w:val="578719A8"/>
    <w:rsid w:val="5789732C"/>
    <w:rsid w:val="578A21F9"/>
    <w:rsid w:val="578A2E8A"/>
    <w:rsid w:val="578A4E52"/>
    <w:rsid w:val="579A3366"/>
    <w:rsid w:val="579E4204"/>
    <w:rsid w:val="57A235DE"/>
    <w:rsid w:val="57A37CC2"/>
    <w:rsid w:val="57AA38F5"/>
    <w:rsid w:val="57AC301B"/>
    <w:rsid w:val="57AC591D"/>
    <w:rsid w:val="57AD28EF"/>
    <w:rsid w:val="57B1418D"/>
    <w:rsid w:val="57B43C7D"/>
    <w:rsid w:val="57B63E99"/>
    <w:rsid w:val="57B8376D"/>
    <w:rsid w:val="57BB0F85"/>
    <w:rsid w:val="57C11043"/>
    <w:rsid w:val="57C2639A"/>
    <w:rsid w:val="57C33EC0"/>
    <w:rsid w:val="57C71C02"/>
    <w:rsid w:val="57CF2865"/>
    <w:rsid w:val="57D0251B"/>
    <w:rsid w:val="57D367F9"/>
    <w:rsid w:val="57D80DB6"/>
    <w:rsid w:val="57D86363"/>
    <w:rsid w:val="57D8796C"/>
    <w:rsid w:val="57D936E4"/>
    <w:rsid w:val="57D967A2"/>
    <w:rsid w:val="57DB56AE"/>
    <w:rsid w:val="57DB745C"/>
    <w:rsid w:val="57DE64FB"/>
    <w:rsid w:val="57DE6F4C"/>
    <w:rsid w:val="57E02CC4"/>
    <w:rsid w:val="57E44562"/>
    <w:rsid w:val="57E502DB"/>
    <w:rsid w:val="57E52089"/>
    <w:rsid w:val="57E91B79"/>
    <w:rsid w:val="57E96C92"/>
    <w:rsid w:val="57F86A8A"/>
    <w:rsid w:val="57F87AFA"/>
    <w:rsid w:val="57FA6696"/>
    <w:rsid w:val="58024764"/>
    <w:rsid w:val="58030761"/>
    <w:rsid w:val="58047E04"/>
    <w:rsid w:val="580544D9"/>
    <w:rsid w:val="580744DF"/>
    <w:rsid w:val="580A5CF4"/>
    <w:rsid w:val="580B072C"/>
    <w:rsid w:val="580B5F93"/>
    <w:rsid w:val="580B63A1"/>
    <w:rsid w:val="580F0311"/>
    <w:rsid w:val="58117322"/>
    <w:rsid w:val="58237517"/>
    <w:rsid w:val="582B2191"/>
    <w:rsid w:val="582D0FFC"/>
    <w:rsid w:val="58315BF8"/>
    <w:rsid w:val="583308A6"/>
    <w:rsid w:val="58354DBE"/>
    <w:rsid w:val="58386ADC"/>
    <w:rsid w:val="583A0626"/>
    <w:rsid w:val="583A23D4"/>
    <w:rsid w:val="583A6CC2"/>
    <w:rsid w:val="583C76DF"/>
    <w:rsid w:val="584119B5"/>
    <w:rsid w:val="58452B9E"/>
    <w:rsid w:val="5846521D"/>
    <w:rsid w:val="58474AF1"/>
    <w:rsid w:val="584A6390"/>
    <w:rsid w:val="58524715"/>
    <w:rsid w:val="585316E8"/>
    <w:rsid w:val="5854456A"/>
    <w:rsid w:val="58564D34"/>
    <w:rsid w:val="585A28EC"/>
    <w:rsid w:val="585A2A77"/>
    <w:rsid w:val="585C5545"/>
    <w:rsid w:val="585D60C3"/>
    <w:rsid w:val="585F3F16"/>
    <w:rsid w:val="585F6FDE"/>
    <w:rsid w:val="5861585B"/>
    <w:rsid w:val="586236D9"/>
    <w:rsid w:val="58656B24"/>
    <w:rsid w:val="58690E3A"/>
    <w:rsid w:val="586B3046"/>
    <w:rsid w:val="586B6A32"/>
    <w:rsid w:val="58767185"/>
    <w:rsid w:val="587A4EC7"/>
    <w:rsid w:val="587F6039"/>
    <w:rsid w:val="58801DB1"/>
    <w:rsid w:val="58846427"/>
    <w:rsid w:val="5886386C"/>
    <w:rsid w:val="58865568"/>
    <w:rsid w:val="58873140"/>
    <w:rsid w:val="588875E4"/>
    <w:rsid w:val="588A51F4"/>
    <w:rsid w:val="588B230B"/>
    <w:rsid w:val="588C19F8"/>
    <w:rsid w:val="588E2720"/>
    <w:rsid w:val="588F1C04"/>
    <w:rsid w:val="589046EA"/>
    <w:rsid w:val="58913FBE"/>
    <w:rsid w:val="589246D3"/>
    <w:rsid w:val="58977919"/>
    <w:rsid w:val="5898534D"/>
    <w:rsid w:val="589F66DB"/>
    <w:rsid w:val="58A47853"/>
    <w:rsid w:val="58A82F2D"/>
    <w:rsid w:val="58A85B63"/>
    <w:rsid w:val="58AB5080"/>
    <w:rsid w:val="58AF1ED7"/>
    <w:rsid w:val="58B273B6"/>
    <w:rsid w:val="58B32187"/>
    <w:rsid w:val="58B55EFF"/>
    <w:rsid w:val="58B959EF"/>
    <w:rsid w:val="58BF6D7E"/>
    <w:rsid w:val="58C3686E"/>
    <w:rsid w:val="58C46142"/>
    <w:rsid w:val="58C50E4A"/>
    <w:rsid w:val="58CC429A"/>
    <w:rsid w:val="58D02D39"/>
    <w:rsid w:val="58D1343B"/>
    <w:rsid w:val="58D173B3"/>
    <w:rsid w:val="58D27F81"/>
    <w:rsid w:val="58D5034F"/>
    <w:rsid w:val="58D547E3"/>
    <w:rsid w:val="58D565A1"/>
    <w:rsid w:val="58D6339A"/>
    <w:rsid w:val="58D86244"/>
    <w:rsid w:val="58DE0D33"/>
    <w:rsid w:val="58DF11CE"/>
    <w:rsid w:val="58DF2F7C"/>
    <w:rsid w:val="58E277F5"/>
    <w:rsid w:val="58E32A6C"/>
    <w:rsid w:val="58E660B8"/>
    <w:rsid w:val="58E82F9E"/>
    <w:rsid w:val="58EB1921"/>
    <w:rsid w:val="58EE31BF"/>
    <w:rsid w:val="58EF0A62"/>
    <w:rsid w:val="58F307D5"/>
    <w:rsid w:val="58F40CFE"/>
    <w:rsid w:val="58F436AE"/>
    <w:rsid w:val="58F5454D"/>
    <w:rsid w:val="58F61483"/>
    <w:rsid w:val="58F82CCE"/>
    <w:rsid w:val="58FE1654"/>
    <w:rsid w:val="590925F5"/>
    <w:rsid w:val="590B0A9B"/>
    <w:rsid w:val="590B1FC3"/>
    <w:rsid w:val="590B7297"/>
    <w:rsid w:val="590C7CEE"/>
    <w:rsid w:val="5918076B"/>
    <w:rsid w:val="59193278"/>
    <w:rsid w:val="59197A5B"/>
    <w:rsid w:val="591A513E"/>
    <w:rsid w:val="592324C9"/>
    <w:rsid w:val="59242787"/>
    <w:rsid w:val="59253085"/>
    <w:rsid w:val="592A16CF"/>
    <w:rsid w:val="592D018B"/>
    <w:rsid w:val="592E5916"/>
    <w:rsid w:val="59376F65"/>
    <w:rsid w:val="5939664C"/>
    <w:rsid w:val="593C217C"/>
    <w:rsid w:val="593E5EF4"/>
    <w:rsid w:val="593E7E74"/>
    <w:rsid w:val="594337BC"/>
    <w:rsid w:val="59460EEE"/>
    <w:rsid w:val="5947124D"/>
    <w:rsid w:val="59487C5D"/>
    <w:rsid w:val="594A4899"/>
    <w:rsid w:val="594F2220"/>
    <w:rsid w:val="59505A7A"/>
    <w:rsid w:val="595B0854"/>
    <w:rsid w:val="595C3660"/>
    <w:rsid w:val="596D6B0E"/>
    <w:rsid w:val="59725B9E"/>
    <w:rsid w:val="597464F9"/>
    <w:rsid w:val="59751B5E"/>
    <w:rsid w:val="597520EC"/>
    <w:rsid w:val="5976568E"/>
    <w:rsid w:val="59766937"/>
    <w:rsid w:val="59775960"/>
    <w:rsid w:val="598A2EE8"/>
    <w:rsid w:val="598A738C"/>
    <w:rsid w:val="598B6C60"/>
    <w:rsid w:val="598C4EB2"/>
    <w:rsid w:val="598D656A"/>
    <w:rsid w:val="598F04FE"/>
    <w:rsid w:val="598F37F6"/>
    <w:rsid w:val="59932F39"/>
    <w:rsid w:val="59943D66"/>
    <w:rsid w:val="59952697"/>
    <w:rsid w:val="5999312B"/>
    <w:rsid w:val="599F79BB"/>
    <w:rsid w:val="59A044B9"/>
    <w:rsid w:val="59A47FB3"/>
    <w:rsid w:val="59A529AD"/>
    <w:rsid w:val="59A541C5"/>
    <w:rsid w:val="59AB1257"/>
    <w:rsid w:val="59AC7302"/>
    <w:rsid w:val="59B03B34"/>
    <w:rsid w:val="59B144D1"/>
    <w:rsid w:val="59BA391C"/>
    <w:rsid w:val="59BB2149"/>
    <w:rsid w:val="59BD660D"/>
    <w:rsid w:val="59BE0DE3"/>
    <w:rsid w:val="59BE36AB"/>
    <w:rsid w:val="59C02DAD"/>
    <w:rsid w:val="59C208D3"/>
    <w:rsid w:val="59C7413C"/>
    <w:rsid w:val="59CA59DA"/>
    <w:rsid w:val="59CB40F1"/>
    <w:rsid w:val="59CC281A"/>
    <w:rsid w:val="59D46859"/>
    <w:rsid w:val="59D8488F"/>
    <w:rsid w:val="59DB7BE7"/>
    <w:rsid w:val="59DE3233"/>
    <w:rsid w:val="59E40730"/>
    <w:rsid w:val="59E52362"/>
    <w:rsid w:val="59E53D17"/>
    <w:rsid w:val="59ED28F2"/>
    <w:rsid w:val="59EE16C8"/>
    <w:rsid w:val="59F64A21"/>
    <w:rsid w:val="59FB37A8"/>
    <w:rsid w:val="59FB6D28"/>
    <w:rsid w:val="5A025274"/>
    <w:rsid w:val="5A04694A"/>
    <w:rsid w:val="5A050155"/>
    <w:rsid w:val="5A0A4028"/>
    <w:rsid w:val="5A0E0E81"/>
    <w:rsid w:val="5A1153B7"/>
    <w:rsid w:val="5A121D1E"/>
    <w:rsid w:val="5A1349D1"/>
    <w:rsid w:val="5A151EB1"/>
    <w:rsid w:val="5A1924BD"/>
    <w:rsid w:val="5A1B5F64"/>
    <w:rsid w:val="5A2275C4"/>
    <w:rsid w:val="5A2425D4"/>
    <w:rsid w:val="5A267D74"/>
    <w:rsid w:val="5A273691"/>
    <w:rsid w:val="5A2B71AE"/>
    <w:rsid w:val="5A2E5F69"/>
    <w:rsid w:val="5A2F6AF7"/>
    <w:rsid w:val="5A310538"/>
    <w:rsid w:val="5A34505B"/>
    <w:rsid w:val="5A360F03"/>
    <w:rsid w:val="5A361E12"/>
    <w:rsid w:val="5A364314"/>
    <w:rsid w:val="5A3706EE"/>
    <w:rsid w:val="5A3E2623"/>
    <w:rsid w:val="5A461504"/>
    <w:rsid w:val="5A473791"/>
    <w:rsid w:val="5A49172B"/>
    <w:rsid w:val="5A494B51"/>
    <w:rsid w:val="5A4958D6"/>
    <w:rsid w:val="5A4A0EA7"/>
    <w:rsid w:val="5A4A4453"/>
    <w:rsid w:val="5A53777D"/>
    <w:rsid w:val="5A586636"/>
    <w:rsid w:val="5A594B73"/>
    <w:rsid w:val="5A5963A4"/>
    <w:rsid w:val="5A5A5B18"/>
    <w:rsid w:val="5A5B2AD6"/>
    <w:rsid w:val="5A647BDD"/>
    <w:rsid w:val="5A6507F2"/>
    <w:rsid w:val="5A72269D"/>
    <w:rsid w:val="5A751DEA"/>
    <w:rsid w:val="5A753406"/>
    <w:rsid w:val="5A76552B"/>
    <w:rsid w:val="5A771D26"/>
    <w:rsid w:val="5A79496A"/>
    <w:rsid w:val="5A8042EB"/>
    <w:rsid w:val="5A851901"/>
    <w:rsid w:val="5A863C94"/>
    <w:rsid w:val="5A865020"/>
    <w:rsid w:val="5A867B53"/>
    <w:rsid w:val="5A89319F"/>
    <w:rsid w:val="5A8C4992"/>
    <w:rsid w:val="5A8C7E40"/>
    <w:rsid w:val="5A93401E"/>
    <w:rsid w:val="5A940D65"/>
    <w:rsid w:val="5A9F6E67"/>
    <w:rsid w:val="5AA219DE"/>
    <w:rsid w:val="5AA566D8"/>
    <w:rsid w:val="5AA56946"/>
    <w:rsid w:val="5AAE70AA"/>
    <w:rsid w:val="5AB04BD0"/>
    <w:rsid w:val="5AB0697E"/>
    <w:rsid w:val="5AB20948"/>
    <w:rsid w:val="5AB613E3"/>
    <w:rsid w:val="5AB67D0C"/>
    <w:rsid w:val="5ABC1339"/>
    <w:rsid w:val="5ABC17C7"/>
    <w:rsid w:val="5ABD109B"/>
    <w:rsid w:val="5ABE758F"/>
    <w:rsid w:val="5ABE7EC5"/>
    <w:rsid w:val="5ABF6477"/>
    <w:rsid w:val="5AC93EE4"/>
    <w:rsid w:val="5ACB57B0"/>
    <w:rsid w:val="5ACC581E"/>
    <w:rsid w:val="5ACC7530"/>
    <w:rsid w:val="5ACD39D4"/>
    <w:rsid w:val="5AD00DCE"/>
    <w:rsid w:val="5AD030A7"/>
    <w:rsid w:val="5AD80637"/>
    <w:rsid w:val="5ADC7773"/>
    <w:rsid w:val="5AE43BF7"/>
    <w:rsid w:val="5AE66844"/>
    <w:rsid w:val="5AE8436A"/>
    <w:rsid w:val="5AE91E90"/>
    <w:rsid w:val="5AE96334"/>
    <w:rsid w:val="5AEB0ABF"/>
    <w:rsid w:val="5AF0321E"/>
    <w:rsid w:val="5AF26F96"/>
    <w:rsid w:val="5AF54CD9"/>
    <w:rsid w:val="5AF70A51"/>
    <w:rsid w:val="5AF80325"/>
    <w:rsid w:val="5AFA409D"/>
    <w:rsid w:val="5AFA67D1"/>
    <w:rsid w:val="5AFD593B"/>
    <w:rsid w:val="5B0311A3"/>
    <w:rsid w:val="5B04019A"/>
    <w:rsid w:val="5B0D5B7E"/>
    <w:rsid w:val="5B0E7B48"/>
    <w:rsid w:val="5B1038C0"/>
    <w:rsid w:val="5B106CEA"/>
    <w:rsid w:val="5B156FBD"/>
    <w:rsid w:val="5B1D2007"/>
    <w:rsid w:val="5B22711E"/>
    <w:rsid w:val="5B2335F4"/>
    <w:rsid w:val="5B256A6B"/>
    <w:rsid w:val="5B266C40"/>
    <w:rsid w:val="5B294982"/>
    <w:rsid w:val="5B2B7B34"/>
    <w:rsid w:val="5B3279E4"/>
    <w:rsid w:val="5B340651"/>
    <w:rsid w:val="5B3A6DF0"/>
    <w:rsid w:val="5B3E2C55"/>
    <w:rsid w:val="5B417F1E"/>
    <w:rsid w:val="5B432AC3"/>
    <w:rsid w:val="5B442B97"/>
    <w:rsid w:val="5B4622EF"/>
    <w:rsid w:val="5B470078"/>
    <w:rsid w:val="5B49382A"/>
    <w:rsid w:val="5B4A3C28"/>
    <w:rsid w:val="5B4B66A7"/>
    <w:rsid w:val="5B542418"/>
    <w:rsid w:val="5B57504B"/>
    <w:rsid w:val="5B58092E"/>
    <w:rsid w:val="5B5901E3"/>
    <w:rsid w:val="5B5B0FE0"/>
    <w:rsid w:val="5B5E0F00"/>
    <w:rsid w:val="5B6245B1"/>
    <w:rsid w:val="5B650774"/>
    <w:rsid w:val="5B6836FC"/>
    <w:rsid w:val="5B6A1223"/>
    <w:rsid w:val="5B6F2CD4"/>
    <w:rsid w:val="5B735536"/>
    <w:rsid w:val="5B74028D"/>
    <w:rsid w:val="5B752786"/>
    <w:rsid w:val="5B7B471F"/>
    <w:rsid w:val="5B7C4DA2"/>
    <w:rsid w:val="5B7F45A2"/>
    <w:rsid w:val="5B800A46"/>
    <w:rsid w:val="5B801D35"/>
    <w:rsid w:val="5B85605C"/>
    <w:rsid w:val="5B857E0A"/>
    <w:rsid w:val="5B86769A"/>
    <w:rsid w:val="5B884B8B"/>
    <w:rsid w:val="5B8E4ED9"/>
    <w:rsid w:val="5B8E6CC3"/>
    <w:rsid w:val="5B904A5E"/>
    <w:rsid w:val="5B920779"/>
    <w:rsid w:val="5B955CFF"/>
    <w:rsid w:val="5B97389B"/>
    <w:rsid w:val="5B991D5C"/>
    <w:rsid w:val="5B995664"/>
    <w:rsid w:val="5B9B13DC"/>
    <w:rsid w:val="5BA06984"/>
    <w:rsid w:val="5BA20303"/>
    <w:rsid w:val="5BA8244D"/>
    <w:rsid w:val="5BAB6B93"/>
    <w:rsid w:val="5BAC7D91"/>
    <w:rsid w:val="5BB01611"/>
    <w:rsid w:val="5BB029AE"/>
    <w:rsid w:val="5BB4249E"/>
    <w:rsid w:val="5BB46942"/>
    <w:rsid w:val="5BB71F8E"/>
    <w:rsid w:val="5BB73290"/>
    <w:rsid w:val="5BB96F42"/>
    <w:rsid w:val="5BBE639B"/>
    <w:rsid w:val="5BCC02DA"/>
    <w:rsid w:val="5BD112A2"/>
    <w:rsid w:val="5BD40D92"/>
    <w:rsid w:val="5BDB3ECE"/>
    <w:rsid w:val="5BDD5BB1"/>
    <w:rsid w:val="5BE2525D"/>
    <w:rsid w:val="5BE477D3"/>
    <w:rsid w:val="5BE765B0"/>
    <w:rsid w:val="5BE80399"/>
    <w:rsid w:val="5BEF44F6"/>
    <w:rsid w:val="5BF1724E"/>
    <w:rsid w:val="5BF94355"/>
    <w:rsid w:val="5BFD3832"/>
    <w:rsid w:val="5BFE196B"/>
    <w:rsid w:val="5BFF3339"/>
    <w:rsid w:val="5C003935"/>
    <w:rsid w:val="5C0351D3"/>
    <w:rsid w:val="5C036EF9"/>
    <w:rsid w:val="5C063662"/>
    <w:rsid w:val="5C090A3C"/>
    <w:rsid w:val="5C0A5F69"/>
    <w:rsid w:val="5C115B42"/>
    <w:rsid w:val="5C1318BA"/>
    <w:rsid w:val="5C166CB5"/>
    <w:rsid w:val="5C187B45"/>
    <w:rsid w:val="5C1949F7"/>
    <w:rsid w:val="5C1B4497"/>
    <w:rsid w:val="5C1C4B08"/>
    <w:rsid w:val="5C1C6445"/>
    <w:rsid w:val="5C1D6403"/>
    <w:rsid w:val="5C1E13B0"/>
    <w:rsid w:val="5C275E87"/>
    <w:rsid w:val="5C2921BD"/>
    <w:rsid w:val="5C2B39D4"/>
    <w:rsid w:val="5C2F4E74"/>
    <w:rsid w:val="5C31448F"/>
    <w:rsid w:val="5C3642AB"/>
    <w:rsid w:val="5C384E7D"/>
    <w:rsid w:val="5C393362"/>
    <w:rsid w:val="5C3A5325"/>
    <w:rsid w:val="5C3A6E47"/>
    <w:rsid w:val="5C3B2BBF"/>
    <w:rsid w:val="5C3C317D"/>
    <w:rsid w:val="5C410A75"/>
    <w:rsid w:val="5C415B25"/>
    <w:rsid w:val="5C425CFC"/>
    <w:rsid w:val="5C4668EC"/>
    <w:rsid w:val="5C471D05"/>
    <w:rsid w:val="5C473312"/>
    <w:rsid w:val="5C4750C0"/>
    <w:rsid w:val="5C480E38"/>
    <w:rsid w:val="5C4C3692"/>
    <w:rsid w:val="5C4F63E0"/>
    <w:rsid w:val="5C537F09"/>
    <w:rsid w:val="5C543691"/>
    <w:rsid w:val="5C5B0B6B"/>
    <w:rsid w:val="5C5E240A"/>
    <w:rsid w:val="5C5F68AD"/>
    <w:rsid w:val="5C666A3C"/>
    <w:rsid w:val="5C6921EC"/>
    <w:rsid w:val="5C69439E"/>
    <w:rsid w:val="5C6A0DAE"/>
    <w:rsid w:val="5C6D2969"/>
    <w:rsid w:val="5C6E719A"/>
    <w:rsid w:val="5C7031D6"/>
    <w:rsid w:val="5C734262"/>
    <w:rsid w:val="5C7346DF"/>
    <w:rsid w:val="5C7C2F83"/>
    <w:rsid w:val="5C7C7666"/>
    <w:rsid w:val="5C800A73"/>
    <w:rsid w:val="5C8345EE"/>
    <w:rsid w:val="5C865489"/>
    <w:rsid w:val="5C8956D8"/>
    <w:rsid w:val="5C8A31FF"/>
    <w:rsid w:val="5C8C0757"/>
    <w:rsid w:val="5C8D22CE"/>
    <w:rsid w:val="5C967DF5"/>
    <w:rsid w:val="5C9C2561"/>
    <w:rsid w:val="5C9D16DC"/>
    <w:rsid w:val="5C9E4397"/>
    <w:rsid w:val="5C9F0368"/>
    <w:rsid w:val="5CA15C2B"/>
    <w:rsid w:val="5CA24B14"/>
    <w:rsid w:val="5CAA564F"/>
    <w:rsid w:val="5CAD5DC7"/>
    <w:rsid w:val="5CAE513F"/>
    <w:rsid w:val="5CB0535B"/>
    <w:rsid w:val="5CB70498"/>
    <w:rsid w:val="5CBD1826"/>
    <w:rsid w:val="5CC20BEA"/>
    <w:rsid w:val="5CC42BB4"/>
    <w:rsid w:val="5CC901CB"/>
    <w:rsid w:val="5CC91F79"/>
    <w:rsid w:val="5CC93458"/>
    <w:rsid w:val="5CC93D27"/>
    <w:rsid w:val="5CCB3F43"/>
    <w:rsid w:val="5CD821BC"/>
    <w:rsid w:val="5CDA369A"/>
    <w:rsid w:val="5CDB7082"/>
    <w:rsid w:val="5CE2128D"/>
    <w:rsid w:val="5CE24DE9"/>
    <w:rsid w:val="5CE600A7"/>
    <w:rsid w:val="5CE80805"/>
    <w:rsid w:val="5CEC5C67"/>
    <w:rsid w:val="5CED6664"/>
    <w:rsid w:val="5CF3349A"/>
    <w:rsid w:val="5CF353A4"/>
    <w:rsid w:val="5CF70B75"/>
    <w:rsid w:val="5CFA65D6"/>
    <w:rsid w:val="5CFD10C2"/>
    <w:rsid w:val="5CFD7E74"/>
    <w:rsid w:val="5D011713"/>
    <w:rsid w:val="5D015BB7"/>
    <w:rsid w:val="5D062910"/>
    <w:rsid w:val="5D072AA1"/>
    <w:rsid w:val="5D080CF3"/>
    <w:rsid w:val="5D0D450D"/>
    <w:rsid w:val="5D0D4F00"/>
    <w:rsid w:val="5D0E1220"/>
    <w:rsid w:val="5D0E5BDE"/>
    <w:rsid w:val="5D111312"/>
    <w:rsid w:val="5D136050"/>
    <w:rsid w:val="5D145459"/>
    <w:rsid w:val="5D1464F0"/>
    <w:rsid w:val="5D153410"/>
    <w:rsid w:val="5D1A27D4"/>
    <w:rsid w:val="5D1D11BC"/>
    <w:rsid w:val="5D202983"/>
    <w:rsid w:val="5D211DB5"/>
    <w:rsid w:val="5D231DDF"/>
    <w:rsid w:val="5D243653"/>
    <w:rsid w:val="5D284EF1"/>
    <w:rsid w:val="5D296EBB"/>
    <w:rsid w:val="5D2B2E5F"/>
    <w:rsid w:val="5D2E5EA2"/>
    <w:rsid w:val="5D3A2E77"/>
    <w:rsid w:val="5D3A69D3"/>
    <w:rsid w:val="5D3C099D"/>
    <w:rsid w:val="5D3F223B"/>
    <w:rsid w:val="5D40378D"/>
    <w:rsid w:val="5D4635C9"/>
    <w:rsid w:val="5D465377"/>
    <w:rsid w:val="5D485594"/>
    <w:rsid w:val="5D4E27FB"/>
    <w:rsid w:val="5D504448"/>
    <w:rsid w:val="5D5759CA"/>
    <w:rsid w:val="5D5C4EF5"/>
    <w:rsid w:val="5D5D03BC"/>
    <w:rsid w:val="5D5E1A9C"/>
    <w:rsid w:val="5D645E2F"/>
    <w:rsid w:val="5D663C6C"/>
    <w:rsid w:val="5D665A1A"/>
    <w:rsid w:val="5D6C2B99"/>
    <w:rsid w:val="5D72779D"/>
    <w:rsid w:val="5D741AB3"/>
    <w:rsid w:val="5D746389"/>
    <w:rsid w:val="5D7A4DA1"/>
    <w:rsid w:val="5D7C348F"/>
    <w:rsid w:val="5D7F5206"/>
    <w:rsid w:val="5D83481E"/>
    <w:rsid w:val="5D856A17"/>
    <w:rsid w:val="5D887B7A"/>
    <w:rsid w:val="5D8B2B99"/>
    <w:rsid w:val="5D8B33B9"/>
    <w:rsid w:val="5D983CCE"/>
    <w:rsid w:val="5D9967ED"/>
    <w:rsid w:val="5D9A7B05"/>
    <w:rsid w:val="5D9D3BE1"/>
    <w:rsid w:val="5D9F2CDA"/>
    <w:rsid w:val="5DA35DEF"/>
    <w:rsid w:val="5DA36C6E"/>
    <w:rsid w:val="5DA4554F"/>
    <w:rsid w:val="5DA551E3"/>
    <w:rsid w:val="5DAC55F0"/>
    <w:rsid w:val="5DAD4F7F"/>
    <w:rsid w:val="5DAE005A"/>
    <w:rsid w:val="5DB00FE8"/>
    <w:rsid w:val="5DB22A2E"/>
    <w:rsid w:val="5DB46785"/>
    <w:rsid w:val="5DBB2413"/>
    <w:rsid w:val="5DBB5D65"/>
    <w:rsid w:val="5DBC1ADE"/>
    <w:rsid w:val="5DBD517C"/>
    <w:rsid w:val="5DC015CE"/>
    <w:rsid w:val="5DC36485"/>
    <w:rsid w:val="5DD0233C"/>
    <w:rsid w:val="5DD12FD7"/>
    <w:rsid w:val="5DD46E27"/>
    <w:rsid w:val="5DD76471"/>
    <w:rsid w:val="5DD913BA"/>
    <w:rsid w:val="5DDB6408"/>
    <w:rsid w:val="5DDC5CDC"/>
    <w:rsid w:val="5DDE7CA6"/>
    <w:rsid w:val="5DE27796"/>
    <w:rsid w:val="5DE84681"/>
    <w:rsid w:val="5DED1C97"/>
    <w:rsid w:val="5DF44B66"/>
    <w:rsid w:val="5DF64FF0"/>
    <w:rsid w:val="5DFC1EDA"/>
    <w:rsid w:val="5DFD6560"/>
    <w:rsid w:val="5DFD6725"/>
    <w:rsid w:val="5E0314BA"/>
    <w:rsid w:val="5E033269"/>
    <w:rsid w:val="5E036BB0"/>
    <w:rsid w:val="5E053485"/>
    <w:rsid w:val="5E0A0A9B"/>
    <w:rsid w:val="5E0C02C8"/>
    <w:rsid w:val="5E0D11CD"/>
    <w:rsid w:val="5E0D40E7"/>
    <w:rsid w:val="5E0E701B"/>
    <w:rsid w:val="5E172DD2"/>
    <w:rsid w:val="5E1A6E9C"/>
    <w:rsid w:val="5E1C5F33"/>
    <w:rsid w:val="5E1C6548"/>
    <w:rsid w:val="5E1D5A4E"/>
    <w:rsid w:val="5E2002BE"/>
    <w:rsid w:val="5E231B5D"/>
    <w:rsid w:val="5E26068E"/>
    <w:rsid w:val="5E2E21CB"/>
    <w:rsid w:val="5E321B48"/>
    <w:rsid w:val="5E39312E"/>
    <w:rsid w:val="5E394EDC"/>
    <w:rsid w:val="5E451653"/>
    <w:rsid w:val="5E495699"/>
    <w:rsid w:val="5E4B6588"/>
    <w:rsid w:val="5E4D2736"/>
    <w:rsid w:val="5E533298"/>
    <w:rsid w:val="5E540219"/>
    <w:rsid w:val="5E552C6A"/>
    <w:rsid w:val="5E5B30A5"/>
    <w:rsid w:val="5E5B4E53"/>
    <w:rsid w:val="5E5C0A2E"/>
    <w:rsid w:val="5E5E4943"/>
    <w:rsid w:val="5E6141E5"/>
    <w:rsid w:val="5E6324D6"/>
    <w:rsid w:val="5E653F23"/>
    <w:rsid w:val="5E671A49"/>
    <w:rsid w:val="5E672217"/>
    <w:rsid w:val="5E6B4AD3"/>
    <w:rsid w:val="5E6C52B2"/>
    <w:rsid w:val="5E6E2E7C"/>
    <w:rsid w:val="5E7056F4"/>
    <w:rsid w:val="5E736640"/>
    <w:rsid w:val="5E756369"/>
    <w:rsid w:val="5E7B786C"/>
    <w:rsid w:val="5E821C62"/>
    <w:rsid w:val="5E83582A"/>
    <w:rsid w:val="5E8E5855"/>
    <w:rsid w:val="5E996CE3"/>
    <w:rsid w:val="5E9A61CA"/>
    <w:rsid w:val="5E9B6682"/>
    <w:rsid w:val="5E9F11E3"/>
    <w:rsid w:val="5EA362A4"/>
    <w:rsid w:val="5EA43BD4"/>
    <w:rsid w:val="5EA54320"/>
    <w:rsid w:val="5EAA2C55"/>
    <w:rsid w:val="5EAA5DDA"/>
    <w:rsid w:val="5EAA5E8C"/>
    <w:rsid w:val="5EAB402C"/>
    <w:rsid w:val="5EAC2D9A"/>
    <w:rsid w:val="5EAE1426"/>
    <w:rsid w:val="5EAF2683"/>
    <w:rsid w:val="5EB822A5"/>
    <w:rsid w:val="5EB8251C"/>
    <w:rsid w:val="5EBA0657"/>
    <w:rsid w:val="5EBA49D2"/>
    <w:rsid w:val="5EBB770D"/>
    <w:rsid w:val="5EBB7FE7"/>
    <w:rsid w:val="5EC56C5D"/>
    <w:rsid w:val="5ECA6DB4"/>
    <w:rsid w:val="5ECB022A"/>
    <w:rsid w:val="5ECC3FA2"/>
    <w:rsid w:val="5ECE2C43"/>
    <w:rsid w:val="5ED54776"/>
    <w:rsid w:val="5EDB0E20"/>
    <w:rsid w:val="5EDD0749"/>
    <w:rsid w:val="5EE44E48"/>
    <w:rsid w:val="5EE906B0"/>
    <w:rsid w:val="5EF01D9F"/>
    <w:rsid w:val="5EF05EE3"/>
    <w:rsid w:val="5EF54F49"/>
    <w:rsid w:val="5EFE033F"/>
    <w:rsid w:val="5F0454EA"/>
    <w:rsid w:val="5F08411E"/>
    <w:rsid w:val="5F0C439F"/>
    <w:rsid w:val="5F0E6369"/>
    <w:rsid w:val="5F1020E1"/>
    <w:rsid w:val="5F13572D"/>
    <w:rsid w:val="5F1A4D0E"/>
    <w:rsid w:val="5F1C0A86"/>
    <w:rsid w:val="5F1D528A"/>
    <w:rsid w:val="5F2142EE"/>
    <w:rsid w:val="5F21609C"/>
    <w:rsid w:val="5F216515"/>
    <w:rsid w:val="5F2403CD"/>
    <w:rsid w:val="5F2466BD"/>
    <w:rsid w:val="5F256B29"/>
    <w:rsid w:val="5F25721D"/>
    <w:rsid w:val="5F2D76BD"/>
    <w:rsid w:val="5F30008D"/>
    <w:rsid w:val="5F313E05"/>
    <w:rsid w:val="5F3629B4"/>
    <w:rsid w:val="5F381638"/>
    <w:rsid w:val="5F3B6E50"/>
    <w:rsid w:val="5F3E25A9"/>
    <w:rsid w:val="5F3E6C4E"/>
    <w:rsid w:val="5F426012"/>
    <w:rsid w:val="5F450BEF"/>
    <w:rsid w:val="5F463D55"/>
    <w:rsid w:val="5F465B03"/>
    <w:rsid w:val="5F4928E4"/>
    <w:rsid w:val="5F4A0AB9"/>
    <w:rsid w:val="5F4D6E91"/>
    <w:rsid w:val="5F4F0E5B"/>
    <w:rsid w:val="5F56256F"/>
    <w:rsid w:val="5F5A0C98"/>
    <w:rsid w:val="5F5D0D5A"/>
    <w:rsid w:val="5F5D45AC"/>
    <w:rsid w:val="5F5E5886"/>
    <w:rsid w:val="5F5F1938"/>
    <w:rsid w:val="5F630463"/>
    <w:rsid w:val="5F6358F8"/>
    <w:rsid w:val="5F64242D"/>
    <w:rsid w:val="5F6B0B31"/>
    <w:rsid w:val="5F6B37BB"/>
    <w:rsid w:val="5F6F7C33"/>
    <w:rsid w:val="5F7408C2"/>
    <w:rsid w:val="5F746235"/>
    <w:rsid w:val="5F7637F7"/>
    <w:rsid w:val="5F7A19F5"/>
    <w:rsid w:val="5F7E34EF"/>
    <w:rsid w:val="5F806A13"/>
    <w:rsid w:val="5F840C85"/>
    <w:rsid w:val="5F88611B"/>
    <w:rsid w:val="5F887EC9"/>
    <w:rsid w:val="5F8968E7"/>
    <w:rsid w:val="5F8D6FD6"/>
    <w:rsid w:val="5F8E28F9"/>
    <w:rsid w:val="5F8E3006"/>
    <w:rsid w:val="5F920D48"/>
    <w:rsid w:val="5F944AC0"/>
    <w:rsid w:val="5F9525E6"/>
    <w:rsid w:val="5F9573DD"/>
    <w:rsid w:val="5F962B08"/>
    <w:rsid w:val="5F9A5BDF"/>
    <w:rsid w:val="5F9C5B28"/>
    <w:rsid w:val="5F9F3465"/>
    <w:rsid w:val="5FA10F8B"/>
    <w:rsid w:val="5FA6034F"/>
    <w:rsid w:val="5FAB4F66"/>
    <w:rsid w:val="5FAF36A8"/>
    <w:rsid w:val="5FB24F46"/>
    <w:rsid w:val="5FB505B7"/>
    <w:rsid w:val="5FB55B8B"/>
    <w:rsid w:val="5FB7255D"/>
    <w:rsid w:val="5FBC7B73"/>
    <w:rsid w:val="5FBD781D"/>
    <w:rsid w:val="5FC25337"/>
    <w:rsid w:val="5FC37153"/>
    <w:rsid w:val="5FC41398"/>
    <w:rsid w:val="5FC66ED8"/>
    <w:rsid w:val="5FC811A9"/>
    <w:rsid w:val="5FCD3B2E"/>
    <w:rsid w:val="5FD0793B"/>
    <w:rsid w:val="5FD32EC7"/>
    <w:rsid w:val="5FD515A2"/>
    <w:rsid w:val="5FDD6CEA"/>
    <w:rsid w:val="5FDF108A"/>
    <w:rsid w:val="5FE33F7F"/>
    <w:rsid w:val="5FE80968"/>
    <w:rsid w:val="5FED260C"/>
    <w:rsid w:val="5FF05A6E"/>
    <w:rsid w:val="5FFC0099"/>
    <w:rsid w:val="60001041"/>
    <w:rsid w:val="60004B7C"/>
    <w:rsid w:val="600612E1"/>
    <w:rsid w:val="60063D1C"/>
    <w:rsid w:val="600C1E97"/>
    <w:rsid w:val="60123C37"/>
    <w:rsid w:val="601A2EBA"/>
    <w:rsid w:val="602120CC"/>
    <w:rsid w:val="60213E7A"/>
    <w:rsid w:val="6028345A"/>
    <w:rsid w:val="602963A1"/>
    <w:rsid w:val="602E62B4"/>
    <w:rsid w:val="60317B12"/>
    <w:rsid w:val="60357728"/>
    <w:rsid w:val="603616BA"/>
    <w:rsid w:val="603D50AE"/>
    <w:rsid w:val="603F50A0"/>
    <w:rsid w:val="604007A4"/>
    <w:rsid w:val="6042276E"/>
    <w:rsid w:val="60430294"/>
    <w:rsid w:val="60432529"/>
    <w:rsid w:val="60483AFC"/>
    <w:rsid w:val="60487659"/>
    <w:rsid w:val="60494196"/>
    <w:rsid w:val="6049788B"/>
    <w:rsid w:val="604C0FCC"/>
    <w:rsid w:val="604C2119"/>
    <w:rsid w:val="60583D40"/>
    <w:rsid w:val="605B3830"/>
    <w:rsid w:val="605E6E7C"/>
    <w:rsid w:val="605E7C94"/>
    <w:rsid w:val="6065645C"/>
    <w:rsid w:val="606C1599"/>
    <w:rsid w:val="606C3347"/>
    <w:rsid w:val="607255FB"/>
    <w:rsid w:val="60736FA8"/>
    <w:rsid w:val="607641C6"/>
    <w:rsid w:val="607831E2"/>
    <w:rsid w:val="607A6F18"/>
    <w:rsid w:val="607E07E1"/>
    <w:rsid w:val="607E5B6C"/>
    <w:rsid w:val="60805044"/>
    <w:rsid w:val="6083498A"/>
    <w:rsid w:val="60870181"/>
    <w:rsid w:val="608869FD"/>
    <w:rsid w:val="608C0682"/>
    <w:rsid w:val="608C1C3B"/>
    <w:rsid w:val="60913514"/>
    <w:rsid w:val="60966616"/>
    <w:rsid w:val="60973E0C"/>
    <w:rsid w:val="609863C2"/>
    <w:rsid w:val="609A4358"/>
    <w:rsid w:val="609E2607"/>
    <w:rsid w:val="609F196E"/>
    <w:rsid w:val="60A056E7"/>
    <w:rsid w:val="60A82D60"/>
    <w:rsid w:val="60AD570E"/>
    <w:rsid w:val="60AE1BB1"/>
    <w:rsid w:val="60AE7E03"/>
    <w:rsid w:val="60B25843"/>
    <w:rsid w:val="60B30F76"/>
    <w:rsid w:val="60B42F40"/>
    <w:rsid w:val="60B62814"/>
    <w:rsid w:val="60B64FC9"/>
    <w:rsid w:val="60B751E8"/>
    <w:rsid w:val="60BA4E26"/>
    <w:rsid w:val="60BD0047"/>
    <w:rsid w:val="60C04AD9"/>
    <w:rsid w:val="60C2453A"/>
    <w:rsid w:val="60C2740B"/>
    <w:rsid w:val="60C34F31"/>
    <w:rsid w:val="60C74A21"/>
    <w:rsid w:val="60CB7F9D"/>
    <w:rsid w:val="60CC6280"/>
    <w:rsid w:val="60CF7BE6"/>
    <w:rsid w:val="60D40EEC"/>
    <w:rsid w:val="60D62EB6"/>
    <w:rsid w:val="60D71E88"/>
    <w:rsid w:val="60D94755"/>
    <w:rsid w:val="60DD2497"/>
    <w:rsid w:val="60E50D3F"/>
    <w:rsid w:val="60E74483"/>
    <w:rsid w:val="60F31CBA"/>
    <w:rsid w:val="60F35816"/>
    <w:rsid w:val="60F442E1"/>
    <w:rsid w:val="60FB291D"/>
    <w:rsid w:val="60FF62DF"/>
    <w:rsid w:val="61001CE1"/>
    <w:rsid w:val="61045C75"/>
    <w:rsid w:val="61056405"/>
    <w:rsid w:val="610772C3"/>
    <w:rsid w:val="610B7004"/>
    <w:rsid w:val="610C0686"/>
    <w:rsid w:val="610C4B2A"/>
    <w:rsid w:val="610D003D"/>
    <w:rsid w:val="61105D4E"/>
    <w:rsid w:val="61151C31"/>
    <w:rsid w:val="612B1454"/>
    <w:rsid w:val="612C5977"/>
    <w:rsid w:val="61306A6A"/>
    <w:rsid w:val="61314591"/>
    <w:rsid w:val="6133763A"/>
    <w:rsid w:val="6137269F"/>
    <w:rsid w:val="613D7D6F"/>
    <w:rsid w:val="613E24C6"/>
    <w:rsid w:val="614147D4"/>
    <w:rsid w:val="614222FA"/>
    <w:rsid w:val="61424EA8"/>
    <w:rsid w:val="61437B3D"/>
    <w:rsid w:val="614B5652"/>
    <w:rsid w:val="614E0B45"/>
    <w:rsid w:val="6151253D"/>
    <w:rsid w:val="615564D1"/>
    <w:rsid w:val="61597598"/>
    <w:rsid w:val="6166529A"/>
    <w:rsid w:val="6166544F"/>
    <w:rsid w:val="616A379A"/>
    <w:rsid w:val="61736957"/>
    <w:rsid w:val="61787D03"/>
    <w:rsid w:val="618C17C7"/>
    <w:rsid w:val="618E5884"/>
    <w:rsid w:val="61932F49"/>
    <w:rsid w:val="61952EA4"/>
    <w:rsid w:val="61973778"/>
    <w:rsid w:val="6198032E"/>
    <w:rsid w:val="619863BE"/>
    <w:rsid w:val="619A0388"/>
    <w:rsid w:val="61A134C4"/>
    <w:rsid w:val="61A3723C"/>
    <w:rsid w:val="61A97B22"/>
    <w:rsid w:val="61AF4FE1"/>
    <w:rsid w:val="61B355C3"/>
    <w:rsid w:val="61B42512"/>
    <w:rsid w:val="61B67030"/>
    <w:rsid w:val="61B72CE8"/>
    <w:rsid w:val="61BD7BD2"/>
    <w:rsid w:val="61C176C2"/>
    <w:rsid w:val="61C20E62"/>
    <w:rsid w:val="61C6117D"/>
    <w:rsid w:val="61C827FF"/>
    <w:rsid w:val="61CD250B"/>
    <w:rsid w:val="61CE4024"/>
    <w:rsid w:val="61D05B58"/>
    <w:rsid w:val="61D820E5"/>
    <w:rsid w:val="61E17D65"/>
    <w:rsid w:val="61E94429"/>
    <w:rsid w:val="61EA3E09"/>
    <w:rsid w:val="61EF3C1A"/>
    <w:rsid w:val="61F14AD6"/>
    <w:rsid w:val="61F23D20"/>
    <w:rsid w:val="61F65390"/>
    <w:rsid w:val="61F85BAC"/>
    <w:rsid w:val="61FE26C5"/>
    <w:rsid w:val="62001A55"/>
    <w:rsid w:val="6200643D"/>
    <w:rsid w:val="62015FD8"/>
    <w:rsid w:val="620174BF"/>
    <w:rsid w:val="6204091A"/>
    <w:rsid w:val="62053A53"/>
    <w:rsid w:val="621149F5"/>
    <w:rsid w:val="62190095"/>
    <w:rsid w:val="62196E86"/>
    <w:rsid w:val="621B0B79"/>
    <w:rsid w:val="621C6FEF"/>
    <w:rsid w:val="621E11AD"/>
    <w:rsid w:val="621E68C3"/>
    <w:rsid w:val="6221257C"/>
    <w:rsid w:val="62233ED9"/>
    <w:rsid w:val="62241762"/>
    <w:rsid w:val="622720EB"/>
    <w:rsid w:val="622F0267"/>
    <w:rsid w:val="62347E94"/>
    <w:rsid w:val="62373E29"/>
    <w:rsid w:val="6239194F"/>
    <w:rsid w:val="62404A8B"/>
    <w:rsid w:val="62426A55"/>
    <w:rsid w:val="62465E1A"/>
    <w:rsid w:val="624A590A"/>
    <w:rsid w:val="624C4B4A"/>
    <w:rsid w:val="624E6BC1"/>
    <w:rsid w:val="62516C98"/>
    <w:rsid w:val="62541332"/>
    <w:rsid w:val="62571DD5"/>
    <w:rsid w:val="625978FB"/>
    <w:rsid w:val="625A4188"/>
    <w:rsid w:val="625B51D9"/>
    <w:rsid w:val="625B7B17"/>
    <w:rsid w:val="625F07BA"/>
    <w:rsid w:val="6263306E"/>
    <w:rsid w:val="62634C1E"/>
    <w:rsid w:val="62681F51"/>
    <w:rsid w:val="626A5FAC"/>
    <w:rsid w:val="626A7D5A"/>
    <w:rsid w:val="6271010C"/>
    <w:rsid w:val="6271733B"/>
    <w:rsid w:val="627209BD"/>
    <w:rsid w:val="62727F12"/>
    <w:rsid w:val="6279293E"/>
    <w:rsid w:val="627D368D"/>
    <w:rsid w:val="627E55B4"/>
    <w:rsid w:val="62832BCA"/>
    <w:rsid w:val="6286412A"/>
    <w:rsid w:val="628841B8"/>
    <w:rsid w:val="628864BD"/>
    <w:rsid w:val="62894684"/>
    <w:rsid w:val="628C536C"/>
    <w:rsid w:val="628D57F7"/>
    <w:rsid w:val="628E28E5"/>
    <w:rsid w:val="628F5A13"/>
    <w:rsid w:val="62960B4F"/>
    <w:rsid w:val="629A771B"/>
    <w:rsid w:val="629B43B7"/>
    <w:rsid w:val="629D1197"/>
    <w:rsid w:val="629D1B83"/>
    <w:rsid w:val="629E2A4D"/>
    <w:rsid w:val="62A241F2"/>
    <w:rsid w:val="62A3542F"/>
    <w:rsid w:val="62A46F78"/>
    <w:rsid w:val="62A6337F"/>
    <w:rsid w:val="62A82630"/>
    <w:rsid w:val="62AB6078"/>
    <w:rsid w:val="62AB7BE6"/>
    <w:rsid w:val="62AC3386"/>
    <w:rsid w:val="62B56907"/>
    <w:rsid w:val="62B76D39"/>
    <w:rsid w:val="62BA2508"/>
    <w:rsid w:val="62BB05B6"/>
    <w:rsid w:val="62BB2188"/>
    <w:rsid w:val="62BC1CA7"/>
    <w:rsid w:val="62C151BE"/>
    <w:rsid w:val="62C27B96"/>
    <w:rsid w:val="62C5728E"/>
    <w:rsid w:val="62C751AC"/>
    <w:rsid w:val="62CB2E31"/>
    <w:rsid w:val="62DE6052"/>
    <w:rsid w:val="62E05C75"/>
    <w:rsid w:val="62E328C2"/>
    <w:rsid w:val="62E33669"/>
    <w:rsid w:val="62E53885"/>
    <w:rsid w:val="62E573E1"/>
    <w:rsid w:val="62E713AB"/>
    <w:rsid w:val="62E75807"/>
    <w:rsid w:val="62E86740"/>
    <w:rsid w:val="62F37D50"/>
    <w:rsid w:val="62F51D1A"/>
    <w:rsid w:val="62F53596"/>
    <w:rsid w:val="62F615EE"/>
    <w:rsid w:val="62F67840"/>
    <w:rsid w:val="62FA73B1"/>
    <w:rsid w:val="62FC3469"/>
    <w:rsid w:val="62FC38F3"/>
    <w:rsid w:val="63021D41"/>
    <w:rsid w:val="6302586E"/>
    <w:rsid w:val="63025B9A"/>
    <w:rsid w:val="63065CD5"/>
    <w:rsid w:val="630755A9"/>
    <w:rsid w:val="63091321"/>
    <w:rsid w:val="630930CF"/>
    <w:rsid w:val="630A1AD1"/>
    <w:rsid w:val="63116B12"/>
    <w:rsid w:val="63121E31"/>
    <w:rsid w:val="63163A3E"/>
    <w:rsid w:val="631B2082"/>
    <w:rsid w:val="63247F09"/>
    <w:rsid w:val="632D6AAA"/>
    <w:rsid w:val="63302D52"/>
    <w:rsid w:val="63307853"/>
    <w:rsid w:val="6332277A"/>
    <w:rsid w:val="63343EC4"/>
    <w:rsid w:val="63351E60"/>
    <w:rsid w:val="63387E58"/>
    <w:rsid w:val="633D546F"/>
    <w:rsid w:val="633E0A63"/>
    <w:rsid w:val="6341038D"/>
    <w:rsid w:val="634265E1"/>
    <w:rsid w:val="634560D1"/>
    <w:rsid w:val="63495C85"/>
    <w:rsid w:val="634B1F60"/>
    <w:rsid w:val="634B4390"/>
    <w:rsid w:val="63514A76"/>
    <w:rsid w:val="63526E82"/>
    <w:rsid w:val="63534F55"/>
    <w:rsid w:val="63545442"/>
    <w:rsid w:val="63600D6B"/>
    <w:rsid w:val="6367429A"/>
    <w:rsid w:val="636E387A"/>
    <w:rsid w:val="63715118"/>
    <w:rsid w:val="63780255"/>
    <w:rsid w:val="637864A7"/>
    <w:rsid w:val="637F15E3"/>
    <w:rsid w:val="63802FCE"/>
    <w:rsid w:val="63831A16"/>
    <w:rsid w:val="638906B4"/>
    <w:rsid w:val="638B442C"/>
    <w:rsid w:val="638E7A78"/>
    <w:rsid w:val="639037F0"/>
    <w:rsid w:val="639332E1"/>
    <w:rsid w:val="63950A4B"/>
    <w:rsid w:val="639547F1"/>
    <w:rsid w:val="63960433"/>
    <w:rsid w:val="63980BDA"/>
    <w:rsid w:val="639D5F0D"/>
    <w:rsid w:val="63A30775"/>
    <w:rsid w:val="63A63014"/>
    <w:rsid w:val="63A64DC2"/>
    <w:rsid w:val="63A76A75"/>
    <w:rsid w:val="63AA2F5C"/>
    <w:rsid w:val="63AE011A"/>
    <w:rsid w:val="63B13D50"/>
    <w:rsid w:val="63BA086D"/>
    <w:rsid w:val="63BA6C0F"/>
    <w:rsid w:val="63BC7509"/>
    <w:rsid w:val="63BF2C7A"/>
    <w:rsid w:val="63C141F3"/>
    <w:rsid w:val="63C42535"/>
    <w:rsid w:val="63C9199B"/>
    <w:rsid w:val="63CC234F"/>
    <w:rsid w:val="63CF256B"/>
    <w:rsid w:val="63D00091"/>
    <w:rsid w:val="63D07143"/>
    <w:rsid w:val="63D537D1"/>
    <w:rsid w:val="63D92749"/>
    <w:rsid w:val="63D95197"/>
    <w:rsid w:val="63DC07E4"/>
    <w:rsid w:val="63E143B5"/>
    <w:rsid w:val="63E16F89"/>
    <w:rsid w:val="63EE6769"/>
    <w:rsid w:val="63F024E1"/>
    <w:rsid w:val="63F523ED"/>
    <w:rsid w:val="63F62FDB"/>
    <w:rsid w:val="63F673C1"/>
    <w:rsid w:val="63F7386F"/>
    <w:rsid w:val="64032DE5"/>
    <w:rsid w:val="64033FC2"/>
    <w:rsid w:val="640656B5"/>
    <w:rsid w:val="640815D9"/>
    <w:rsid w:val="64085A7D"/>
    <w:rsid w:val="640904DE"/>
    <w:rsid w:val="640B0021"/>
    <w:rsid w:val="640B10C9"/>
    <w:rsid w:val="64153CF6"/>
    <w:rsid w:val="64155AA4"/>
    <w:rsid w:val="6419500B"/>
    <w:rsid w:val="641C32D6"/>
    <w:rsid w:val="641F12D3"/>
    <w:rsid w:val="64204A24"/>
    <w:rsid w:val="64232707"/>
    <w:rsid w:val="642735EE"/>
    <w:rsid w:val="642E6E96"/>
    <w:rsid w:val="642F6D2C"/>
    <w:rsid w:val="643028DD"/>
    <w:rsid w:val="64322AF9"/>
    <w:rsid w:val="643423CE"/>
    <w:rsid w:val="64384866"/>
    <w:rsid w:val="64395C36"/>
    <w:rsid w:val="643B7C00"/>
    <w:rsid w:val="64402948"/>
    <w:rsid w:val="64414AEB"/>
    <w:rsid w:val="64436AB5"/>
    <w:rsid w:val="64454028"/>
    <w:rsid w:val="644B7E75"/>
    <w:rsid w:val="644D16E1"/>
    <w:rsid w:val="644E7F5C"/>
    <w:rsid w:val="6450357F"/>
    <w:rsid w:val="6452519C"/>
    <w:rsid w:val="6457085E"/>
    <w:rsid w:val="64596D04"/>
    <w:rsid w:val="645B452F"/>
    <w:rsid w:val="64616F3B"/>
    <w:rsid w:val="646475B1"/>
    <w:rsid w:val="646802C9"/>
    <w:rsid w:val="6468651B"/>
    <w:rsid w:val="64691177"/>
    <w:rsid w:val="646975D9"/>
    <w:rsid w:val="646C5FB1"/>
    <w:rsid w:val="64755625"/>
    <w:rsid w:val="64795755"/>
    <w:rsid w:val="647E5D3F"/>
    <w:rsid w:val="648275DD"/>
    <w:rsid w:val="64831853"/>
    <w:rsid w:val="64833FCA"/>
    <w:rsid w:val="648363F5"/>
    <w:rsid w:val="648556EE"/>
    <w:rsid w:val="64864E63"/>
    <w:rsid w:val="648844C8"/>
    <w:rsid w:val="648B3FB8"/>
    <w:rsid w:val="648C7EFE"/>
    <w:rsid w:val="648D5F82"/>
    <w:rsid w:val="648F5856"/>
    <w:rsid w:val="649015CE"/>
    <w:rsid w:val="64923598"/>
    <w:rsid w:val="64925A4B"/>
    <w:rsid w:val="64932AF5"/>
    <w:rsid w:val="64942E6C"/>
    <w:rsid w:val="649C7F73"/>
    <w:rsid w:val="649D6039"/>
    <w:rsid w:val="64A250B1"/>
    <w:rsid w:val="64A77044"/>
    <w:rsid w:val="64AD2180"/>
    <w:rsid w:val="64AF219E"/>
    <w:rsid w:val="64B27796"/>
    <w:rsid w:val="64B452BD"/>
    <w:rsid w:val="64B7353A"/>
    <w:rsid w:val="64B8434A"/>
    <w:rsid w:val="64BE7EEF"/>
    <w:rsid w:val="64C56855"/>
    <w:rsid w:val="64C80D68"/>
    <w:rsid w:val="64C859FE"/>
    <w:rsid w:val="64CF20F6"/>
    <w:rsid w:val="64D140C0"/>
    <w:rsid w:val="64D54FB3"/>
    <w:rsid w:val="64D61D83"/>
    <w:rsid w:val="64D81A9A"/>
    <w:rsid w:val="64DD2A65"/>
    <w:rsid w:val="64DE616D"/>
    <w:rsid w:val="64DE67DD"/>
    <w:rsid w:val="64DF4A2F"/>
    <w:rsid w:val="64E00E9E"/>
    <w:rsid w:val="64EA1642"/>
    <w:rsid w:val="64F1206D"/>
    <w:rsid w:val="64F14763"/>
    <w:rsid w:val="64F34037"/>
    <w:rsid w:val="64F61D79"/>
    <w:rsid w:val="64FB738F"/>
    <w:rsid w:val="64FE021F"/>
    <w:rsid w:val="65002574"/>
    <w:rsid w:val="650F4BE9"/>
    <w:rsid w:val="65102E3B"/>
    <w:rsid w:val="651535CE"/>
    <w:rsid w:val="65197815"/>
    <w:rsid w:val="651E4C38"/>
    <w:rsid w:val="652106FC"/>
    <w:rsid w:val="6525440C"/>
    <w:rsid w:val="652837E8"/>
    <w:rsid w:val="652860E7"/>
    <w:rsid w:val="65292B1C"/>
    <w:rsid w:val="65295CAB"/>
    <w:rsid w:val="65297A59"/>
    <w:rsid w:val="652C6CFC"/>
    <w:rsid w:val="652C70D8"/>
    <w:rsid w:val="652E0455"/>
    <w:rsid w:val="6532302B"/>
    <w:rsid w:val="65366619"/>
    <w:rsid w:val="653672AF"/>
    <w:rsid w:val="65395151"/>
    <w:rsid w:val="653F54CE"/>
    <w:rsid w:val="65456147"/>
    <w:rsid w:val="654839FF"/>
    <w:rsid w:val="654A79CF"/>
    <w:rsid w:val="654B50E5"/>
    <w:rsid w:val="65516FAF"/>
    <w:rsid w:val="65521913"/>
    <w:rsid w:val="65530F79"/>
    <w:rsid w:val="65532D27"/>
    <w:rsid w:val="65554CF2"/>
    <w:rsid w:val="65556AA0"/>
    <w:rsid w:val="65586590"/>
    <w:rsid w:val="655D2835"/>
    <w:rsid w:val="656071F2"/>
    <w:rsid w:val="656352A3"/>
    <w:rsid w:val="65636348"/>
    <w:rsid w:val="65644665"/>
    <w:rsid w:val="65647DB9"/>
    <w:rsid w:val="656C455D"/>
    <w:rsid w:val="65732A74"/>
    <w:rsid w:val="6577597E"/>
    <w:rsid w:val="657817E8"/>
    <w:rsid w:val="657B64AF"/>
    <w:rsid w:val="65823229"/>
    <w:rsid w:val="65844899"/>
    <w:rsid w:val="658669F4"/>
    <w:rsid w:val="6587477F"/>
    <w:rsid w:val="658904F7"/>
    <w:rsid w:val="658A5521"/>
    <w:rsid w:val="658C2585"/>
    <w:rsid w:val="658E3D60"/>
    <w:rsid w:val="65907AD8"/>
    <w:rsid w:val="65931376"/>
    <w:rsid w:val="65982872"/>
    <w:rsid w:val="65982E30"/>
    <w:rsid w:val="65994D03"/>
    <w:rsid w:val="65995367"/>
    <w:rsid w:val="659B5909"/>
    <w:rsid w:val="65A04493"/>
    <w:rsid w:val="65A81AA0"/>
    <w:rsid w:val="65A92C0D"/>
    <w:rsid w:val="65AB4911"/>
    <w:rsid w:val="65AC4B11"/>
    <w:rsid w:val="65AE2D41"/>
    <w:rsid w:val="65B07C8B"/>
    <w:rsid w:val="65BC7770"/>
    <w:rsid w:val="65C14135"/>
    <w:rsid w:val="65C4125C"/>
    <w:rsid w:val="65C50EF1"/>
    <w:rsid w:val="65C6174B"/>
    <w:rsid w:val="65D06126"/>
    <w:rsid w:val="65D07B0C"/>
    <w:rsid w:val="65DA0D53"/>
    <w:rsid w:val="65E120E1"/>
    <w:rsid w:val="65E34ECD"/>
    <w:rsid w:val="65E805EB"/>
    <w:rsid w:val="65EC0485"/>
    <w:rsid w:val="65ED08CF"/>
    <w:rsid w:val="65ED6B48"/>
    <w:rsid w:val="65ED6CD8"/>
    <w:rsid w:val="65EE61A9"/>
    <w:rsid w:val="65F07FB2"/>
    <w:rsid w:val="65FC33BF"/>
    <w:rsid w:val="65FC437A"/>
    <w:rsid w:val="65FC6F1B"/>
    <w:rsid w:val="6600130C"/>
    <w:rsid w:val="66027FBB"/>
    <w:rsid w:val="660700E1"/>
    <w:rsid w:val="660D350D"/>
    <w:rsid w:val="660D4C01"/>
    <w:rsid w:val="660D52D7"/>
    <w:rsid w:val="660E5D4A"/>
    <w:rsid w:val="660E6C4E"/>
    <w:rsid w:val="660F30F2"/>
    <w:rsid w:val="66134265"/>
    <w:rsid w:val="661740F2"/>
    <w:rsid w:val="661A55F3"/>
    <w:rsid w:val="661C580F"/>
    <w:rsid w:val="66253890"/>
    <w:rsid w:val="66285F62"/>
    <w:rsid w:val="662A0427"/>
    <w:rsid w:val="662D0B27"/>
    <w:rsid w:val="662D17CA"/>
    <w:rsid w:val="662D41D7"/>
    <w:rsid w:val="66304E17"/>
    <w:rsid w:val="66312071"/>
    <w:rsid w:val="66326BB9"/>
    <w:rsid w:val="66344907"/>
    <w:rsid w:val="66377F53"/>
    <w:rsid w:val="66384BCC"/>
    <w:rsid w:val="6639016F"/>
    <w:rsid w:val="663C7C23"/>
    <w:rsid w:val="663D12E2"/>
    <w:rsid w:val="66442670"/>
    <w:rsid w:val="6646463A"/>
    <w:rsid w:val="664663E8"/>
    <w:rsid w:val="6646758A"/>
    <w:rsid w:val="664803B2"/>
    <w:rsid w:val="66541ECD"/>
    <w:rsid w:val="6655487D"/>
    <w:rsid w:val="665C2DE4"/>
    <w:rsid w:val="665E1984"/>
    <w:rsid w:val="6660394E"/>
    <w:rsid w:val="66633B59"/>
    <w:rsid w:val="66644AC0"/>
    <w:rsid w:val="66650F64"/>
    <w:rsid w:val="666B1DA8"/>
    <w:rsid w:val="666C6A4D"/>
    <w:rsid w:val="666D7E19"/>
    <w:rsid w:val="666F3177"/>
    <w:rsid w:val="666F6B5A"/>
    <w:rsid w:val="667016B7"/>
    <w:rsid w:val="667020BF"/>
    <w:rsid w:val="6672542F"/>
    <w:rsid w:val="66742F55"/>
    <w:rsid w:val="667763FF"/>
    <w:rsid w:val="66780CDA"/>
    <w:rsid w:val="667C2499"/>
    <w:rsid w:val="667D3F4B"/>
    <w:rsid w:val="667D6792"/>
    <w:rsid w:val="667E5B82"/>
    <w:rsid w:val="667F664F"/>
    <w:rsid w:val="66823B40"/>
    <w:rsid w:val="6682703B"/>
    <w:rsid w:val="66862C89"/>
    <w:rsid w:val="668655B1"/>
    <w:rsid w:val="6689725B"/>
    <w:rsid w:val="668B7F72"/>
    <w:rsid w:val="668D04BB"/>
    <w:rsid w:val="669047B5"/>
    <w:rsid w:val="66914752"/>
    <w:rsid w:val="66964ECA"/>
    <w:rsid w:val="66967370"/>
    <w:rsid w:val="669C425A"/>
    <w:rsid w:val="66A337D0"/>
    <w:rsid w:val="66A54EBC"/>
    <w:rsid w:val="66A650D9"/>
    <w:rsid w:val="66AF6D2D"/>
    <w:rsid w:val="66B37C36"/>
    <w:rsid w:val="66B50CDB"/>
    <w:rsid w:val="66B6044A"/>
    <w:rsid w:val="66B912B0"/>
    <w:rsid w:val="66BF22AE"/>
    <w:rsid w:val="66C537B1"/>
    <w:rsid w:val="66C6738F"/>
    <w:rsid w:val="66C76F57"/>
    <w:rsid w:val="66C814F3"/>
    <w:rsid w:val="66C832A1"/>
    <w:rsid w:val="66C93F6D"/>
    <w:rsid w:val="66C9448E"/>
    <w:rsid w:val="66CA7019"/>
    <w:rsid w:val="66CC2D91"/>
    <w:rsid w:val="66CE1928"/>
    <w:rsid w:val="66D54CF2"/>
    <w:rsid w:val="66D60C57"/>
    <w:rsid w:val="66D659BE"/>
    <w:rsid w:val="66D6719F"/>
    <w:rsid w:val="66D84B17"/>
    <w:rsid w:val="66D91779"/>
    <w:rsid w:val="66DA04BD"/>
    <w:rsid w:val="66DB7679"/>
    <w:rsid w:val="66DD3E1E"/>
    <w:rsid w:val="66E04A8F"/>
    <w:rsid w:val="66E3632D"/>
    <w:rsid w:val="66E71979"/>
    <w:rsid w:val="66E907E4"/>
    <w:rsid w:val="66E9560E"/>
    <w:rsid w:val="66F10A4A"/>
    <w:rsid w:val="66F145A6"/>
    <w:rsid w:val="66F347C2"/>
    <w:rsid w:val="66F66060"/>
    <w:rsid w:val="66FE7FD6"/>
    <w:rsid w:val="670536F6"/>
    <w:rsid w:val="67070FD0"/>
    <w:rsid w:val="670C2106"/>
    <w:rsid w:val="67185FD7"/>
    <w:rsid w:val="67192B5D"/>
    <w:rsid w:val="671D539B"/>
    <w:rsid w:val="671E00C4"/>
    <w:rsid w:val="671E1113"/>
    <w:rsid w:val="67212035"/>
    <w:rsid w:val="67252C90"/>
    <w:rsid w:val="67283D40"/>
    <w:rsid w:val="672A0BED"/>
    <w:rsid w:val="672B78DD"/>
    <w:rsid w:val="672F3320"/>
    <w:rsid w:val="67371200"/>
    <w:rsid w:val="673A0A19"/>
    <w:rsid w:val="673A7802"/>
    <w:rsid w:val="673C6346"/>
    <w:rsid w:val="673D77EB"/>
    <w:rsid w:val="67404958"/>
    <w:rsid w:val="67430B7A"/>
    <w:rsid w:val="674443CC"/>
    <w:rsid w:val="674C5C80"/>
    <w:rsid w:val="674D0403"/>
    <w:rsid w:val="674D05B9"/>
    <w:rsid w:val="674E7C4A"/>
    <w:rsid w:val="674F751F"/>
    <w:rsid w:val="6757612D"/>
    <w:rsid w:val="675A398D"/>
    <w:rsid w:val="67627252"/>
    <w:rsid w:val="67637236"/>
    <w:rsid w:val="676A58F9"/>
    <w:rsid w:val="676A6106"/>
    <w:rsid w:val="676B7987"/>
    <w:rsid w:val="676E209B"/>
    <w:rsid w:val="677166C6"/>
    <w:rsid w:val="6778121F"/>
    <w:rsid w:val="677D0530"/>
    <w:rsid w:val="677D408C"/>
    <w:rsid w:val="677F18FD"/>
    <w:rsid w:val="67801DCE"/>
    <w:rsid w:val="6784541A"/>
    <w:rsid w:val="67851192"/>
    <w:rsid w:val="6786252D"/>
    <w:rsid w:val="67883263"/>
    <w:rsid w:val="678F4473"/>
    <w:rsid w:val="6790177A"/>
    <w:rsid w:val="67922F56"/>
    <w:rsid w:val="67922FEB"/>
    <w:rsid w:val="67924690"/>
    <w:rsid w:val="679259FF"/>
    <w:rsid w:val="67963366"/>
    <w:rsid w:val="679766FB"/>
    <w:rsid w:val="67982C74"/>
    <w:rsid w:val="679A69EC"/>
    <w:rsid w:val="679B09B6"/>
    <w:rsid w:val="679B2764"/>
    <w:rsid w:val="67A05FCC"/>
    <w:rsid w:val="67A44CDF"/>
    <w:rsid w:val="67A55102"/>
    <w:rsid w:val="67A71109"/>
    <w:rsid w:val="67AE51D8"/>
    <w:rsid w:val="67AE56AE"/>
    <w:rsid w:val="67AE693B"/>
    <w:rsid w:val="67B57CC9"/>
    <w:rsid w:val="67B6134C"/>
    <w:rsid w:val="67B812EB"/>
    <w:rsid w:val="67BA0E3C"/>
    <w:rsid w:val="67BA52E0"/>
    <w:rsid w:val="67BA6B80"/>
    <w:rsid w:val="67BC18DF"/>
    <w:rsid w:val="67BD782D"/>
    <w:rsid w:val="67BF28F6"/>
    <w:rsid w:val="67C138AA"/>
    <w:rsid w:val="67C2339D"/>
    <w:rsid w:val="67C978FE"/>
    <w:rsid w:val="67CB129B"/>
    <w:rsid w:val="67CC6DC1"/>
    <w:rsid w:val="67D30150"/>
    <w:rsid w:val="67D61813"/>
    <w:rsid w:val="67DA14DE"/>
    <w:rsid w:val="67DA5704"/>
    <w:rsid w:val="67DD2D7C"/>
    <w:rsid w:val="67DD7768"/>
    <w:rsid w:val="67DE4908"/>
    <w:rsid w:val="67E4235D"/>
    <w:rsid w:val="67E8163A"/>
    <w:rsid w:val="67EB4DFC"/>
    <w:rsid w:val="67ED7463"/>
    <w:rsid w:val="67EE4F89"/>
    <w:rsid w:val="67F0326C"/>
    <w:rsid w:val="67F03D23"/>
    <w:rsid w:val="67F325A0"/>
    <w:rsid w:val="67F43487"/>
    <w:rsid w:val="67F56318"/>
    <w:rsid w:val="67F65BEC"/>
    <w:rsid w:val="68060525"/>
    <w:rsid w:val="680671B0"/>
    <w:rsid w:val="680C5410"/>
    <w:rsid w:val="680C5B9E"/>
    <w:rsid w:val="680E2F36"/>
    <w:rsid w:val="681307F8"/>
    <w:rsid w:val="681743ED"/>
    <w:rsid w:val="68182006"/>
    <w:rsid w:val="681A5D7E"/>
    <w:rsid w:val="681D13CB"/>
    <w:rsid w:val="681F0383"/>
    <w:rsid w:val="681F3F15"/>
    <w:rsid w:val="6821710D"/>
    <w:rsid w:val="682700AE"/>
    <w:rsid w:val="683010FE"/>
    <w:rsid w:val="6833487C"/>
    <w:rsid w:val="68354966"/>
    <w:rsid w:val="683F4BBF"/>
    <w:rsid w:val="68425464"/>
    <w:rsid w:val="68446AD8"/>
    <w:rsid w:val="68457B77"/>
    <w:rsid w:val="684676EB"/>
    <w:rsid w:val="6853303E"/>
    <w:rsid w:val="685B4389"/>
    <w:rsid w:val="685C0145"/>
    <w:rsid w:val="685E1499"/>
    <w:rsid w:val="685E3EBD"/>
    <w:rsid w:val="685E5C6B"/>
    <w:rsid w:val="68623D98"/>
    <w:rsid w:val="686572F4"/>
    <w:rsid w:val="68696F3D"/>
    <w:rsid w:val="686D10E3"/>
    <w:rsid w:val="686E1298"/>
    <w:rsid w:val="686F4BDB"/>
    <w:rsid w:val="68703BF0"/>
    <w:rsid w:val="68721717"/>
    <w:rsid w:val="68724DA1"/>
    <w:rsid w:val="687731D1"/>
    <w:rsid w:val="68792AA5"/>
    <w:rsid w:val="687C07E7"/>
    <w:rsid w:val="687C4343"/>
    <w:rsid w:val="6881195A"/>
    <w:rsid w:val="688431F8"/>
    <w:rsid w:val="68880F3A"/>
    <w:rsid w:val="688952EA"/>
    <w:rsid w:val="688A2F04"/>
    <w:rsid w:val="688A365E"/>
    <w:rsid w:val="688C3A50"/>
    <w:rsid w:val="688E2A27"/>
    <w:rsid w:val="68941085"/>
    <w:rsid w:val="689478DF"/>
    <w:rsid w:val="68953657"/>
    <w:rsid w:val="689773CF"/>
    <w:rsid w:val="689A6F83"/>
    <w:rsid w:val="689C2C37"/>
    <w:rsid w:val="689C5480"/>
    <w:rsid w:val="689E2614"/>
    <w:rsid w:val="68A613C0"/>
    <w:rsid w:val="68A942EF"/>
    <w:rsid w:val="68AA0EB0"/>
    <w:rsid w:val="68AD7852"/>
    <w:rsid w:val="68AF1D2A"/>
    <w:rsid w:val="68B354B6"/>
    <w:rsid w:val="68BD20E4"/>
    <w:rsid w:val="68BF1E69"/>
    <w:rsid w:val="68C42A6D"/>
    <w:rsid w:val="68C54CEF"/>
    <w:rsid w:val="68C877E1"/>
    <w:rsid w:val="68CD1043"/>
    <w:rsid w:val="68D229CA"/>
    <w:rsid w:val="68DB3760"/>
    <w:rsid w:val="68E00D76"/>
    <w:rsid w:val="68E343C2"/>
    <w:rsid w:val="68E51EE8"/>
    <w:rsid w:val="68E5213C"/>
    <w:rsid w:val="68E87C2B"/>
    <w:rsid w:val="68EC2424"/>
    <w:rsid w:val="68EF3803"/>
    <w:rsid w:val="68F0088D"/>
    <w:rsid w:val="68F1591B"/>
    <w:rsid w:val="68F75D97"/>
    <w:rsid w:val="68FB170C"/>
    <w:rsid w:val="68FE744E"/>
    <w:rsid w:val="68FF1B8F"/>
    <w:rsid w:val="69036813"/>
    <w:rsid w:val="69085BD7"/>
    <w:rsid w:val="6910765A"/>
    <w:rsid w:val="69112CDD"/>
    <w:rsid w:val="69117181"/>
    <w:rsid w:val="69132EFA"/>
    <w:rsid w:val="69166546"/>
    <w:rsid w:val="691722BE"/>
    <w:rsid w:val="691A195A"/>
    <w:rsid w:val="691E53FA"/>
    <w:rsid w:val="69216C99"/>
    <w:rsid w:val="6922313D"/>
    <w:rsid w:val="69236EB5"/>
    <w:rsid w:val="69247985"/>
    <w:rsid w:val="692549DB"/>
    <w:rsid w:val="692A37F7"/>
    <w:rsid w:val="6931164B"/>
    <w:rsid w:val="693256C3"/>
    <w:rsid w:val="69333419"/>
    <w:rsid w:val="693469CC"/>
    <w:rsid w:val="69366BE8"/>
    <w:rsid w:val="69382960"/>
    <w:rsid w:val="693B57DF"/>
    <w:rsid w:val="693E5EAC"/>
    <w:rsid w:val="693F5889"/>
    <w:rsid w:val="694766FF"/>
    <w:rsid w:val="694806C9"/>
    <w:rsid w:val="694A4441"/>
    <w:rsid w:val="694A5C72"/>
    <w:rsid w:val="694B0300"/>
    <w:rsid w:val="694D5CE0"/>
    <w:rsid w:val="694E0C56"/>
    <w:rsid w:val="6951757E"/>
    <w:rsid w:val="695C1052"/>
    <w:rsid w:val="695C282F"/>
    <w:rsid w:val="69623A44"/>
    <w:rsid w:val="696574CD"/>
    <w:rsid w:val="6966561B"/>
    <w:rsid w:val="696A6892"/>
    <w:rsid w:val="696B6376"/>
    <w:rsid w:val="696E6382"/>
    <w:rsid w:val="69734FE3"/>
    <w:rsid w:val="69750844"/>
    <w:rsid w:val="69765236"/>
    <w:rsid w:val="69773EBB"/>
    <w:rsid w:val="69780FAF"/>
    <w:rsid w:val="69790883"/>
    <w:rsid w:val="69794D27"/>
    <w:rsid w:val="697B04AE"/>
    <w:rsid w:val="69807E63"/>
    <w:rsid w:val="6984366B"/>
    <w:rsid w:val="69892770"/>
    <w:rsid w:val="698C05B6"/>
    <w:rsid w:val="698C2CAC"/>
    <w:rsid w:val="698E2580"/>
    <w:rsid w:val="698E432E"/>
    <w:rsid w:val="699D27C3"/>
    <w:rsid w:val="699F731F"/>
    <w:rsid w:val="69A27DD9"/>
    <w:rsid w:val="69A42AA4"/>
    <w:rsid w:val="69A5483B"/>
    <w:rsid w:val="69A66CB8"/>
    <w:rsid w:val="69A85AFB"/>
    <w:rsid w:val="69B144C0"/>
    <w:rsid w:val="69B80FA9"/>
    <w:rsid w:val="69BA15C7"/>
    <w:rsid w:val="69BD2E65"/>
    <w:rsid w:val="69BD4623"/>
    <w:rsid w:val="69C02F03"/>
    <w:rsid w:val="69C41DE7"/>
    <w:rsid w:val="69CE0BCF"/>
    <w:rsid w:val="69D06D72"/>
    <w:rsid w:val="69D62DCF"/>
    <w:rsid w:val="69DD0FAB"/>
    <w:rsid w:val="69DE2637"/>
    <w:rsid w:val="69DF47C8"/>
    <w:rsid w:val="69E20B1E"/>
    <w:rsid w:val="69E26AA4"/>
    <w:rsid w:val="69EC374B"/>
    <w:rsid w:val="69EE1271"/>
    <w:rsid w:val="69F06D97"/>
    <w:rsid w:val="69F0781D"/>
    <w:rsid w:val="69F525FF"/>
    <w:rsid w:val="69F54C97"/>
    <w:rsid w:val="69F65ECC"/>
    <w:rsid w:val="69F85C3D"/>
    <w:rsid w:val="69F85C4B"/>
    <w:rsid w:val="69FB573C"/>
    <w:rsid w:val="69FF522C"/>
    <w:rsid w:val="6A022F6E"/>
    <w:rsid w:val="6A040A94"/>
    <w:rsid w:val="6A0665BA"/>
    <w:rsid w:val="6A072332"/>
    <w:rsid w:val="6A0740E0"/>
    <w:rsid w:val="6A0B4CE6"/>
    <w:rsid w:val="6A0E36C1"/>
    <w:rsid w:val="6A130CD7"/>
    <w:rsid w:val="6A1546A5"/>
    <w:rsid w:val="6A161ADF"/>
    <w:rsid w:val="6A1A306D"/>
    <w:rsid w:val="6A1B5094"/>
    <w:rsid w:val="6A1C5DDE"/>
    <w:rsid w:val="6A217DA6"/>
    <w:rsid w:val="6A22716C"/>
    <w:rsid w:val="6A230B6F"/>
    <w:rsid w:val="6A2353BE"/>
    <w:rsid w:val="6A2A0638"/>
    <w:rsid w:val="6A2E5B11"/>
    <w:rsid w:val="6A301889"/>
    <w:rsid w:val="6A303173"/>
    <w:rsid w:val="6A3325CE"/>
    <w:rsid w:val="6A3A2708"/>
    <w:rsid w:val="6A3A7157"/>
    <w:rsid w:val="6A440E91"/>
    <w:rsid w:val="6A5347FA"/>
    <w:rsid w:val="6A5D1F52"/>
    <w:rsid w:val="6A5F5CCB"/>
    <w:rsid w:val="6A615EE7"/>
    <w:rsid w:val="6A6424BD"/>
    <w:rsid w:val="6A6652AB"/>
    <w:rsid w:val="6A69256E"/>
    <w:rsid w:val="6A6B0D78"/>
    <w:rsid w:val="6A6E5F0E"/>
    <w:rsid w:val="6A6F52FC"/>
    <w:rsid w:val="6A723E22"/>
    <w:rsid w:val="6A7259FE"/>
    <w:rsid w:val="6A735AF7"/>
    <w:rsid w:val="6A745822"/>
    <w:rsid w:val="6A770E80"/>
    <w:rsid w:val="6A7774B8"/>
    <w:rsid w:val="6A793230"/>
    <w:rsid w:val="6A7A6FA8"/>
    <w:rsid w:val="6A7D07B7"/>
    <w:rsid w:val="6A7D62D5"/>
    <w:rsid w:val="6A871B04"/>
    <w:rsid w:val="6A8A71EB"/>
    <w:rsid w:val="6A8E035E"/>
    <w:rsid w:val="6A9242F2"/>
    <w:rsid w:val="6A955B90"/>
    <w:rsid w:val="6A9568EA"/>
    <w:rsid w:val="6A971908"/>
    <w:rsid w:val="6A98310C"/>
    <w:rsid w:val="6A9A6D03"/>
    <w:rsid w:val="6A9D3F84"/>
    <w:rsid w:val="6AA33E09"/>
    <w:rsid w:val="6AA36AD3"/>
    <w:rsid w:val="6AA45DD3"/>
    <w:rsid w:val="6AA638F9"/>
    <w:rsid w:val="6AA7186A"/>
    <w:rsid w:val="6AAB0F10"/>
    <w:rsid w:val="6AAF0A00"/>
    <w:rsid w:val="6AB029CA"/>
    <w:rsid w:val="6AB15A99"/>
    <w:rsid w:val="6AB63605"/>
    <w:rsid w:val="6ABC311D"/>
    <w:rsid w:val="6AC010FD"/>
    <w:rsid w:val="6AC124E1"/>
    <w:rsid w:val="6AC21899"/>
    <w:rsid w:val="6AC26350"/>
    <w:rsid w:val="6AC56475"/>
    <w:rsid w:val="6AC82FF8"/>
    <w:rsid w:val="6ACA20A2"/>
    <w:rsid w:val="6ACB7804"/>
    <w:rsid w:val="6AD06BC8"/>
    <w:rsid w:val="6AD22940"/>
    <w:rsid w:val="6AD93CCF"/>
    <w:rsid w:val="6AE14931"/>
    <w:rsid w:val="6AE16007"/>
    <w:rsid w:val="6AE61F48"/>
    <w:rsid w:val="6AE844A1"/>
    <w:rsid w:val="6AEA5EDC"/>
    <w:rsid w:val="6AEB70B9"/>
    <w:rsid w:val="6AEB755E"/>
    <w:rsid w:val="6AF705F9"/>
    <w:rsid w:val="6AFA2E38"/>
    <w:rsid w:val="6AFB1E97"/>
    <w:rsid w:val="6AFB3C45"/>
    <w:rsid w:val="6AFE0DE2"/>
    <w:rsid w:val="6AFE22C8"/>
    <w:rsid w:val="6B0013F8"/>
    <w:rsid w:val="6B053E50"/>
    <w:rsid w:val="6B0638BC"/>
    <w:rsid w:val="6B074C8D"/>
    <w:rsid w:val="6B080110"/>
    <w:rsid w:val="6B0845B4"/>
    <w:rsid w:val="6B1709A6"/>
    <w:rsid w:val="6B1765A5"/>
    <w:rsid w:val="6B1E7934"/>
    <w:rsid w:val="6B1F62A6"/>
    <w:rsid w:val="6B26130D"/>
    <w:rsid w:val="6B2A0087"/>
    <w:rsid w:val="6B2A606B"/>
    <w:rsid w:val="6B317667"/>
    <w:rsid w:val="6B380BB3"/>
    <w:rsid w:val="6B3A5796"/>
    <w:rsid w:val="6B3A7059"/>
    <w:rsid w:val="6B3D425E"/>
    <w:rsid w:val="6B4078AA"/>
    <w:rsid w:val="6B45401D"/>
    <w:rsid w:val="6B4954CA"/>
    <w:rsid w:val="6B4C44A1"/>
    <w:rsid w:val="6B563571"/>
    <w:rsid w:val="6B573D7E"/>
    <w:rsid w:val="6B5769F1"/>
    <w:rsid w:val="6B581098"/>
    <w:rsid w:val="6B594E10"/>
    <w:rsid w:val="6B613F56"/>
    <w:rsid w:val="6B6712DB"/>
    <w:rsid w:val="6B680BAF"/>
    <w:rsid w:val="6B6A2B79"/>
    <w:rsid w:val="6B6D2669"/>
    <w:rsid w:val="6B741AFD"/>
    <w:rsid w:val="6B7632CC"/>
    <w:rsid w:val="6B782B8D"/>
    <w:rsid w:val="6B7E3E65"/>
    <w:rsid w:val="6B9145AA"/>
    <w:rsid w:val="6B945E48"/>
    <w:rsid w:val="6B9749E2"/>
    <w:rsid w:val="6B9D4CFC"/>
    <w:rsid w:val="6BA12D87"/>
    <w:rsid w:val="6BA75B7B"/>
    <w:rsid w:val="6BAC13E3"/>
    <w:rsid w:val="6BAE1E2A"/>
    <w:rsid w:val="6BAF7D3A"/>
    <w:rsid w:val="6BB63F85"/>
    <w:rsid w:val="6BC04E8F"/>
    <w:rsid w:val="6BC524A5"/>
    <w:rsid w:val="6BC77FCB"/>
    <w:rsid w:val="6BCF25D4"/>
    <w:rsid w:val="6BD10E4A"/>
    <w:rsid w:val="6BD66460"/>
    <w:rsid w:val="6BD915C1"/>
    <w:rsid w:val="6BE24AC9"/>
    <w:rsid w:val="6BE50451"/>
    <w:rsid w:val="6BE8703F"/>
    <w:rsid w:val="6BEB1996"/>
    <w:rsid w:val="6BF012D0"/>
    <w:rsid w:val="6BF0457E"/>
    <w:rsid w:val="6BF6265F"/>
    <w:rsid w:val="6BF677C1"/>
    <w:rsid w:val="6BF83D38"/>
    <w:rsid w:val="6BFA3EFD"/>
    <w:rsid w:val="6BFD39ED"/>
    <w:rsid w:val="6C04061E"/>
    <w:rsid w:val="6C040838"/>
    <w:rsid w:val="6C051CDB"/>
    <w:rsid w:val="6C07486C"/>
    <w:rsid w:val="6C074BBA"/>
    <w:rsid w:val="6C085AAD"/>
    <w:rsid w:val="6C0C1E82"/>
    <w:rsid w:val="6C123379"/>
    <w:rsid w:val="6C123A56"/>
    <w:rsid w:val="6C133210"/>
    <w:rsid w:val="6C1672C1"/>
    <w:rsid w:val="6C183322"/>
    <w:rsid w:val="6C1A634D"/>
    <w:rsid w:val="6C1F3963"/>
    <w:rsid w:val="6C1F54D7"/>
    <w:rsid w:val="6C1F5711"/>
    <w:rsid w:val="6C2245FA"/>
    <w:rsid w:val="6C264CF2"/>
    <w:rsid w:val="6C296590"/>
    <w:rsid w:val="6C2B055A"/>
    <w:rsid w:val="6C305B70"/>
    <w:rsid w:val="6C376EFF"/>
    <w:rsid w:val="6C396CFE"/>
    <w:rsid w:val="6C3D028D"/>
    <w:rsid w:val="6C3D25C6"/>
    <w:rsid w:val="6C41005C"/>
    <w:rsid w:val="6C417D7E"/>
    <w:rsid w:val="6C45090D"/>
    <w:rsid w:val="6C4A7483"/>
    <w:rsid w:val="6C4E4249"/>
    <w:rsid w:val="6C5475FA"/>
    <w:rsid w:val="6C580609"/>
    <w:rsid w:val="6C5A2BED"/>
    <w:rsid w:val="6C5D1908"/>
    <w:rsid w:val="6C5D448C"/>
    <w:rsid w:val="6C5E767B"/>
    <w:rsid w:val="6C6067E2"/>
    <w:rsid w:val="6C636971"/>
    <w:rsid w:val="6C662BE4"/>
    <w:rsid w:val="6C6A16B7"/>
    <w:rsid w:val="6C747B81"/>
    <w:rsid w:val="6C7A1FD0"/>
    <w:rsid w:val="6C7A3290"/>
    <w:rsid w:val="6C7B240D"/>
    <w:rsid w:val="6C7D068A"/>
    <w:rsid w:val="6C8163CC"/>
    <w:rsid w:val="6C8212E1"/>
    <w:rsid w:val="6C823EF2"/>
    <w:rsid w:val="6C8374F0"/>
    <w:rsid w:val="6C841A18"/>
    <w:rsid w:val="6C875A7A"/>
    <w:rsid w:val="6C881DD9"/>
    <w:rsid w:val="6C8B2DA7"/>
    <w:rsid w:val="6C8E2897"/>
    <w:rsid w:val="6C8E5D8F"/>
    <w:rsid w:val="6C951E77"/>
    <w:rsid w:val="6C9F4AA4"/>
    <w:rsid w:val="6CA16A6E"/>
    <w:rsid w:val="6CA4287F"/>
    <w:rsid w:val="6CA70B80"/>
    <w:rsid w:val="6CA95923"/>
    <w:rsid w:val="6CAD71C1"/>
    <w:rsid w:val="6CB001A9"/>
    <w:rsid w:val="6CB202B7"/>
    <w:rsid w:val="6CB21ACB"/>
    <w:rsid w:val="6CB25092"/>
    <w:rsid w:val="6CB25A9E"/>
    <w:rsid w:val="6CB26586"/>
    <w:rsid w:val="6CB467A2"/>
    <w:rsid w:val="6CB611D0"/>
    <w:rsid w:val="6CB70040"/>
    <w:rsid w:val="6CB744E6"/>
    <w:rsid w:val="6CB93DB8"/>
    <w:rsid w:val="6CB9496E"/>
    <w:rsid w:val="6CBA7124"/>
    <w:rsid w:val="6CC14A1B"/>
    <w:rsid w:val="6CC369E5"/>
    <w:rsid w:val="6CC4275D"/>
    <w:rsid w:val="6CC562B4"/>
    <w:rsid w:val="6CC60283"/>
    <w:rsid w:val="6CC77E10"/>
    <w:rsid w:val="6CCD1611"/>
    <w:rsid w:val="6CCE243E"/>
    <w:rsid w:val="6CCF5389"/>
    <w:rsid w:val="6CD40BF2"/>
    <w:rsid w:val="6CD429A0"/>
    <w:rsid w:val="6CD75FEC"/>
    <w:rsid w:val="6CDA35A6"/>
    <w:rsid w:val="6CDB1EFD"/>
    <w:rsid w:val="6CDE55CC"/>
    <w:rsid w:val="6CDF6C9B"/>
    <w:rsid w:val="6CE025C3"/>
    <w:rsid w:val="6CE10C19"/>
    <w:rsid w:val="6CE15783"/>
    <w:rsid w:val="6CE64481"/>
    <w:rsid w:val="6CE81FA7"/>
    <w:rsid w:val="6CEA21C3"/>
    <w:rsid w:val="6CEB1A97"/>
    <w:rsid w:val="6CF03552"/>
    <w:rsid w:val="6CF21078"/>
    <w:rsid w:val="6CF55BD2"/>
    <w:rsid w:val="6CFC5A53"/>
    <w:rsid w:val="6CFE5C6F"/>
    <w:rsid w:val="6D036DE1"/>
    <w:rsid w:val="6D042B59"/>
    <w:rsid w:val="6D065460"/>
    <w:rsid w:val="6D0A0937"/>
    <w:rsid w:val="6D0E5786"/>
    <w:rsid w:val="6D185805"/>
    <w:rsid w:val="6D194857"/>
    <w:rsid w:val="6D1A237D"/>
    <w:rsid w:val="6D1C7EA3"/>
    <w:rsid w:val="6D1F412E"/>
    <w:rsid w:val="6D282CEC"/>
    <w:rsid w:val="6D29138D"/>
    <w:rsid w:val="6D2F407A"/>
    <w:rsid w:val="6D2F4866"/>
    <w:rsid w:val="6D301BA0"/>
    <w:rsid w:val="6D3451EC"/>
    <w:rsid w:val="6D357FAA"/>
    <w:rsid w:val="6D36445F"/>
    <w:rsid w:val="6D371181"/>
    <w:rsid w:val="6D3715F0"/>
    <w:rsid w:val="6D373845"/>
    <w:rsid w:val="6D3A43C4"/>
    <w:rsid w:val="6D421047"/>
    <w:rsid w:val="6D4573FA"/>
    <w:rsid w:val="6D464F20"/>
    <w:rsid w:val="6D485F0B"/>
    <w:rsid w:val="6D4C4C2C"/>
    <w:rsid w:val="6D51777A"/>
    <w:rsid w:val="6D527D69"/>
    <w:rsid w:val="6D54763D"/>
    <w:rsid w:val="6D57537F"/>
    <w:rsid w:val="6D592EA5"/>
    <w:rsid w:val="6D5D1E11"/>
    <w:rsid w:val="6D64597E"/>
    <w:rsid w:val="6D65184A"/>
    <w:rsid w:val="6D66247D"/>
    <w:rsid w:val="6D667370"/>
    <w:rsid w:val="6D6A50B2"/>
    <w:rsid w:val="6D6F7FB5"/>
    <w:rsid w:val="6D704099"/>
    <w:rsid w:val="6D711757"/>
    <w:rsid w:val="6D714C37"/>
    <w:rsid w:val="6D745F31"/>
    <w:rsid w:val="6D765805"/>
    <w:rsid w:val="6D77157D"/>
    <w:rsid w:val="6D785A21"/>
    <w:rsid w:val="6D7E0B5E"/>
    <w:rsid w:val="6D8141AA"/>
    <w:rsid w:val="6D8343C6"/>
    <w:rsid w:val="6D841E4C"/>
    <w:rsid w:val="6D875C64"/>
    <w:rsid w:val="6D887843"/>
    <w:rsid w:val="6D8C327A"/>
    <w:rsid w:val="6D9024E7"/>
    <w:rsid w:val="6D960849"/>
    <w:rsid w:val="6D9744CE"/>
    <w:rsid w:val="6D9A2302"/>
    <w:rsid w:val="6D9D0662"/>
    <w:rsid w:val="6DA02882"/>
    <w:rsid w:val="6DA93E2C"/>
    <w:rsid w:val="6DAB19F7"/>
    <w:rsid w:val="6DAF51BB"/>
    <w:rsid w:val="6DB12CE1"/>
    <w:rsid w:val="6DB24BA6"/>
    <w:rsid w:val="6DB61FA8"/>
    <w:rsid w:val="6DB93944"/>
    <w:rsid w:val="6DBC51E2"/>
    <w:rsid w:val="6DBD2B82"/>
    <w:rsid w:val="6DBD739B"/>
    <w:rsid w:val="6DBF5C2F"/>
    <w:rsid w:val="6DCC1FD8"/>
    <w:rsid w:val="6DD30EA9"/>
    <w:rsid w:val="6DD864C0"/>
    <w:rsid w:val="6DD95D94"/>
    <w:rsid w:val="6DDB7188"/>
    <w:rsid w:val="6DDB7D5E"/>
    <w:rsid w:val="6DDD606D"/>
    <w:rsid w:val="6DDF784E"/>
    <w:rsid w:val="6DE24C48"/>
    <w:rsid w:val="6DE27F68"/>
    <w:rsid w:val="6DE32C62"/>
    <w:rsid w:val="6DE54DB4"/>
    <w:rsid w:val="6DEA355E"/>
    <w:rsid w:val="6DEE6C91"/>
    <w:rsid w:val="6DF1132F"/>
    <w:rsid w:val="6E02353D"/>
    <w:rsid w:val="6E033F65"/>
    <w:rsid w:val="6E054DDB"/>
    <w:rsid w:val="6E076DA5"/>
    <w:rsid w:val="6E0A419F"/>
    <w:rsid w:val="6E0A6B8F"/>
    <w:rsid w:val="6E0D76CF"/>
    <w:rsid w:val="6E0E1EE1"/>
    <w:rsid w:val="6E0E3C8F"/>
    <w:rsid w:val="6E0E5A3E"/>
    <w:rsid w:val="6E1556F6"/>
    <w:rsid w:val="6E157CF6"/>
    <w:rsid w:val="6E194F65"/>
    <w:rsid w:val="6E1A7BAB"/>
    <w:rsid w:val="6E2416B3"/>
    <w:rsid w:val="6E274D51"/>
    <w:rsid w:val="6E2873CD"/>
    <w:rsid w:val="6E292877"/>
    <w:rsid w:val="6E2B2A93"/>
    <w:rsid w:val="6E2D3BE1"/>
    <w:rsid w:val="6E3240B9"/>
    <w:rsid w:val="6E330C7F"/>
    <w:rsid w:val="6E36784A"/>
    <w:rsid w:val="6E3851B0"/>
    <w:rsid w:val="6E3B25AB"/>
    <w:rsid w:val="6E4516A7"/>
    <w:rsid w:val="6E453572"/>
    <w:rsid w:val="6E470F4F"/>
    <w:rsid w:val="6E4A1482"/>
    <w:rsid w:val="6E4C47B8"/>
    <w:rsid w:val="6E535EB5"/>
    <w:rsid w:val="6E5648AB"/>
    <w:rsid w:val="6E5B014A"/>
    <w:rsid w:val="6E5B1CA5"/>
    <w:rsid w:val="6E6265D7"/>
    <w:rsid w:val="6E661CDF"/>
    <w:rsid w:val="6E6721AC"/>
    <w:rsid w:val="6E6933A5"/>
    <w:rsid w:val="6E6C6C08"/>
    <w:rsid w:val="6E6E1453"/>
    <w:rsid w:val="6E6E472E"/>
    <w:rsid w:val="6E70494A"/>
    <w:rsid w:val="6E724C82"/>
    <w:rsid w:val="6E7475A2"/>
    <w:rsid w:val="6E75014A"/>
    <w:rsid w:val="6E7A0843"/>
    <w:rsid w:val="6E7A30D3"/>
    <w:rsid w:val="6E7B7A52"/>
    <w:rsid w:val="6E7C1985"/>
    <w:rsid w:val="6E7E0654"/>
    <w:rsid w:val="6E7F1478"/>
    <w:rsid w:val="6E890C6B"/>
    <w:rsid w:val="6E8C6ECD"/>
    <w:rsid w:val="6E906D9A"/>
    <w:rsid w:val="6E942999"/>
    <w:rsid w:val="6E943D12"/>
    <w:rsid w:val="6E95615F"/>
    <w:rsid w:val="6E957F0D"/>
    <w:rsid w:val="6E9616EC"/>
    <w:rsid w:val="6E997F0F"/>
    <w:rsid w:val="6E9A19C7"/>
    <w:rsid w:val="6E9C129B"/>
    <w:rsid w:val="6E9E1910"/>
    <w:rsid w:val="6E9F4AB8"/>
    <w:rsid w:val="6EA168B2"/>
    <w:rsid w:val="6EA41CA9"/>
    <w:rsid w:val="6EA81D9B"/>
    <w:rsid w:val="6EB26D11"/>
    <w:rsid w:val="6EB81E4D"/>
    <w:rsid w:val="6EB83BFB"/>
    <w:rsid w:val="6EBD10DA"/>
    <w:rsid w:val="6EBF4F8A"/>
    <w:rsid w:val="6EC1305B"/>
    <w:rsid w:val="6EC151A6"/>
    <w:rsid w:val="6EC3474D"/>
    <w:rsid w:val="6EC36093"/>
    <w:rsid w:val="6EC802E2"/>
    <w:rsid w:val="6ECC0AB3"/>
    <w:rsid w:val="6ED0380E"/>
    <w:rsid w:val="6ED554AF"/>
    <w:rsid w:val="6ED70525"/>
    <w:rsid w:val="6ED722D3"/>
    <w:rsid w:val="6EDA1DC4"/>
    <w:rsid w:val="6EDF73DA"/>
    <w:rsid w:val="6EE52C8E"/>
    <w:rsid w:val="6EE80984"/>
    <w:rsid w:val="6EE90351"/>
    <w:rsid w:val="6EE9748D"/>
    <w:rsid w:val="6EEA3674"/>
    <w:rsid w:val="6EF015E7"/>
    <w:rsid w:val="6EF701D4"/>
    <w:rsid w:val="6EF70BC7"/>
    <w:rsid w:val="6EF966EE"/>
    <w:rsid w:val="6F0137F4"/>
    <w:rsid w:val="6F01585D"/>
    <w:rsid w:val="6F063978"/>
    <w:rsid w:val="6F082DD5"/>
    <w:rsid w:val="6F084B83"/>
    <w:rsid w:val="6F086BFD"/>
    <w:rsid w:val="6F0B6D4E"/>
    <w:rsid w:val="6F174DC6"/>
    <w:rsid w:val="6F1B210F"/>
    <w:rsid w:val="6F20011E"/>
    <w:rsid w:val="6F241291"/>
    <w:rsid w:val="6F286FD3"/>
    <w:rsid w:val="6F3060B1"/>
    <w:rsid w:val="6F330183"/>
    <w:rsid w:val="6F345978"/>
    <w:rsid w:val="6F347726"/>
    <w:rsid w:val="6F351A3E"/>
    <w:rsid w:val="6F3732B4"/>
    <w:rsid w:val="6F3911E0"/>
    <w:rsid w:val="6F3B4F58"/>
    <w:rsid w:val="6F3E05A4"/>
    <w:rsid w:val="6F3E2352"/>
    <w:rsid w:val="6F4064D3"/>
    <w:rsid w:val="6F4162E7"/>
    <w:rsid w:val="6F4638FD"/>
    <w:rsid w:val="6F4831D1"/>
    <w:rsid w:val="6F4A42DA"/>
    <w:rsid w:val="6F4D1A43"/>
    <w:rsid w:val="6F4D355C"/>
    <w:rsid w:val="6F542632"/>
    <w:rsid w:val="6F592FA2"/>
    <w:rsid w:val="6F5953DE"/>
    <w:rsid w:val="6F5A7708"/>
    <w:rsid w:val="6F5E29F5"/>
    <w:rsid w:val="6F683873"/>
    <w:rsid w:val="6F6A1399"/>
    <w:rsid w:val="6F6B532E"/>
    <w:rsid w:val="6F6D70DC"/>
    <w:rsid w:val="6F6D76F9"/>
    <w:rsid w:val="6F6F1105"/>
    <w:rsid w:val="6F735C85"/>
    <w:rsid w:val="6F751AEC"/>
    <w:rsid w:val="6F827A19"/>
    <w:rsid w:val="6F831F50"/>
    <w:rsid w:val="6F863CF9"/>
    <w:rsid w:val="6F865AA7"/>
    <w:rsid w:val="6F8A3E42"/>
    <w:rsid w:val="6F8C57B4"/>
    <w:rsid w:val="6F8E2F5C"/>
    <w:rsid w:val="6F963F3C"/>
    <w:rsid w:val="6FA10B33"/>
    <w:rsid w:val="6FA75643"/>
    <w:rsid w:val="6FAA5C3A"/>
    <w:rsid w:val="6FAD0A18"/>
    <w:rsid w:val="6FAE76E0"/>
    <w:rsid w:val="6FAF14A2"/>
    <w:rsid w:val="6FAF4FFE"/>
    <w:rsid w:val="6FB35C1F"/>
    <w:rsid w:val="6FB50061"/>
    <w:rsid w:val="6FB53110"/>
    <w:rsid w:val="6FBB1BF5"/>
    <w:rsid w:val="6FBB39A3"/>
    <w:rsid w:val="6FBC771B"/>
    <w:rsid w:val="6FC571F3"/>
    <w:rsid w:val="6FC64095"/>
    <w:rsid w:val="6FC6728A"/>
    <w:rsid w:val="6FC82564"/>
    <w:rsid w:val="6FD42AFF"/>
    <w:rsid w:val="6FD66A2F"/>
    <w:rsid w:val="6FDB2297"/>
    <w:rsid w:val="6FDB399B"/>
    <w:rsid w:val="6FDB4045"/>
    <w:rsid w:val="6FE23E90"/>
    <w:rsid w:val="6FE27182"/>
    <w:rsid w:val="6FE8485E"/>
    <w:rsid w:val="6FEB4920"/>
    <w:rsid w:val="6FEC31D6"/>
    <w:rsid w:val="6FEF189F"/>
    <w:rsid w:val="6FF124B6"/>
    <w:rsid w:val="6FF13869"/>
    <w:rsid w:val="6FF230A4"/>
    <w:rsid w:val="6FF2313D"/>
    <w:rsid w:val="6FF70753"/>
    <w:rsid w:val="70010F5A"/>
    <w:rsid w:val="700714A0"/>
    <w:rsid w:val="7007308C"/>
    <w:rsid w:val="70074E3A"/>
    <w:rsid w:val="700B1ACC"/>
    <w:rsid w:val="700C69E4"/>
    <w:rsid w:val="700E4753"/>
    <w:rsid w:val="700E47B4"/>
    <w:rsid w:val="700F4A38"/>
    <w:rsid w:val="70141305"/>
    <w:rsid w:val="7014226E"/>
    <w:rsid w:val="70157A9F"/>
    <w:rsid w:val="7019691C"/>
    <w:rsid w:val="701C39A1"/>
    <w:rsid w:val="701C72FC"/>
    <w:rsid w:val="701C79D2"/>
    <w:rsid w:val="70230F84"/>
    <w:rsid w:val="702841B4"/>
    <w:rsid w:val="702B2918"/>
    <w:rsid w:val="702C48A1"/>
    <w:rsid w:val="703009A1"/>
    <w:rsid w:val="703467E6"/>
    <w:rsid w:val="703A1AC1"/>
    <w:rsid w:val="70400485"/>
    <w:rsid w:val="704430E8"/>
    <w:rsid w:val="70452938"/>
    <w:rsid w:val="704A3FF8"/>
    <w:rsid w:val="7055204A"/>
    <w:rsid w:val="70553DF8"/>
    <w:rsid w:val="7056082F"/>
    <w:rsid w:val="7056191E"/>
    <w:rsid w:val="705B6F34"/>
    <w:rsid w:val="70622952"/>
    <w:rsid w:val="70643C0B"/>
    <w:rsid w:val="70657DB3"/>
    <w:rsid w:val="70673B2B"/>
    <w:rsid w:val="706758D9"/>
    <w:rsid w:val="706C2EEF"/>
    <w:rsid w:val="706D1692"/>
    <w:rsid w:val="706E6C67"/>
    <w:rsid w:val="70704095"/>
    <w:rsid w:val="707327C8"/>
    <w:rsid w:val="70761FC0"/>
    <w:rsid w:val="70785D38"/>
    <w:rsid w:val="707A385E"/>
    <w:rsid w:val="707B2A29"/>
    <w:rsid w:val="707C234E"/>
    <w:rsid w:val="707F2C23"/>
    <w:rsid w:val="70847FC3"/>
    <w:rsid w:val="70862203"/>
    <w:rsid w:val="708C576B"/>
    <w:rsid w:val="70904F00"/>
    <w:rsid w:val="70913BF0"/>
    <w:rsid w:val="709155F6"/>
    <w:rsid w:val="709312F3"/>
    <w:rsid w:val="70974A76"/>
    <w:rsid w:val="70A26911"/>
    <w:rsid w:val="70A35193"/>
    <w:rsid w:val="70A64653"/>
    <w:rsid w:val="70A77F5E"/>
    <w:rsid w:val="70A95EF1"/>
    <w:rsid w:val="70B65671"/>
    <w:rsid w:val="70BD199D"/>
    <w:rsid w:val="70BD3F1C"/>
    <w:rsid w:val="70BF2304"/>
    <w:rsid w:val="70C44940"/>
    <w:rsid w:val="70C500E8"/>
    <w:rsid w:val="70C96594"/>
    <w:rsid w:val="70D016D0"/>
    <w:rsid w:val="70D72181"/>
    <w:rsid w:val="70D864B3"/>
    <w:rsid w:val="70D95624"/>
    <w:rsid w:val="70DC1E23"/>
    <w:rsid w:val="70DD3DED"/>
    <w:rsid w:val="70DE203F"/>
    <w:rsid w:val="70E01E87"/>
    <w:rsid w:val="70E34192"/>
    <w:rsid w:val="70E37655"/>
    <w:rsid w:val="70E42B4C"/>
    <w:rsid w:val="70E645B8"/>
    <w:rsid w:val="70E878E9"/>
    <w:rsid w:val="70E94540"/>
    <w:rsid w:val="70EC5DDE"/>
    <w:rsid w:val="70F01D72"/>
    <w:rsid w:val="70F03B20"/>
    <w:rsid w:val="70F17984"/>
    <w:rsid w:val="70F213F3"/>
    <w:rsid w:val="70F330A2"/>
    <w:rsid w:val="70F829D5"/>
    <w:rsid w:val="70FB0F90"/>
    <w:rsid w:val="70FF1FB5"/>
    <w:rsid w:val="71074DB7"/>
    <w:rsid w:val="71091BAC"/>
    <w:rsid w:val="711041C2"/>
    <w:rsid w:val="7118458F"/>
    <w:rsid w:val="71193077"/>
    <w:rsid w:val="711A33BE"/>
    <w:rsid w:val="711D6D05"/>
    <w:rsid w:val="711E7547"/>
    <w:rsid w:val="71223D8A"/>
    <w:rsid w:val="7123505E"/>
    <w:rsid w:val="7128150C"/>
    <w:rsid w:val="712B4B58"/>
    <w:rsid w:val="71353C29"/>
    <w:rsid w:val="713A2260"/>
    <w:rsid w:val="714238D8"/>
    <w:rsid w:val="71427BAA"/>
    <w:rsid w:val="71461992"/>
    <w:rsid w:val="71467BE4"/>
    <w:rsid w:val="7148342E"/>
    <w:rsid w:val="71494C91"/>
    <w:rsid w:val="714E0847"/>
    <w:rsid w:val="714F52AF"/>
    <w:rsid w:val="71502811"/>
    <w:rsid w:val="71535E5D"/>
    <w:rsid w:val="7154142B"/>
    <w:rsid w:val="715C11B6"/>
    <w:rsid w:val="715C7408"/>
    <w:rsid w:val="715F3336"/>
    <w:rsid w:val="71632544"/>
    <w:rsid w:val="716360A0"/>
    <w:rsid w:val="71687B5B"/>
    <w:rsid w:val="716B01AA"/>
    <w:rsid w:val="716F32FB"/>
    <w:rsid w:val="71722787"/>
    <w:rsid w:val="71737D84"/>
    <w:rsid w:val="717402AD"/>
    <w:rsid w:val="717E112C"/>
    <w:rsid w:val="717E737E"/>
    <w:rsid w:val="718211D7"/>
    <w:rsid w:val="718524BB"/>
    <w:rsid w:val="718A5D23"/>
    <w:rsid w:val="718E4C5A"/>
    <w:rsid w:val="71924BD7"/>
    <w:rsid w:val="719552FF"/>
    <w:rsid w:val="71967348"/>
    <w:rsid w:val="719B5840"/>
    <w:rsid w:val="719E2F66"/>
    <w:rsid w:val="71A768D5"/>
    <w:rsid w:val="71A868E3"/>
    <w:rsid w:val="71AC6AA2"/>
    <w:rsid w:val="71AF12E6"/>
    <w:rsid w:val="71AF7537"/>
    <w:rsid w:val="71B11502"/>
    <w:rsid w:val="71B21F4E"/>
    <w:rsid w:val="71B400B8"/>
    <w:rsid w:val="71B47D1E"/>
    <w:rsid w:val="71B72E19"/>
    <w:rsid w:val="71C0472B"/>
    <w:rsid w:val="71C05268"/>
    <w:rsid w:val="71C07997"/>
    <w:rsid w:val="71C46692"/>
    <w:rsid w:val="71C46789"/>
    <w:rsid w:val="71CA3032"/>
    <w:rsid w:val="71CA611F"/>
    <w:rsid w:val="71D543D4"/>
    <w:rsid w:val="71D61D0F"/>
    <w:rsid w:val="71D84CE0"/>
    <w:rsid w:val="71DD0AB9"/>
    <w:rsid w:val="71DF3BD0"/>
    <w:rsid w:val="71E202B2"/>
    <w:rsid w:val="71E2790D"/>
    <w:rsid w:val="71E578D7"/>
    <w:rsid w:val="71E73175"/>
    <w:rsid w:val="71E76CD1"/>
    <w:rsid w:val="71E9373A"/>
    <w:rsid w:val="71E96CF5"/>
    <w:rsid w:val="71EA0570"/>
    <w:rsid w:val="71ED1E0E"/>
    <w:rsid w:val="71EF3344"/>
    <w:rsid w:val="71EF5B86"/>
    <w:rsid w:val="71F303F3"/>
    <w:rsid w:val="71F60C84"/>
    <w:rsid w:val="71F907B3"/>
    <w:rsid w:val="71FB4E68"/>
    <w:rsid w:val="71FD7EDC"/>
    <w:rsid w:val="72021D5D"/>
    <w:rsid w:val="720640AE"/>
    <w:rsid w:val="720F6228"/>
    <w:rsid w:val="72127437"/>
    <w:rsid w:val="72141CB1"/>
    <w:rsid w:val="72166043"/>
    <w:rsid w:val="721750DD"/>
    <w:rsid w:val="72192934"/>
    <w:rsid w:val="721E58E3"/>
    <w:rsid w:val="72231CD3"/>
    <w:rsid w:val="72233A82"/>
    <w:rsid w:val="722D66AE"/>
    <w:rsid w:val="722E0072"/>
    <w:rsid w:val="723143F0"/>
    <w:rsid w:val="72323CC5"/>
    <w:rsid w:val="72331F17"/>
    <w:rsid w:val="723652CB"/>
    <w:rsid w:val="72377F2E"/>
    <w:rsid w:val="7239362B"/>
    <w:rsid w:val="723B0DCB"/>
    <w:rsid w:val="723B1205"/>
    <w:rsid w:val="72404633"/>
    <w:rsid w:val="7241389E"/>
    <w:rsid w:val="72430F2A"/>
    <w:rsid w:val="72451C4A"/>
    <w:rsid w:val="72477770"/>
    <w:rsid w:val="7249173A"/>
    <w:rsid w:val="724F14AD"/>
    <w:rsid w:val="72514A93"/>
    <w:rsid w:val="72550908"/>
    <w:rsid w:val="7258372B"/>
    <w:rsid w:val="725956F5"/>
    <w:rsid w:val="725974A3"/>
    <w:rsid w:val="726227FC"/>
    <w:rsid w:val="726447C6"/>
    <w:rsid w:val="726B17C6"/>
    <w:rsid w:val="726E11A1"/>
    <w:rsid w:val="726E2F4F"/>
    <w:rsid w:val="726F4F19"/>
    <w:rsid w:val="726F6CC7"/>
    <w:rsid w:val="7270627F"/>
    <w:rsid w:val="727B1B10"/>
    <w:rsid w:val="727B38BE"/>
    <w:rsid w:val="727D3FE6"/>
    <w:rsid w:val="727E6F0A"/>
    <w:rsid w:val="727E7176"/>
    <w:rsid w:val="72800ED4"/>
    <w:rsid w:val="72802C82"/>
    <w:rsid w:val="72810D31"/>
    <w:rsid w:val="72824C4C"/>
    <w:rsid w:val="72850298"/>
    <w:rsid w:val="72875A4C"/>
    <w:rsid w:val="728940B2"/>
    <w:rsid w:val="728E11E3"/>
    <w:rsid w:val="7293330E"/>
    <w:rsid w:val="72972F57"/>
    <w:rsid w:val="729B36AB"/>
    <w:rsid w:val="729C2CCE"/>
    <w:rsid w:val="729C7838"/>
    <w:rsid w:val="72A1635F"/>
    <w:rsid w:val="72A20E4A"/>
    <w:rsid w:val="72A921D9"/>
    <w:rsid w:val="72AD7B57"/>
    <w:rsid w:val="72B664E0"/>
    <w:rsid w:val="72B666A4"/>
    <w:rsid w:val="72B73991"/>
    <w:rsid w:val="72B8066E"/>
    <w:rsid w:val="72B868C0"/>
    <w:rsid w:val="72B921A3"/>
    <w:rsid w:val="72BB015E"/>
    <w:rsid w:val="72BD0CAF"/>
    <w:rsid w:val="72BF37AA"/>
    <w:rsid w:val="72C04A5B"/>
    <w:rsid w:val="72C07522"/>
    <w:rsid w:val="72C14BAA"/>
    <w:rsid w:val="72CB03A1"/>
    <w:rsid w:val="72D27981"/>
    <w:rsid w:val="72D40328"/>
    <w:rsid w:val="72D5042B"/>
    <w:rsid w:val="72D60AF4"/>
    <w:rsid w:val="72D64389"/>
    <w:rsid w:val="72D8486C"/>
    <w:rsid w:val="72D923EE"/>
    <w:rsid w:val="72DC7256"/>
    <w:rsid w:val="72DE6164"/>
    <w:rsid w:val="72E74AAF"/>
    <w:rsid w:val="72F04E87"/>
    <w:rsid w:val="72F1121E"/>
    <w:rsid w:val="72F378F8"/>
    <w:rsid w:val="72F50DA2"/>
    <w:rsid w:val="72F519C4"/>
    <w:rsid w:val="72F71C5D"/>
    <w:rsid w:val="72F93B55"/>
    <w:rsid w:val="72FA6ED8"/>
    <w:rsid w:val="72FB060A"/>
    <w:rsid w:val="73012015"/>
    <w:rsid w:val="73013DC3"/>
    <w:rsid w:val="7302437B"/>
    <w:rsid w:val="73075068"/>
    <w:rsid w:val="730906A8"/>
    <w:rsid w:val="7309711B"/>
    <w:rsid w:val="730B2E93"/>
    <w:rsid w:val="730F7310"/>
    <w:rsid w:val="73102258"/>
    <w:rsid w:val="7312139A"/>
    <w:rsid w:val="73131732"/>
    <w:rsid w:val="731358A4"/>
    <w:rsid w:val="73137F9A"/>
    <w:rsid w:val="731421C6"/>
    <w:rsid w:val="731D4975"/>
    <w:rsid w:val="731F693F"/>
    <w:rsid w:val="73220D87"/>
    <w:rsid w:val="7327134F"/>
    <w:rsid w:val="732E0F5A"/>
    <w:rsid w:val="73320420"/>
    <w:rsid w:val="73335F46"/>
    <w:rsid w:val="7335180F"/>
    <w:rsid w:val="73397A01"/>
    <w:rsid w:val="733A72D5"/>
    <w:rsid w:val="733D0B73"/>
    <w:rsid w:val="73427AE3"/>
    <w:rsid w:val="73430E45"/>
    <w:rsid w:val="734514B7"/>
    <w:rsid w:val="73467EF0"/>
    <w:rsid w:val="7348187C"/>
    <w:rsid w:val="73483735"/>
    <w:rsid w:val="734E3DD8"/>
    <w:rsid w:val="734F0FD2"/>
    <w:rsid w:val="734F5F56"/>
    <w:rsid w:val="73575172"/>
    <w:rsid w:val="73584DE1"/>
    <w:rsid w:val="735859AD"/>
    <w:rsid w:val="735A05E3"/>
    <w:rsid w:val="735A1725"/>
    <w:rsid w:val="735C549D"/>
    <w:rsid w:val="735F4F8D"/>
    <w:rsid w:val="73614861"/>
    <w:rsid w:val="736600CA"/>
    <w:rsid w:val="736D76AA"/>
    <w:rsid w:val="737547B1"/>
    <w:rsid w:val="73764AF4"/>
    <w:rsid w:val="737748FA"/>
    <w:rsid w:val="73796CBD"/>
    <w:rsid w:val="73797DFD"/>
    <w:rsid w:val="737C3C79"/>
    <w:rsid w:val="73802CE6"/>
    <w:rsid w:val="73837AC6"/>
    <w:rsid w:val="73842C37"/>
    <w:rsid w:val="73852869"/>
    <w:rsid w:val="738549F4"/>
    <w:rsid w:val="738B5D82"/>
    <w:rsid w:val="73903BCA"/>
    <w:rsid w:val="73927DF8"/>
    <w:rsid w:val="73942E89"/>
    <w:rsid w:val="7394444F"/>
    <w:rsid w:val="739764D5"/>
    <w:rsid w:val="739A5FC5"/>
    <w:rsid w:val="739B6B24"/>
    <w:rsid w:val="739C7F8F"/>
    <w:rsid w:val="739F3E9C"/>
    <w:rsid w:val="73AD3C4B"/>
    <w:rsid w:val="73AF381F"/>
    <w:rsid w:val="73B057E9"/>
    <w:rsid w:val="73B11409"/>
    <w:rsid w:val="73B21B20"/>
    <w:rsid w:val="73B62373"/>
    <w:rsid w:val="73B741ED"/>
    <w:rsid w:val="73BA26FA"/>
    <w:rsid w:val="73BB6668"/>
    <w:rsid w:val="73BB7D3D"/>
    <w:rsid w:val="73BE3A62"/>
    <w:rsid w:val="73BE4472"/>
    <w:rsid w:val="73C03072"/>
    <w:rsid w:val="73C80D84"/>
    <w:rsid w:val="73C8117E"/>
    <w:rsid w:val="73CA1111"/>
    <w:rsid w:val="73CF2113"/>
    <w:rsid w:val="73D019E7"/>
    <w:rsid w:val="73D7228F"/>
    <w:rsid w:val="73D74B24"/>
    <w:rsid w:val="73DA2545"/>
    <w:rsid w:val="73DF02AE"/>
    <w:rsid w:val="73E67D11"/>
    <w:rsid w:val="73E9210A"/>
    <w:rsid w:val="73EA07F6"/>
    <w:rsid w:val="73EB05CF"/>
    <w:rsid w:val="73F1401D"/>
    <w:rsid w:val="73F15E96"/>
    <w:rsid w:val="73F22F99"/>
    <w:rsid w:val="73F73CFA"/>
    <w:rsid w:val="73F8607C"/>
    <w:rsid w:val="73FB4CB6"/>
    <w:rsid w:val="73FC0A2E"/>
    <w:rsid w:val="73FC458A"/>
    <w:rsid w:val="740022CC"/>
    <w:rsid w:val="74007F90"/>
    <w:rsid w:val="7405620D"/>
    <w:rsid w:val="74082F2F"/>
    <w:rsid w:val="740A4EF9"/>
    <w:rsid w:val="740D2C3B"/>
    <w:rsid w:val="740E3AC8"/>
    <w:rsid w:val="740F0761"/>
    <w:rsid w:val="740F2572"/>
    <w:rsid w:val="7418207D"/>
    <w:rsid w:val="741C570D"/>
    <w:rsid w:val="74273CFD"/>
    <w:rsid w:val="742835D1"/>
    <w:rsid w:val="742970E4"/>
    <w:rsid w:val="742E1241"/>
    <w:rsid w:val="743326A2"/>
    <w:rsid w:val="74367A9C"/>
    <w:rsid w:val="74381A66"/>
    <w:rsid w:val="74387CB8"/>
    <w:rsid w:val="743B3304"/>
    <w:rsid w:val="743B50B2"/>
    <w:rsid w:val="74420753"/>
    <w:rsid w:val="74420A24"/>
    <w:rsid w:val="74424693"/>
    <w:rsid w:val="7456013E"/>
    <w:rsid w:val="745B39A7"/>
    <w:rsid w:val="745F53A2"/>
    <w:rsid w:val="74605E35"/>
    <w:rsid w:val="74622C7D"/>
    <w:rsid w:val="74634609"/>
    <w:rsid w:val="74655CAA"/>
    <w:rsid w:val="746740F9"/>
    <w:rsid w:val="747131CA"/>
    <w:rsid w:val="74744A68"/>
    <w:rsid w:val="747B7BA5"/>
    <w:rsid w:val="747D44D4"/>
    <w:rsid w:val="747E1443"/>
    <w:rsid w:val="748051BB"/>
    <w:rsid w:val="74820F33"/>
    <w:rsid w:val="74922573"/>
    <w:rsid w:val="74926913"/>
    <w:rsid w:val="749A65CD"/>
    <w:rsid w:val="74A731A8"/>
    <w:rsid w:val="74A76372"/>
    <w:rsid w:val="74AC7D5E"/>
    <w:rsid w:val="74AE5ED3"/>
    <w:rsid w:val="74AF6471"/>
    <w:rsid w:val="74B16B5B"/>
    <w:rsid w:val="74B231F1"/>
    <w:rsid w:val="74B3391D"/>
    <w:rsid w:val="74B63523"/>
    <w:rsid w:val="74B758BB"/>
    <w:rsid w:val="74B9247B"/>
    <w:rsid w:val="74BB61F3"/>
    <w:rsid w:val="74BF3F35"/>
    <w:rsid w:val="74C23A26"/>
    <w:rsid w:val="74C57072"/>
    <w:rsid w:val="74C652C4"/>
    <w:rsid w:val="74C91279"/>
    <w:rsid w:val="74CC21AE"/>
    <w:rsid w:val="74CE4179"/>
    <w:rsid w:val="74D6127F"/>
    <w:rsid w:val="74D61706"/>
    <w:rsid w:val="74D6302D"/>
    <w:rsid w:val="74D85619"/>
    <w:rsid w:val="74DA0D6F"/>
    <w:rsid w:val="74DC2DC8"/>
    <w:rsid w:val="74DC779C"/>
    <w:rsid w:val="74DE081E"/>
    <w:rsid w:val="74DF33F1"/>
    <w:rsid w:val="74E15F8C"/>
    <w:rsid w:val="74E4574A"/>
    <w:rsid w:val="74E505EC"/>
    <w:rsid w:val="74E76FE8"/>
    <w:rsid w:val="74EF59B8"/>
    <w:rsid w:val="74F10857"/>
    <w:rsid w:val="74F21EC2"/>
    <w:rsid w:val="74F83220"/>
    <w:rsid w:val="74FA1F56"/>
    <w:rsid w:val="74FB01D1"/>
    <w:rsid w:val="74FD4A5E"/>
    <w:rsid w:val="74FD680C"/>
    <w:rsid w:val="74FE028A"/>
    <w:rsid w:val="74FF42EB"/>
    <w:rsid w:val="75022074"/>
    <w:rsid w:val="75036C4E"/>
    <w:rsid w:val="75045DEC"/>
    <w:rsid w:val="75082B24"/>
    <w:rsid w:val="750B717B"/>
    <w:rsid w:val="7513140C"/>
    <w:rsid w:val="75137DDD"/>
    <w:rsid w:val="751A00A9"/>
    <w:rsid w:val="751F49D4"/>
    <w:rsid w:val="75210ADE"/>
    <w:rsid w:val="752124FA"/>
    <w:rsid w:val="7532688B"/>
    <w:rsid w:val="75355C70"/>
    <w:rsid w:val="75355FA6"/>
    <w:rsid w:val="753C15DA"/>
    <w:rsid w:val="753D297C"/>
    <w:rsid w:val="753D428C"/>
    <w:rsid w:val="753D6540"/>
    <w:rsid w:val="753F0BD2"/>
    <w:rsid w:val="753F5076"/>
    <w:rsid w:val="7541494A"/>
    <w:rsid w:val="75464731"/>
    <w:rsid w:val="75475CD9"/>
    <w:rsid w:val="75494B06"/>
    <w:rsid w:val="754B57C9"/>
    <w:rsid w:val="754D1541"/>
    <w:rsid w:val="754D65AA"/>
    <w:rsid w:val="75504B8E"/>
    <w:rsid w:val="7555646B"/>
    <w:rsid w:val="7556599E"/>
    <w:rsid w:val="7557416E"/>
    <w:rsid w:val="75627EA2"/>
    <w:rsid w:val="756311BD"/>
    <w:rsid w:val="75656237"/>
    <w:rsid w:val="756E3266"/>
    <w:rsid w:val="756F3792"/>
    <w:rsid w:val="756F60E1"/>
    <w:rsid w:val="757121A3"/>
    <w:rsid w:val="75722525"/>
    <w:rsid w:val="757271FA"/>
    <w:rsid w:val="757B6DFF"/>
    <w:rsid w:val="757C5983"/>
    <w:rsid w:val="757F36C5"/>
    <w:rsid w:val="758147E1"/>
    <w:rsid w:val="75866801"/>
    <w:rsid w:val="758C505A"/>
    <w:rsid w:val="758C5085"/>
    <w:rsid w:val="7592164A"/>
    <w:rsid w:val="75954C96"/>
    <w:rsid w:val="759A04FF"/>
    <w:rsid w:val="75A24764"/>
    <w:rsid w:val="75A31161"/>
    <w:rsid w:val="75A4502A"/>
    <w:rsid w:val="75A562CE"/>
    <w:rsid w:val="75A650F5"/>
    <w:rsid w:val="75AD3D8E"/>
    <w:rsid w:val="75B0717F"/>
    <w:rsid w:val="75B622D4"/>
    <w:rsid w:val="75B72E5F"/>
    <w:rsid w:val="75BC37EB"/>
    <w:rsid w:val="75CF01A8"/>
    <w:rsid w:val="75D03F20"/>
    <w:rsid w:val="75D22519"/>
    <w:rsid w:val="75D27C81"/>
    <w:rsid w:val="75D51537"/>
    <w:rsid w:val="75D7705D"/>
    <w:rsid w:val="75DA6B4D"/>
    <w:rsid w:val="75DB4D9F"/>
    <w:rsid w:val="75E33C54"/>
    <w:rsid w:val="75E340BC"/>
    <w:rsid w:val="75E43528"/>
    <w:rsid w:val="75E620DA"/>
    <w:rsid w:val="75EC710F"/>
    <w:rsid w:val="75F06371"/>
    <w:rsid w:val="75F303C2"/>
    <w:rsid w:val="75FB1E55"/>
    <w:rsid w:val="75FE283B"/>
    <w:rsid w:val="760B4326"/>
    <w:rsid w:val="760F67F7"/>
    <w:rsid w:val="76141CAF"/>
    <w:rsid w:val="7614205F"/>
    <w:rsid w:val="76164BEC"/>
    <w:rsid w:val="761958C7"/>
    <w:rsid w:val="761A519B"/>
    <w:rsid w:val="761C0F14"/>
    <w:rsid w:val="761C7166"/>
    <w:rsid w:val="761D362F"/>
    <w:rsid w:val="762145D3"/>
    <w:rsid w:val="76216307"/>
    <w:rsid w:val="76236BE5"/>
    <w:rsid w:val="76250E9B"/>
    <w:rsid w:val="762B2888"/>
    <w:rsid w:val="762D3121"/>
    <w:rsid w:val="762F0C47"/>
    <w:rsid w:val="76300F84"/>
    <w:rsid w:val="763079E9"/>
    <w:rsid w:val="76326989"/>
    <w:rsid w:val="763829FD"/>
    <w:rsid w:val="76385751"/>
    <w:rsid w:val="764346F2"/>
    <w:rsid w:val="764378F7"/>
    <w:rsid w:val="764D5571"/>
    <w:rsid w:val="765121A2"/>
    <w:rsid w:val="76515061"/>
    <w:rsid w:val="76521EE9"/>
    <w:rsid w:val="76562678"/>
    <w:rsid w:val="765C57B4"/>
    <w:rsid w:val="765C7562"/>
    <w:rsid w:val="76656573"/>
    <w:rsid w:val="766905FD"/>
    <w:rsid w:val="766C3C49"/>
    <w:rsid w:val="766C5538"/>
    <w:rsid w:val="76744052"/>
    <w:rsid w:val="76780840"/>
    <w:rsid w:val="76781F92"/>
    <w:rsid w:val="767945B8"/>
    <w:rsid w:val="76797FEA"/>
    <w:rsid w:val="767A773E"/>
    <w:rsid w:val="767C19B2"/>
    <w:rsid w:val="767E1BCE"/>
    <w:rsid w:val="767E4D6C"/>
    <w:rsid w:val="768054C7"/>
    <w:rsid w:val="768076F4"/>
    <w:rsid w:val="76852F5D"/>
    <w:rsid w:val="76856AB9"/>
    <w:rsid w:val="7687199A"/>
    <w:rsid w:val="76872831"/>
    <w:rsid w:val="7689645A"/>
    <w:rsid w:val="768C6099"/>
    <w:rsid w:val="768D4CC3"/>
    <w:rsid w:val="768E3204"/>
    <w:rsid w:val="768F6D4D"/>
    <w:rsid w:val="76916E59"/>
    <w:rsid w:val="7693567A"/>
    <w:rsid w:val="769378C9"/>
    <w:rsid w:val="769431A0"/>
    <w:rsid w:val="76956082"/>
    <w:rsid w:val="76984A3E"/>
    <w:rsid w:val="769C3FB6"/>
    <w:rsid w:val="76A03194"/>
    <w:rsid w:val="76A21419"/>
    <w:rsid w:val="76A2766B"/>
    <w:rsid w:val="76A827A7"/>
    <w:rsid w:val="76AA4771"/>
    <w:rsid w:val="76AF104E"/>
    <w:rsid w:val="76B178AE"/>
    <w:rsid w:val="76B4117C"/>
    <w:rsid w:val="76B66AFB"/>
    <w:rsid w:val="76B850D2"/>
    <w:rsid w:val="76BF589B"/>
    <w:rsid w:val="76C021E7"/>
    <w:rsid w:val="76C66CD5"/>
    <w:rsid w:val="76C836B1"/>
    <w:rsid w:val="76CC6440"/>
    <w:rsid w:val="76CE66B2"/>
    <w:rsid w:val="76D56E17"/>
    <w:rsid w:val="76D77426"/>
    <w:rsid w:val="76DB2B7D"/>
    <w:rsid w:val="76DD06A3"/>
    <w:rsid w:val="76DD3B91"/>
    <w:rsid w:val="76DD4B47"/>
    <w:rsid w:val="76DE441B"/>
    <w:rsid w:val="76DE73E5"/>
    <w:rsid w:val="76E64499"/>
    <w:rsid w:val="76E934EC"/>
    <w:rsid w:val="76EC7472"/>
    <w:rsid w:val="76EE28B0"/>
    <w:rsid w:val="76F0453E"/>
    <w:rsid w:val="76F62056"/>
    <w:rsid w:val="76F72A76"/>
    <w:rsid w:val="76FF4ABD"/>
    <w:rsid w:val="77000835"/>
    <w:rsid w:val="77002103"/>
    <w:rsid w:val="7702635B"/>
    <w:rsid w:val="770562E1"/>
    <w:rsid w:val="77084AA0"/>
    <w:rsid w:val="770B0B9C"/>
    <w:rsid w:val="770B1FE4"/>
    <w:rsid w:val="770B2505"/>
    <w:rsid w:val="770C4BF0"/>
    <w:rsid w:val="77105D20"/>
    <w:rsid w:val="77112567"/>
    <w:rsid w:val="77115B46"/>
    <w:rsid w:val="77156389"/>
    <w:rsid w:val="77183DD1"/>
    <w:rsid w:val="7719666D"/>
    <w:rsid w:val="771A3517"/>
    <w:rsid w:val="771B741D"/>
    <w:rsid w:val="771C566F"/>
    <w:rsid w:val="77250B48"/>
    <w:rsid w:val="77297BC7"/>
    <w:rsid w:val="772C138A"/>
    <w:rsid w:val="77361B13"/>
    <w:rsid w:val="77364257"/>
    <w:rsid w:val="77371CA7"/>
    <w:rsid w:val="77377B98"/>
    <w:rsid w:val="773A7DA2"/>
    <w:rsid w:val="77431600"/>
    <w:rsid w:val="77431A51"/>
    <w:rsid w:val="77476464"/>
    <w:rsid w:val="774C6C4C"/>
    <w:rsid w:val="77510445"/>
    <w:rsid w:val="77560455"/>
    <w:rsid w:val="775A1CF3"/>
    <w:rsid w:val="77613082"/>
    <w:rsid w:val="77617526"/>
    <w:rsid w:val="77640DC4"/>
    <w:rsid w:val="776B2153"/>
    <w:rsid w:val="776F3F7C"/>
    <w:rsid w:val="77702E64"/>
    <w:rsid w:val="77707769"/>
    <w:rsid w:val="777728A5"/>
    <w:rsid w:val="777B66C5"/>
    <w:rsid w:val="777D3C34"/>
    <w:rsid w:val="777F79AC"/>
    <w:rsid w:val="77857A39"/>
    <w:rsid w:val="778B0BED"/>
    <w:rsid w:val="779836C9"/>
    <w:rsid w:val="779A0C57"/>
    <w:rsid w:val="779A73D7"/>
    <w:rsid w:val="779C055E"/>
    <w:rsid w:val="779D2385"/>
    <w:rsid w:val="779E2F73"/>
    <w:rsid w:val="77A10A4B"/>
    <w:rsid w:val="77A14712"/>
    <w:rsid w:val="77A22D00"/>
    <w:rsid w:val="77A423CF"/>
    <w:rsid w:val="77A61681"/>
    <w:rsid w:val="77A72B11"/>
    <w:rsid w:val="77AD276B"/>
    <w:rsid w:val="77B07B65"/>
    <w:rsid w:val="77BF424C"/>
    <w:rsid w:val="77C17FC5"/>
    <w:rsid w:val="77CC23A1"/>
    <w:rsid w:val="77CC2B3C"/>
    <w:rsid w:val="77CC5F6D"/>
    <w:rsid w:val="77CD6139"/>
    <w:rsid w:val="77CE44F1"/>
    <w:rsid w:val="77CF62A6"/>
    <w:rsid w:val="77DA2E34"/>
    <w:rsid w:val="77E048EF"/>
    <w:rsid w:val="77E15F71"/>
    <w:rsid w:val="77E35C3E"/>
    <w:rsid w:val="77E3618D"/>
    <w:rsid w:val="77E4436B"/>
    <w:rsid w:val="77E617D9"/>
    <w:rsid w:val="77EA6925"/>
    <w:rsid w:val="77EB6DF0"/>
    <w:rsid w:val="77EE6736"/>
    <w:rsid w:val="77F008AA"/>
    <w:rsid w:val="77F14A67"/>
    <w:rsid w:val="77F24622"/>
    <w:rsid w:val="77FB07C5"/>
    <w:rsid w:val="78004072"/>
    <w:rsid w:val="78014865"/>
    <w:rsid w:val="78034139"/>
    <w:rsid w:val="780600CD"/>
    <w:rsid w:val="78063C29"/>
    <w:rsid w:val="780D4FB8"/>
    <w:rsid w:val="78177BE5"/>
    <w:rsid w:val="781B0D4D"/>
    <w:rsid w:val="781C344D"/>
    <w:rsid w:val="781F4CEB"/>
    <w:rsid w:val="78236589"/>
    <w:rsid w:val="78246067"/>
    <w:rsid w:val="7826607A"/>
    <w:rsid w:val="78283BA0"/>
    <w:rsid w:val="782A0C8C"/>
    <w:rsid w:val="782D7408"/>
    <w:rsid w:val="782E006B"/>
    <w:rsid w:val="7834489D"/>
    <w:rsid w:val="78350ECA"/>
    <w:rsid w:val="78374F2B"/>
    <w:rsid w:val="783B3F6C"/>
    <w:rsid w:val="783E1615"/>
    <w:rsid w:val="783F0EE9"/>
    <w:rsid w:val="78402291"/>
    <w:rsid w:val="7844380F"/>
    <w:rsid w:val="78454752"/>
    <w:rsid w:val="784A7FBA"/>
    <w:rsid w:val="784D2F1F"/>
    <w:rsid w:val="7851759A"/>
    <w:rsid w:val="785573E0"/>
    <w:rsid w:val="78570929"/>
    <w:rsid w:val="78574485"/>
    <w:rsid w:val="78597C58"/>
    <w:rsid w:val="785B5681"/>
    <w:rsid w:val="78616FFC"/>
    <w:rsid w:val="78626708"/>
    <w:rsid w:val="78650950"/>
    <w:rsid w:val="786F26D2"/>
    <w:rsid w:val="78700B0A"/>
    <w:rsid w:val="78707678"/>
    <w:rsid w:val="78760DAF"/>
    <w:rsid w:val="787745B5"/>
    <w:rsid w:val="7878767E"/>
    <w:rsid w:val="787A4601"/>
    <w:rsid w:val="787F06C4"/>
    <w:rsid w:val="78811502"/>
    <w:rsid w:val="78831975"/>
    <w:rsid w:val="78850FF2"/>
    <w:rsid w:val="78872FBC"/>
    <w:rsid w:val="78886D34"/>
    <w:rsid w:val="788A2AAC"/>
    <w:rsid w:val="788A485A"/>
    <w:rsid w:val="78915BE9"/>
    <w:rsid w:val="7894691C"/>
    <w:rsid w:val="78955947"/>
    <w:rsid w:val="78A0530C"/>
    <w:rsid w:val="78A27DF6"/>
    <w:rsid w:val="78A3545B"/>
    <w:rsid w:val="78A376CA"/>
    <w:rsid w:val="78A50E3F"/>
    <w:rsid w:val="78A53442"/>
    <w:rsid w:val="78A771BA"/>
    <w:rsid w:val="78A91128"/>
    <w:rsid w:val="78AC177E"/>
    <w:rsid w:val="78B23E01"/>
    <w:rsid w:val="78B768B4"/>
    <w:rsid w:val="78B83176"/>
    <w:rsid w:val="78BC481D"/>
    <w:rsid w:val="78BD7ADF"/>
    <w:rsid w:val="78C100FD"/>
    <w:rsid w:val="78C71984"/>
    <w:rsid w:val="78C833A6"/>
    <w:rsid w:val="78C9563C"/>
    <w:rsid w:val="78CA2EA9"/>
    <w:rsid w:val="78CC4E73"/>
    <w:rsid w:val="78CD54E5"/>
    <w:rsid w:val="78CE2999"/>
    <w:rsid w:val="78D34F15"/>
    <w:rsid w:val="78D43B41"/>
    <w:rsid w:val="78D635FC"/>
    <w:rsid w:val="78D855C6"/>
    <w:rsid w:val="78D9001A"/>
    <w:rsid w:val="78DA2DC7"/>
    <w:rsid w:val="78E21FA1"/>
    <w:rsid w:val="78E421BD"/>
    <w:rsid w:val="78EB004D"/>
    <w:rsid w:val="78EB39C2"/>
    <w:rsid w:val="78EC2E1F"/>
    <w:rsid w:val="78EE6B97"/>
    <w:rsid w:val="78F16E4E"/>
    <w:rsid w:val="78F341AE"/>
    <w:rsid w:val="78F41CD4"/>
    <w:rsid w:val="78F9378E"/>
    <w:rsid w:val="78FE4234"/>
    <w:rsid w:val="78FE7F71"/>
    <w:rsid w:val="79022F9B"/>
    <w:rsid w:val="790C66BA"/>
    <w:rsid w:val="79101597"/>
    <w:rsid w:val="79110AD8"/>
    <w:rsid w:val="79112A56"/>
    <w:rsid w:val="79143567"/>
    <w:rsid w:val="79147F1A"/>
    <w:rsid w:val="791E1D02"/>
    <w:rsid w:val="791F3EF0"/>
    <w:rsid w:val="79222CE5"/>
    <w:rsid w:val="792410CB"/>
    <w:rsid w:val="79271FBF"/>
    <w:rsid w:val="792A6432"/>
    <w:rsid w:val="792E3438"/>
    <w:rsid w:val="792F0F5E"/>
    <w:rsid w:val="79342425"/>
    <w:rsid w:val="793A1DDD"/>
    <w:rsid w:val="79442C5B"/>
    <w:rsid w:val="794669D3"/>
    <w:rsid w:val="794762A8"/>
    <w:rsid w:val="794835E0"/>
    <w:rsid w:val="794B223C"/>
    <w:rsid w:val="794B401A"/>
    <w:rsid w:val="7951722A"/>
    <w:rsid w:val="79530CD8"/>
    <w:rsid w:val="795310F0"/>
    <w:rsid w:val="795645B1"/>
    <w:rsid w:val="79573931"/>
    <w:rsid w:val="79596197"/>
    <w:rsid w:val="795E27B4"/>
    <w:rsid w:val="7960632D"/>
    <w:rsid w:val="79675A48"/>
    <w:rsid w:val="7968089B"/>
    <w:rsid w:val="796926C2"/>
    <w:rsid w:val="796B01E8"/>
    <w:rsid w:val="79733540"/>
    <w:rsid w:val="79752E15"/>
    <w:rsid w:val="797E32B5"/>
    <w:rsid w:val="797F1EE5"/>
    <w:rsid w:val="79815C5D"/>
    <w:rsid w:val="798412AA"/>
    <w:rsid w:val="79845032"/>
    <w:rsid w:val="798C63B0"/>
    <w:rsid w:val="798F3909"/>
    <w:rsid w:val="799040F2"/>
    <w:rsid w:val="79951709"/>
    <w:rsid w:val="79983B31"/>
    <w:rsid w:val="799D05BD"/>
    <w:rsid w:val="799E27B4"/>
    <w:rsid w:val="79A57AB6"/>
    <w:rsid w:val="79A96F62"/>
    <w:rsid w:val="79AA44C7"/>
    <w:rsid w:val="79AB2CDA"/>
    <w:rsid w:val="79AB4A88"/>
    <w:rsid w:val="79AE6327"/>
    <w:rsid w:val="79B0209F"/>
    <w:rsid w:val="79B25879"/>
    <w:rsid w:val="79B576B5"/>
    <w:rsid w:val="79C557DB"/>
    <w:rsid w:val="79C66DEF"/>
    <w:rsid w:val="79CC5832"/>
    <w:rsid w:val="79D31D54"/>
    <w:rsid w:val="79D476EE"/>
    <w:rsid w:val="79D815F5"/>
    <w:rsid w:val="79D9036C"/>
    <w:rsid w:val="79DA35C0"/>
    <w:rsid w:val="79DC2E94"/>
    <w:rsid w:val="79E61F64"/>
    <w:rsid w:val="79E81B34"/>
    <w:rsid w:val="79E94D5A"/>
    <w:rsid w:val="79E955B1"/>
    <w:rsid w:val="79EB30D7"/>
    <w:rsid w:val="79ED7EEE"/>
    <w:rsid w:val="79EE678C"/>
    <w:rsid w:val="79F01427"/>
    <w:rsid w:val="79F46DFF"/>
    <w:rsid w:val="79F74B88"/>
    <w:rsid w:val="79FA156C"/>
    <w:rsid w:val="79FA5A10"/>
    <w:rsid w:val="7A0128FA"/>
    <w:rsid w:val="7A0438CB"/>
    <w:rsid w:val="7A050CCB"/>
    <w:rsid w:val="7A0B4773"/>
    <w:rsid w:val="7A0D5D0B"/>
    <w:rsid w:val="7A0E64F1"/>
    <w:rsid w:val="7A102859"/>
    <w:rsid w:val="7A165AFA"/>
    <w:rsid w:val="7A171974"/>
    <w:rsid w:val="7A1B7E60"/>
    <w:rsid w:val="7A1E16FE"/>
    <w:rsid w:val="7A264ABA"/>
    <w:rsid w:val="7A287E87"/>
    <w:rsid w:val="7A292958"/>
    <w:rsid w:val="7A2A0D06"/>
    <w:rsid w:val="7A2A2B0F"/>
    <w:rsid w:val="7A2B2D92"/>
    <w:rsid w:val="7A2B747B"/>
    <w:rsid w:val="7A301431"/>
    <w:rsid w:val="7A320D06"/>
    <w:rsid w:val="7A3507F6"/>
    <w:rsid w:val="7A367EE3"/>
    <w:rsid w:val="7A37624F"/>
    <w:rsid w:val="7A3B22B0"/>
    <w:rsid w:val="7A3C5E76"/>
    <w:rsid w:val="7A3E58FC"/>
    <w:rsid w:val="7A41719B"/>
    <w:rsid w:val="7A4232CB"/>
    <w:rsid w:val="7A434CC1"/>
    <w:rsid w:val="7A454EDD"/>
    <w:rsid w:val="7A477AC9"/>
    <w:rsid w:val="7A4D5B40"/>
    <w:rsid w:val="7A590988"/>
    <w:rsid w:val="7A5A3E9E"/>
    <w:rsid w:val="7A5C5D83"/>
    <w:rsid w:val="7A5D0A52"/>
    <w:rsid w:val="7A5E5FF7"/>
    <w:rsid w:val="7A5E7D4D"/>
    <w:rsid w:val="7A6044B0"/>
    <w:rsid w:val="7A635363"/>
    <w:rsid w:val="7A6438C5"/>
    <w:rsid w:val="7A65627E"/>
    <w:rsid w:val="7A684727"/>
    <w:rsid w:val="7A6A66F1"/>
    <w:rsid w:val="7A6D4434"/>
    <w:rsid w:val="7A726EF5"/>
    <w:rsid w:val="7A7364B4"/>
    <w:rsid w:val="7A7F70CA"/>
    <w:rsid w:val="7A807CC3"/>
    <w:rsid w:val="7A810E46"/>
    <w:rsid w:val="7A85352B"/>
    <w:rsid w:val="7A861051"/>
    <w:rsid w:val="7A8A0B42"/>
    <w:rsid w:val="7A8C48BA"/>
    <w:rsid w:val="7A8E681A"/>
    <w:rsid w:val="7A914490"/>
    <w:rsid w:val="7A927F54"/>
    <w:rsid w:val="7A990AA6"/>
    <w:rsid w:val="7A9D616C"/>
    <w:rsid w:val="7A9E4782"/>
    <w:rsid w:val="7AA15E8B"/>
    <w:rsid w:val="7AA240DD"/>
    <w:rsid w:val="7AA8546C"/>
    <w:rsid w:val="7AAA2F92"/>
    <w:rsid w:val="7AAF2DEB"/>
    <w:rsid w:val="7AB132A5"/>
    <w:rsid w:val="7AB20098"/>
    <w:rsid w:val="7AB43E11"/>
    <w:rsid w:val="7ABE07EB"/>
    <w:rsid w:val="7ABE6A3D"/>
    <w:rsid w:val="7AC27CB7"/>
    <w:rsid w:val="7AC4448B"/>
    <w:rsid w:val="7AC5601E"/>
    <w:rsid w:val="7AC758F2"/>
    <w:rsid w:val="7ACC2F08"/>
    <w:rsid w:val="7AD324E9"/>
    <w:rsid w:val="7AD75DC5"/>
    <w:rsid w:val="7AD924E7"/>
    <w:rsid w:val="7AD973D3"/>
    <w:rsid w:val="7AD97E9C"/>
    <w:rsid w:val="7ADD3367"/>
    <w:rsid w:val="7AE0084F"/>
    <w:rsid w:val="7AE01B6B"/>
    <w:rsid w:val="7AE069B4"/>
    <w:rsid w:val="7AE30252"/>
    <w:rsid w:val="7AE53FCA"/>
    <w:rsid w:val="7AEF4E49"/>
    <w:rsid w:val="7AF625DE"/>
    <w:rsid w:val="7AF661D7"/>
    <w:rsid w:val="7AF81F4F"/>
    <w:rsid w:val="7AFA46F4"/>
    <w:rsid w:val="7B004F63"/>
    <w:rsid w:val="7B007056"/>
    <w:rsid w:val="7B046089"/>
    <w:rsid w:val="7B054C06"/>
    <w:rsid w:val="7B05641A"/>
    <w:rsid w:val="7B0A0A59"/>
    <w:rsid w:val="7B1058AC"/>
    <w:rsid w:val="7B120866"/>
    <w:rsid w:val="7B1373E3"/>
    <w:rsid w:val="7B143A85"/>
    <w:rsid w:val="7B1563F1"/>
    <w:rsid w:val="7B1629B0"/>
    <w:rsid w:val="7B176FE2"/>
    <w:rsid w:val="7B1B3E90"/>
    <w:rsid w:val="7B1B5C3E"/>
    <w:rsid w:val="7B1C3D2C"/>
    <w:rsid w:val="7B217224"/>
    <w:rsid w:val="7B23011E"/>
    <w:rsid w:val="7B2704EB"/>
    <w:rsid w:val="7B2E5971"/>
    <w:rsid w:val="7B2F105B"/>
    <w:rsid w:val="7B2F59D6"/>
    <w:rsid w:val="7B3304EA"/>
    <w:rsid w:val="7B3867F0"/>
    <w:rsid w:val="7B3D6880"/>
    <w:rsid w:val="7B445194"/>
    <w:rsid w:val="7B486307"/>
    <w:rsid w:val="7B4909FD"/>
    <w:rsid w:val="7B490D26"/>
    <w:rsid w:val="7B4C27D2"/>
    <w:rsid w:val="7B4E023F"/>
    <w:rsid w:val="7B4F1751"/>
    <w:rsid w:val="7B564EC8"/>
    <w:rsid w:val="7B5829EE"/>
    <w:rsid w:val="7B5B428C"/>
    <w:rsid w:val="7B6103FD"/>
    <w:rsid w:val="7B612EBC"/>
    <w:rsid w:val="7B653379"/>
    <w:rsid w:val="7B6969A9"/>
    <w:rsid w:val="7B697348"/>
    <w:rsid w:val="7B6A44CF"/>
    <w:rsid w:val="7B6C46EB"/>
    <w:rsid w:val="7B7B559F"/>
    <w:rsid w:val="7B7D06A6"/>
    <w:rsid w:val="7B7D4202"/>
    <w:rsid w:val="7B810197"/>
    <w:rsid w:val="7B835D44"/>
    <w:rsid w:val="7B8478DF"/>
    <w:rsid w:val="7B855E28"/>
    <w:rsid w:val="7B892BA7"/>
    <w:rsid w:val="7B8A62FB"/>
    <w:rsid w:val="7B92225E"/>
    <w:rsid w:val="7B934EF2"/>
    <w:rsid w:val="7B95300D"/>
    <w:rsid w:val="7B9638E8"/>
    <w:rsid w:val="7BA61C9C"/>
    <w:rsid w:val="7BA85CFD"/>
    <w:rsid w:val="7BA9149B"/>
    <w:rsid w:val="7BAB1AAD"/>
    <w:rsid w:val="7BAB5214"/>
    <w:rsid w:val="7BAD2EC7"/>
    <w:rsid w:val="7BAF7DB0"/>
    <w:rsid w:val="7BB2238C"/>
    <w:rsid w:val="7BB37C24"/>
    <w:rsid w:val="7BB4764C"/>
    <w:rsid w:val="7BB5736C"/>
    <w:rsid w:val="7BB73BB8"/>
    <w:rsid w:val="7BB857F2"/>
    <w:rsid w:val="7BBA6EFE"/>
    <w:rsid w:val="7BC02DE0"/>
    <w:rsid w:val="7BC26F87"/>
    <w:rsid w:val="7BC57FE0"/>
    <w:rsid w:val="7BC63DFB"/>
    <w:rsid w:val="7BC7522A"/>
    <w:rsid w:val="7BCD4E47"/>
    <w:rsid w:val="7BD10E19"/>
    <w:rsid w:val="7BD302C6"/>
    <w:rsid w:val="7BD55EA8"/>
    <w:rsid w:val="7BD700ED"/>
    <w:rsid w:val="7BDD1145"/>
    <w:rsid w:val="7BDD39EC"/>
    <w:rsid w:val="7BDF6C6B"/>
    <w:rsid w:val="7BDF768E"/>
    <w:rsid w:val="7BE66BCD"/>
    <w:rsid w:val="7BE67FFA"/>
    <w:rsid w:val="7BEC370A"/>
    <w:rsid w:val="7BF12D7D"/>
    <w:rsid w:val="7BF24170"/>
    <w:rsid w:val="7BF52BC3"/>
    <w:rsid w:val="7BF546E1"/>
    <w:rsid w:val="7BF70459"/>
    <w:rsid w:val="7BFC46F8"/>
    <w:rsid w:val="7BFD7BB8"/>
    <w:rsid w:val="7BFE53B6"/>
    <w:rsid w:val="7BFF4031"/>
    <w:rsid w:val="7BFF5AED"/>
    <w:rsid w:val="7C0326A4"/>
    <w:rsid w:val="7C095E64"/>
    <w:rsid w:val="7C120F4C"/>
    <w:rsid w:val="7C127041"/>
    <w:rsid w:val="7C1521EF"/>
    <w:rsid w:val="7C152F5D"/>
    <w:rsid w:val="7C1B3BD2"/>
    <w:rsid w:val="7C1D7794"/>
    <w:rsid w:val="7C211032"/>
    <w:rsid w:val="7C282D78"/>
    <w:rsid w:val="7C2D3E7B"/>
    <w:rsid w:val="7C2F5925"/>
    <w:rsid w:val="7C316532"/>
    <w:rsid w:val="7C3614E6"/>
    <w:rsid w:val="7C372976"/>
    <w:rsid w:val="7C376AA7"/>
    <w:rsid w:val="7C39027B"/>
    <w:rsid w:val="7C3A140E"/>
    <w:rsid w:val="7C3C71A1"/>
    <w:rsid w:val="7C3E5AC6"/>
    <w:rsid w:val="7C4D1E27"/>
    <w:rsid w:val="7C4D5A0A"/>
    <w:rsid w:val="7C4F3DF1"/>
    <w:rsid w:val="7C5201AA"/>
    <w:rsid w:val="7C55645E"/>
    <w:rsid w:val="7C5F7DAC"/>
    <w:rsid w:val="7C611D76"/>
    <w:rsid w:val="7C612B4F"/>
    <w:rsid w:val="7C657392"/>
    <w:rsid w:val="7C67518F"/>
    <w:rsid w:val="7C6929D9"/>
    <w:rsid w:val="7C6D4277"/>
    <w:rsid w:val="7C6F6241"/>
    <w:rsid w:val="7C703D67"/>
    <w:rsid w:val="7C745605"/>
    <w:rsid w:val="7C7575D0"/>
    <w:rsid w:val="7C7C095E"/>
    <w:rsid w:val="7C7F596F"/>
    <w:rsid w:val="7C8141C6"/>
    <w:rsid w:val="7C831CEC"/>
    <w:rsid w:val="7C865339"/>
    <w:rsid w:val="7C8E5B35"/>
    <w:rsid w:val="7C8F243F"/>
    <w:rsid w:val="7C94044F"/>
    <w:rsid w:val="7C943EFA"/>
    <w:rsid w:val="7C9A0DE4"/>
    <w:rsid w:val="7CA51C63"/>
    <w:rsid w:val="7CAB0325"/>
    <w:rsid w:val="7CB33558"/>
    <w:rsid w:val="7CB63E70"/>
    <w:rsid w:val="7CB67B12"/>
    <w:rsid w:val="7CB9570E"/>
    <w:rsid w:val="7CBC3ECA"/>
    <w:rsid w:val="7CBD4AB8"/>
    <w:rsid w:val="7CC145C3"/>
    <w:rsid w:val="7CC66ACE"/>
    <w:rsid w:val="7CCA16C9"/>
    <w:rsid w:val="7CCB0AFF"/>
    <w:rsid w:val="7CCD740C"/>
    <w:rsid w:val="7CD14670"/>
    <w:rsid w:val="7CD16D5D"/>
    <w:rsid w:val="7CD362B3"/>
    <w:rsid w:val="7CD547EE"/>
    <w:rsid w:val="7CE00EED"/>
    <w:rsid w:val="7CE309DD"/>
    <w:rsid w:val="7CE86CC4"/>
    <w:rsid w:val="7CE9428E"/>
    <w:rsid w:val="7CEF1130"/>
    <w:rsid w:val="7CEF2EDE"/>
    <w:rsid w:val="7CF130FA"/>
    <w:rsid w:val="7CFE2601"/>
    <w:rsid w:val="7CFE5817"/>
    <w:rsid w:val="7D04170C"/>
    <w:rsid w:val="7D0562FB"/>
    <w:rsid w:val="7D056BA5"/>
    <w:rsid w:val="7D0828DC"/>
    <w:rsid w:val="7D0A0C58"/>
    <w:rsid w:val="7D0C3355"/>
    <w:rsid w:val="7D0D024F"/>
    <w:rsid w:val="7D0E2628"/>
    <w:rsid w:val="7D122CAD"/>
    <w:rsid w:val="7D146DE8"/>
    <w:rsid w:val="7D1D4449"/>
    <w:rsid w:val="7D1F7C67"/>
    <w:rsid w:val="7D200D6F"/>
    <w:rsid w:val="7D24527D"/>
    <w:rsid w:val="7D250A0A"/>
    <w:rsid w:val="7D2C5EE0"/>
    <w:rsid w:val="7D32101D"/>
    <w:rsid w:val="7D364FB1"/>
    <w:rsid w:val="7D3A137E"/>
    <w:rsid w:val="7D3B45C9"/>
    <w:rsid w:val="7D3E79C1"/>
    <w:rsid w:val="7D40411F"/>
    <w:rsid w:val="7D406161"/>
    <w:rsid w:val="7D4519A4"/>
    <w:rsid w:val="7D474AC8"/>
    <w:rsid w:val="7D482E5F"/>
    <w:rsid w:val="7D49363A"/>
    <w:rsid w:val="7D496A92"/>
    <w:rsid w:val="7D4A0A5C"/>
    <w:rsid w:val="7D4E22FA"/>
    <w:rsid w:val="7D54592E"/>
    <w:rsid w:val="7D575A6A"/>
    <w:rsid w:val="7D584389"/>
    <w:rsid w:val="7D586CD5"/>
    <w:rsid w:val="7D63567A"/>
    <w:rsid w:val="7D637428"/>
    <w:rsid w:val="7D6513F2"/>
    <w:rsid w:val="7D6531A0"/>
    <w:rsid w:val="7D6E2861"/>
    <w:rsid w:val="7D7243AD"/>
    <w:rsid w:val="7D760365"/>
    <w:rsid w:val="7D7B0C16"/>
    <w:rsid w:val="7D7B79D5"/>
    <w:rsid w:val="7D7F1631"/>
    <w:rsid w:val="7D83237D"/>
    <w:rsid w:val="7D893333"/>
    <w:rsid w:val="7D8C38CD"/>
    <w:rsid w:val="7D8E0949"/>
    <w:rsid w:val="7D910EB4"/>
    <w:rsid w:val="7D917B30"/>
    <w:rsid w:val="7D996720"/>
    <w:rsid w:val="7D9D0B8C"/>
    <w:rsid w:val="7D9F2B56"/>
    <w:rsid w:val="7DA16716"/>
    <w:rsid w:val="7DA4356A"/>
    <w:rsid w:val="7DA500D2"/>
    <w:rsid w:val="7DA737B9"/>
    <w:rsid w:val="7DA92A99"/>
    <w:rsid w:val="7DAC7021"/>
    <w:rsid w:val="7DAE3DE3"/>
    <w:rsid w:val="7DAF1708"/>
    <w:rsid w:val="7DB73D0D"/>
    <w:rsid w:val="7DBF07E9"/>
    <w:rsid w:val="7DC12DC7"/>
    <w:rsid w:val="7DC2444E"/>
    <w:rsid w:val="7DC425BD"/>
    <w:rsid w:val="7DC4687E"/>
    <w:rsid w:val="7DC517F6"/>
    <w:rsid w:val="7DCE6148"/>
    <w:rsid w:val="7DD43545"/>
    <w:rsid w:val="7DD50326"/>
    <w:rsid w:val="7DD520D4"/>
    <w:rsid w:val="7DD71B9E"/>
    <w:rsid w:val="7DD97964"/>
    <w:rsid w:val="7DE1316F"/>
    <w:rsid w:val="7DE20C95"/>
    <w:rsid w:val="7DE22A43"/>
    <w:rsid w:val="7DE979FD"/>
    <w:rsid w:val="7DEE6AE3"/>
    <w:rsid w:val="7DF12C86"/>
    <w:rsid w:val="7DF509C8"/>
    <w:rsid w:val="7DF74740"/>
    <w:rsid w:val="7DF84014"/>
    <w:rsid w:val="7DFC1D56"/>
    <w:rsid w:val="7E0119CA"/>
    <w:rsid w:val="7E0166C5"/>
    <w:rsid w:val="7E0806FB"/>
    <w:rsid w:val="7E0B27D2"/>
    <w:rsid w:val="7E0D5D12"/>
    <w:rsid w:val="7E1150D6"/>
    <w:rsid w:val="7E1259C9"/>
    <w:rsid w:val="7E1503B0"/>
    <w:rsid w:val="7E152F02"/>
    <w:rsid w:val="7E1626EC"/>
    <w:rsid w:val="7E1A042F"/>
    <w:rsid w:val="7E1D1CCD"/>
    <w:rsid w:val="7E1F0D91"/>
    <w:rsid w:val="7E1F3C97"/>
    <w:rsid w:val="7E21356B"/>
    <w:rsid w:val="7E244D63"/>
    <w:rsid w:val="7E257192"/>
    <w:rsid w:val="7E26761A"/>
    <w:rsid w:val="7E2867AE"/>
    <w:rsid w:val="7E2A585E"/>
    <w:rsid w:val="7E2D0162"/>
    <w:rsid w:val="7E2D1F10"/>
    <w:rsid w:val="7E305712"/>
    <w:rsid w:val="7E3322A7"/>
    <w:rsid w:val="7E3379ED"/>
    <w:rsid w:val="7E3725B6"/>
    <w:rsid w:val="7E3A63DB"/>
    <w:rsid w:val="7E3D0C7E"/>
    <w:rsid w:val="7E3F2ED6"/>
    <w:rsid w:val="7E417270"/>
    <w:rsid w:val="7E42108B"/>
    <w:rsid w:val="7E4454AB"/>
    <w:rsid w:val="7E447259"/>
    <w:rsid w:val="7E4565E5"/>
    <w:rsid w:val="7E485D91"/>
    <w:rsid w:val="7E493F0F"/>
    <w:rsid w:val="7E4A0ED6"/>
    <w:rsid w:val="7E4A299F"/>
    <w:rsid w:val="7E4D25B2"/>
    <w:rsid w:val="7E4D4360"/>
    <w:rsid w:val="7E4E5ABF"/>
    <w:rsid w:val="7E4E5CE5"/>
    <w:rsid w:val="7E5356EF"/>
    <w:rsid w:val="7E557608"/>
    <w:rsid w:val="7E573431"/>
    <w:rsid w:val="7E5C27F5"/>
    <w:rsid w:val="7E5D031B"/>
    <w:rsid w:val="7E5D346E"/>
    <w:rsid w:val="7E5E656D"/>
    <w:rsid w:val="7E5F22E5"/>
    <w:rsid w:val="7E5F4018"/>
    <w:rsid w:val="7E645D4D"/>
    <w:rsid w:val="7E655B4E"/>
    <w:rsid w:val="7E665209"/>
    <w:rsid w:val="7E665422"/>
    <w:rsid w:val="7E690C76"/>
    <w:rsid w:val="7E691F7C"/>
    <w:rsid w:val="7E6A5569"/>
    <w:rsid w:val="7E6A6190"/>
    <w:rsid w:val="7E6D055E"/>
    <w:rsid w:val="7E6E42D6"/>
    <w:rsid w:val="7E6F0F3C"/>
    <w:rsid w:val="7E723DC7"/>
    <w:rsid w:val="7E755665"/>
    <w:rsid w:val="7E760E0F"/>
    <w:rsid w:val="7E780991"/>
    <w:rsid w:val="7E786F03"/>
    <w:rsid w:val="7E7D5737"/>
    <w:rsid w:val="7E8268A9"/>
    <w:rsid w:val="7E84392B"/>
    <w:rsid w:val="7E843AFA"/>
    <w:rsid w:val="7E8A1D6F"/>
    <w:rsid w:val="7E8B4E88"/>
    <w:rsid w:val="7E8E6727"/>
    <w:rsid w:val="7E927FC5"/>
    <w:rsid w:val="7E9975A5"/>
    <w:rsid w:val="7E9B156F"/>
    <w:rsid w:val="7EAD12A3"/>
    <w:rsid w:val="7EAF0B77"/>
    <w:rsid w:val="7EAF501B"/>
    <w:rsid w:val="7EB121D4"/>
    <w:rsid w:val="7EB50521"/>
    <w:rsid w:val="7EB75C7D"/>
    <w:rsid w:val="7EBE119C"/>
    <w:rsid w:val="7EC16AFC"/>
    <w:rsid w:val="7EC34622"/>
    <w:rsid w:val="7EC363D0"/>
    <w:rsid w:val="7EC5048C"/>
    <w:rsid w:val="7ECA59B1"/>
    <w:rsid w:val="7ECB4DA6"/>
    <w:rsid w:val="7ECB797B"/>
    <w:rsid w:val="7ECC04C8"/>
    <w:rsid w:val="7ECD3871"/>
    <w:rsid w:val="7ECD54A1"/>
    <w:rsid w:val="7ED00AED"/>
    <w:rsid w:val="7ED9163C"/>
    <w:rsid w:val="7ED93F76"/>
    <w:rsid w:val="7EE06F82"/>
    <w:rsid w:val="7EE10F4C"/>
    <w:rsid w:val="7EE332FD"/>
    <w:rsid w:val="7EE54599"/>
    <w:rsid w:val="7EEA1BAF"/>
    <w:rsid w:val="7EEF3F71"/>
    <w:rsid w:val="7EF24F07"/>
    <w:rsid w:val="7EF96296"/>
    <w:rsid w:val="7EF976A3"/>
    <w:rsid w:val="7EFE4DA0"/>
    <w:rsid w:val="7F01339C"/>
    <w:rsid w:val="7F04465B"/>
    <w:rsid w:val="7F091139"/>
    <w:rsid w:val="7F0A3FFF"/>
    <w:rsid w:val="7F0E5614"/>
    <w:rsid w:val="7F131848"/>
    <w:rsid w:val="7F170EF5"/>
    <w:rsid w:val="7F1A5FD0"/>
    <w:rsid w:val="7F20084E"/>
    <w:rsid w:val="7F214460"/>
    <w:rsid w:val="7F2257ED"/>
    <w:rsid w:val="7F2A6733"/>
    <w:rsid w:val="7F37335C"/>
    <w:rsid w:val="7F3948E4"/>
    <w:rsid w:val="7F3B065C"/>
    <w:rsid w:val="7F3C6183"/>
    <w:rsid w:val="7F460599"/>
    <w:rsid w:val="7F511C2E"/>
    <w:rsid w:val="7F5152BA"/>
    <w:rsid w:val="7F5259A6"/>
    <w:rsid w:val="7F534BCF"/>
    <w:rsid w:val="7F5434CC"/>
    <w:rsid w:val="7F5E5203"/>
    <w:rsid w:val="7F612E08"/>
    <w:rsid w:val="7F6317BF"/>
    <w:rsid w:val="7F631C62"/>
    <w:rsid w:val="7F651B7D"/>
    <w:rsid w:val="7F69341C"/>
    <w:rsid w:val="7F6D2127"/>
    <w:rsid w:val="7F6D458E"/>
    <w:rsid w:val="7F6F2CAC"/>
    <w:rsid w:val="7F773DE1"/>
    <w:rsid w:val="7F7B5E8B"/>
    <w:rsid w:val="7F7D0C75"/>
    <w:rsid w:val="7F7E30AB"/>
    <w:rsid w:val="7F7F2FD4"/>
    <w:rsid w:val="7F800765"/>
    <w:rsid w:val="7F805B82"/>
    <w:rsid w:val="7F8129F9"/>
    <w:rsid w:val="7F82628B"/>
    <w:rsid w:val="7F84104F"/>
    <w:rsid w:val="7F861CA9"/>
    <w:rsid w:val="7F8738A2"/>
    <w:rsid w:val="7F89761A"/>
    <w:rsid w:val="7F8C2C66"/>
    <w:rsid w:val="7F8F2756"/>
    <w:rsid w:val="7F975643"/>
    <w:rsid w:val="7F98785D"/>
    <w:rsid w:val="7F993804"/>
    <w:rsid w:val="7F9D088D"/>
    <w:rsid w:val="7FA02BB5"/>
    <w:rsid w:val="7FA04963"/>
    <w:rsid w:val="7FA24A9C"/>
    <w:rsid w:val="7FA2692E"/>
    <w:rsid w:val="7FA4017A"/>
    <w:rsid w:val="7FA8521B"/>
    <w:rsid w:val="7FA91A6A"/>
    <w:rsid w:val="7FB56661"/>
    <w:rsid w:val="7FB64187"/>
    <w:rsid w:val="7FB65A40"/>
    <w:rsid w:val="7FBA5A7D"/>
    <w:rsid w:val="7FBB6667"/>
    <w:rsid w:val="7FBD72C3"/>
    <w:rsid w:val="7FBF128D"/>
    <w:rsid w:val="7FC516C0"/>
    <w:rsid w:val="7FC95C68"/>
    <w:rsid w:val="7FCA0259"/>
    <w:rsid w:val="7FCA13B3"/>
    <w:rsid w:val="7FCA19E0"/>
    <w:rsid w:val="7FCC7507"/>
    <w:rsid w:val="7FD401CE"/>
    <w:rsid w:val="7FD66B6E"/>
    <w:rsid w:val="7FD71227"/>
    <w:rsid w:val="7FD8234F"/>
    <w:rsid w:val="7FDE3954"/>
    <w:rsid w:val="7FDE5951"/>
    <w:rsid w:val="7FE26D2A"/>
    <w:rsid w:val="7FE36660"/>
    <w:rsid w:val="7FE66176"/>
    <w:rsid w:val="7FE815F5"/>
    <w:rsid w:val="7FEB2083"/>
    <w:rsid w:val="7FF13F6C"/>
    <w:rsid w:val="7FF32CE5"/>
    <w:rsid w:val="7FF560D0"/>
    <w:rsid w:val="7FF6466E"/>
    <w:rsid w:val="7FF802FC"/>
    <w:rsid w:val="7FF87B5D"/>
    <w:rsid w:val="7FFA0518"/>
    <w:rsid w:val="7FFD4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autoRedefine/>
    <w:qFormat/>
    <w:uiPriority w:val="1"/>
    <w:pPr>
      <w:ind w:left="2675" w:right="2695"/>
      <w:jc w:val="center"/>
      <w:outlineLvl w:val="0"/>
    </w:pPr>
    <w:rPr>
      <w:rFonts w:ascii="微软雅黑" w:hAnsi="微软雅黑" w:eastAsia="微软雅黑" w:cs="微软雅黑"/>
      <w:sz w:val="38"/>
      <w:szCs w:val="38"/>
    </w:rPr>
  </w:style>
  <w:style w:type="paragraph" w:styleId="3">
    <w:name w:val="heading 2"/>
    <w:basedOn w:val="1"/>
    <w:next w:val="1"/>
    <w:link w:val="45"/>
    <w:autoRedefine/>
    <w:qFormat/>
    <w:uiPriority w:val="1"/>
    <w:pPr>
      <w:spacing w:before="124"/>
      <w:ind w:left="442" w:right="464"/>
      <w:jc w:val="center"/>
      <w:outlineLvl w:val="1"/>
    </w:pPr>
    <w:rPr>
      <w:rFonts w:ascii="黑体" w:hAnsi="黑体" w:eastAsia="黑体" w:cs="黑体"/>
      <w:sz w:val="30"/>
      <w:szCs w:val="30"/>
    </w:rPr>
  </w:style>
  <w:style w:type="paragraph" w:styleId="4">
    <w:name w:val="heading 3"/>
    <w:basedOn w:val="1"/>
    <w:next w:val="1"/>
    <w:link w:val="46"/>
    <w:autoRedefine/>
    <w:semiHidden/>
    <w:unhideWhenUsed/>
    <w:qFormat/>
    <w:uiPriority w:val="0"/>
    <w:pPr>
      <w:keepNext/>
      <w:keepLines/>
      <w:spacing w:line="413" w:lineRule="auto"/>
      <w:outlineLvl w:val="2"/>
    </w:pPr>
    <w:rPr>
      <w:b/>
      <w:sz w:val="32"/>
    </w:rPr>
  </w:style>
  <w:style w:type="paragraph" w:styleId="5">
    <w:name w:val="heading 4"/>
    <w:basedOn w:val="1"/>
    <w:next w:val="6"/>
    <w:link w:val="47"/>
    <w:autoRedefine/>
    <w:semiHidden/>
    <w:unhideWhenUsed/>
    <w:qFormat/>
    <w:uiPriority w:val="0"/>
    <w:pPr>
      <w:keepNext/>
      <w:keepLines/>
      <w:spacing w:line="372" w:lineRule="auto"/>
      <w:outlineLvl w:val="3"/>
    </w:pPr>
    <w:rPr>
      <w:rFonts w:ascii="Arial" w:hAnsi="Arial" w:eastAsia="黑体"/>
      <w:b/>
      <w:sz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autoRedefine/>
    <w:unhideWhenUsed/>
    <w:qFormat/>
    <w:uiPriority w:val="99"/>
    <w:pPr>
      <w:ind w:firstLine="420" w:firstLineChars="200"/>
    </w:pPr>
  </w:style>
  <w:style w:type="paragraph" w:styleId="7">
    <w:name w:val="toc 1"/>
    <w:basedOn w:val="1"/>
    <w:next w:val="1"/>
    <w:qFormat/>
    <w:uiPriority w:val="39"/>
    <w:rPr>
      <w:b/>
      <w:szCs w:val="20"/>
    </w:rPr>
  </w:style>
  <w:style w:type="paragraph" w:styleId="8">
    <w:name w:val="caption"/>
    <w:basedOn w:val="1"/>
    <w:next w:val="1"/>
    <w:autoRedefine/>
    <w:qFormat/>
    <w:uiPriority w:val="0"/>
    <w:pPr>
      <w:spacing w:line="440" w:lineRule="exact"/>
      <w:ind w:firstLine="1440" w:firstLineChars="200"/>
      <w:jc w:val="center"/>
    </w:pPr>
    <w:rPr>
      <w:rFonts w:ascii="Times New Roman" w:hAnsi="Times New Roman" w:cs="Arial"/>
      <w:b/>
      <w:snapToGrid w:val="0"/>
      <w:szCs w:val="24"/>
    </w:rPr>
  </w:style>
  <w:style w:type="paragraph" w:styleId="9">
    <w:name w:val="Document Map"/>
    <w:basedOn w:val="1"/>
    <w:link w:val="64"/>
    <w:autoRedefine/>
    <w:qFormat/>
    <w:uiPriority w:val="0"/>
    <w:rPr>
      <w:sz w:val="18"/>
      <w:szCs w:val="18"/>
    </w:rPr>
  </w:style>
  <w:style w:type="paragraph" w:styleId="10">
    <w:name w:val="annotation text"/>
    <w:basedOn w:val="1"/>
    <w:link w:val="66"/>
    <w:autoRedefine/>
    <w:qFormat/>
    <w:uiPriority w:val="0"/>
  </w:style>
  <w:style w:type="paragraph" w:styleId="11">
    <w:name w:val="Body Text"/>
    <w:basedOn w:val="1"/>
    <w:next w:val="12"/>
    <w:autoRedefine/>
    <w:qFormat/>
    <w:uiPriority w:val="1"/>
    <w:rPr>
      <w:sz w:val="24"/>
      <w:szCs w:val="24"/>
    </w:rPr>
  </w:style>
  <w:style w:type="paragraph" w:styleId="12">
    <w:name w:val="List Bullet 5"/>
    <w:basedOn w:val="1"/>
    <w:autoRedefine/>
    <w:qFormat/>
    <w:uiPriority w:val="0"/>
    <w:pPr>
      <w:numPr>
        <w:ilvl w:val="0"/>
        <w:numId w:val="1"/>
      </w:numPr>
    </w:pPr>
  </w:style>
  <w:style w:type="paragraph" w:styleId="13">
    <w:name w:val="Body Text Indent"/>
    <w:basedOn w:val="1"/>
    <w:next w:val="14"/>
    <w:autoRedefine/>
    <w:unhideWhenUsed/>
    <w:qFormat/>
    <w:uiPriority w:val="99"/>
    <w:pPr>
      <w:spacing w:line="500" w:lineRule="exact"/>
      <w:ind w:firstLine="540"/>
    </w:pPr>
    <w:rPr>
      <w:rFonts w:ascii="Calibri" w:hAnsi="Calibri" w:eastAsia="仿宋_GB2312"/>
      <w:sz w:val="28"/>
      <w:szCs w:val="28"/>
    </w:rPr>
  </w:style>
  <w:style w:type="paragraph" w:customStyle="1" w:styleId="14">
    <w:name w:val="p16"/>
    <w:next w:val="15"/>
    <w:qFormat/>
    <w:uiPriority w:val="0"/>
    <w:pPr>
      <w:ind w:firstLine="420"/>
      <w:jc w:val="both"/>
    </w:pPr>
    <w:rPr>
      <w:rFonts w:ascii="宋体" w:hAnsi="Times New Roman" w:eastAsia="宋体" w:cs="宋体"/>
      <w:sz w:val="21"/>
      <w:szCs w:val="21"/>
      <w:lang w:val="en-US" w:eastAsia="zh-CN" w:bidi="ar-SA"/>
    </w:rPr>
  </w:style>
  <w:style w:type="paragraph" w:styleId="15">
    <w:name w:val="toc 2"/>
    <w:basedOn w:val="1"/>
    <w:next w:val="1"/>
    <w:unhideWhenUsed/>
    <w:qFormat/>
    <w:uiPriority w:val="39"/>
    <w:pPr>
      <w:spacing w:line="360" w:lineRule="auto"/>
      <w:ind w:left="240" w:firstLine="200" w:firstLineChars="200"/>
      <w:jc w:val="left"/>
    </w:pPr>
    <w:rPr>
      <w:rFonts w:ascii="等线" w:eastAsia="等线" w:cs="Times New Roman"/>
      <w:smallCaps/>
      <w:sz w:val="20"/>
      <w:szCs w:val="20"/>
    </w:rPr>
  </w:style>
  <w:style w:type="paragraph" w:styleId="16">
    <w:name w:val="Block Text"/>
    <w:basedOn w:val="1"/>
    <w:autoRedefine/>
    <w:qFormat/>
    <w:uiPriority w:val="0"/>
    <w:pPr>
      <w:spacing w:after="120"/>
      <w:ind w:left="1440" w:leftChars="700" w:right="1440" w:rightChars="700"/>
    </w:pPr>
  </w:style>
  <w:style w:type="paragraph" w:styleId="17">
    <w:name w:val="Plain Text"/>
    <w:basedOn w:val="1"/>
    <w:autoRedefine/>
    <w:qFormat/>
    <w:uiPriority w:val="0"/>
    <w:rPr>
      <w:rFonts w:hAnsi="Courier New"/>
      <w:szCs w:val="20"/>
    </w:rPr>
  </w:style>
  <w:style w:type="paragraph" w:styleId="18">
    <w:name w:val="endnote text"/>
    <w:basedOn w:val="1"/>
    <w:autoRedefine/>
    <w:qFormat/>
    <w:uiPriority w:val="0"/>
    <w:pPr>
      <w:snapToGrid w:val="0"/>
      <w:spacing w:line="480" w:lineRule="exact"/>
    </w:pPr>
    <w:rPr>
      <w:rFonts w:ascii="Calibri" w:hAnsi="Calibri"/>
      <w:szCs w:val="20"/>
    </w:rPr>
  </w:style>
  <w:style w:type="paragraph" w:styleId="19">
    <w:name w:val="Balloon Text"/>
    <w:basedOn w:val="1"/>
    <w:link w:val="68"/>
    <w:autoRedefine/>
    <w:qFormat/>
    <w:uiPriority w:val="0"/>
    <w:rPr>
      <w:sz w:val="18"/>
      <w:szCs w:val="18"/>
    </w:rPr>
  </w:style>
  <w:style w:type="paragraph" w:styleId="20">
    <w:name w:val="footer"/>
    <w:basedOn w:val="1"/>
    <w:autoRedefine/>
    <w:qFormat/>
    <w:uiPriority w:val="0"/>
    <w:pPr>
      <w:tabs>
        <w:tab w:val="center" w:pos="4153"/>
        <w:tab w:val="right" w:pos="8306"/>
      </w:tabs>
      <w:snapToGrid w:val="0"/>
    </w:pPr>
    <w:rPr>
      <w:sz w:val="18"/>
    </w:rPr>
  </w:style>
  <w:style w:type="paragraph" w:styleId="21">
    <w:name w:val="header"/>
    <w:basedOn w:val="1"/>
    <w:link w:val="65"/>
    <w:autoRedefine/>
    <w:qFormat/>
    <w:uiPriority w:val="0"/>
    <w:pPr>
      <w:pBdr>
        <w:bottom w:val="single" w:color="auto" w:sz="6" w:space="1"/>
      </w:pBdr>
      <w:tabs>
        <w:tab w:val="center" w:pos="4153"/>
        <w:tab w:val="right" w:pos="8306"/>
      </w:tabs>
      <w:snapToGrid w:val="0"/>
      <w:jc w:val="center"/>
    </w:pPr>
    <w:rPr>
      <w:sz w:val="18"/>
      <w:szCs w:val="18"/>
    </w:rPr>
  </w:style>
  <w:style w:type="paragraph" w:styleId="22">
    <w:name w:val="table of figures"/>
    <w:basedOn w:val="1"/>
    <w:next w:val="1"/>
    <w:link w:val="48"/>
    <w:autoRedefine/>
    <w:unhideWhenUsed/>
    <w:qFormat/>
    <w:uiPriority w:val="99"/>
    <w:pPr>
      <w:ind w:left="200" w:leftChars="200" w:hanging="200" w:hangingChars="200"/>
      <w:jc w:val="both"/>
    </w:pPr>
    <w:rPr>
      <w:rFonts w:eastAsia="MS Gothic"/>
      <w:sz w:val="21"/>
      <w:szCs w:val="21"/>
    </w:rPr>
  </w:style>
  <w:style w:type="paragraph" w:styleId="23">
    <w:name w:val="Body Text 2"/>
    <w:basedOn w:val="1"/>
    <w:autoRedefine/>
    <w:qFormat/>
    <w:uiPriority w:val="0"/>
    <w:pPr>
      <w:spacing w:after="120" w:line="480" w:lineRule="auto"/>
    </w:pPr>
    <w:rPr>
      <w:rFonts w:cs="Times New Roman"/>
      <w:kern w:val="2"/>
      <w:sz w:val="21"/>
      <w:szCs w:val="20"/>
    </w:rPr>
  </w:style>
  <w:style w:type="paragraph" w:styleId="24">
    <w:name w:val="Normal (Web)"/>
    <w:basedOn w:val="1"/>
    <w:autoRedefine/>
    <w:qFormat/>
    <w:uiPriority w:val="99"/>
    <w:pPr>
      <w:widowControl/>
      <w:spacing w:before="100" w:beforeAutospacing="1" w:after="100" w:afterAutospacing="1"/>
    </w:pPr>
    <w:rPr>
      <w:sz w:val="24"/>
      <w:szCs w:val="20"/>
    </w:rPr>
  </w:style>
  <w:style w:type="paragraph" w:styleId="25">
    <w:name w:val="annotation subject"/>
    <w:basedOn w:val="10"/>
    <w:next w:val="10"/>
    <w:link w:val="67"/>
    <w:autoRedefine/>
    <w:qFormat/>
    <w:uiPriority w:val="0"/>
    <w:rPr>
      <w:b/>
      <w:bCs/>
    </w:rPr>
  </w:style>
  <w:style w:type="paragraph" w:styleId="26">
    <w:name w:val="Body Text First Indent"/>
    <w:basedOn w:val="11"/>
    <w:next w:val="1"/>
    <w:autoRedefine/>
    <w:qFormat/>
    <w:uiPriority w:val="0"/>
    <w:pPr>
      <w:spacing w:after="120"/>
      <w:ind w:firstLine="420" w:firstLineChars="100"/>
    </w:pPr>
  </w:style>
  <w:style w:type="paragraph" w:styleId="27">
    <w:name w:val="Body Text First Indent 2"/>
    <w:basedOn w:val="13"/>
    <w:next w:val="1"/>
    <w:autoRedefine/>
    <w:unhideWhenUsed/>
    <w:qFormat/>
    <w:uiPriority w:val="99"/>
    <w:pPr>
      <w:spacing w:after="120" w:line="480" w:lineRule="exact"/>
      <w:ind w:left="420" w:leftChars="200" w:firstLine="420" w:firstLineChars="200"/>
    </w:pPr>
    <w:rPr>
      <w:rFonts w:ascii="Times New Roman" w:hAnsi="Times New Roman"/>
      <w:kern w:val="2"/>
      <w:sz w:val="24"/>
      <w:szCs w:val="24"/>
    </w:rPr>
  </w:style>
  <w:style w:type="table" w:styleId="29">
    <w:name w:val="Table Grid"/>
    <w:basedOn w:val="2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autoRedefine/>
    <w:qFormat/>
    <w:uiPriority w:val="0"/>
  </w:style>
  <w:style w:type="character" w:styleId="32">
    <w:name w:val="annotation reference"/>
    <w:autoRedefine/>
    <w:qFormat/>
    <w:uiPriority w:val="99"/>
    <w:rPr>
      <w:sz w:val="21"/>
      <w:szCs w:val="21"/>
    </w:rPr>
  </w:style>
  <w:style w:type="paragraph" w:customStyle="1" w:styleId="33">
    <w:name w:val="⑥表正文"/>
    <w:basedOn w:val="1"/>
    <w:autoRedefine/>
    <w:qFormat/>
    <w:uiPriority w:val="0"/>
    <w:pPr>
      <w:spacing w:line="288" w:lineRule="auto"/>
      <w:ind w:left="22" w:leftChars="9" w:right="22" w:rightChars="9"/>
      <w:jc w:val="center"/>
    </w:pPr>
    <w:rPr>
      <w:rFonts w:cstheme="minorBidi"/>
      <w:sz w:val="21"/>
      <w:lang w:eastAsia="en-US"/>
    </w:rPr>
  </w:style>
  <w:style w:type="paragraph" w:customStyle="1" w:styleId="34">
    <w:name w:val="样式 正文缩进正文缩进2正文缩进 Char Char正文缩进 Char Char Char Char正文缩进 Char ..."/>
    <w:basedOn w:val="6"/>
    <w:qFormat/>
    <w:uiPriority w:val="0"/>
    <w:pPr>
      <w:spacing w:line="240" w:lineRule="auto"/>
      <w:ind w:firstLine="0" w:firstLineChars="0"/>
    </w:pPr>
    <w:rPr>
      <w:rFonts w:ascii="Times New Roman" w:hAnsi="Times New Roman" w:eastAsia="宋体" w:cs="Times New Roman"/>
      <w:w w:val="80"/>
      <w:sz w:val="18"/>
      <w:szCs w:val="15"/>
    </w:rPr>
  </w:style>
  <w:style w:type="paragraph" w:customStyle="1" w:styleId="35">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6">
    <w:name w:val="[1]正文"/>
    <w:basedOn w:val="1"/>
    <w:autoRedefine/>
    <w:qFormat/>
    <w:uiPriority w:val="0"/>
    <w:pPr>
      <w:widowControl/>
      <w:snapToGrid w:val="0"/>
    </w:pPr>
    <w:rPr>
      <w:rFonts w:ascii="Calibri" w:hAnsi="Calibri"/>
      <w:szCs w:val="28"/>
    </w:rPr>
  </w:style>
  <w:style w:type="paragraph" w:customStyle="1" w:styleId="37">
    <w:name w:val="样式1"/>
    <w:basedOn w:val="1"/>
    <w:next w:val="16"/>
    <w:autoRedefine/>
    <w:qFormat/>
    <w:uiPriority w:val="0"/>
    <w:pPr>
      <w:kinsoku w:val="0"/>
      <w:overflowPunct w:val="0"/>
      <w:adjustRightInd w:val="0"/>
      <w:snapToGrid w:val="0"/>
      <w:spacing w:line="360" w:lineRule="auto"/>
      <w:ind w:firstLine="480" w:firstLineChars="200"/>
    </w:pPr>
    <w:rPr>
      <w:rFonts w:ascii="Times New Roman" w:hAnsi="Times New Roman"/>
      <w:sz w:val="24"/>
    </w:rPr>
  </w:style>
  <w:style w:type="paragraph" w:customStyle="1" w:styleId="38">
    <w:name w:val="表格"/>
    <w:basedOn w:val="39"/>
    <w:next w:val="6"/>
    <w:autoRedefine/>
    <w:qFormat/>
    <w:uiPriority w:val="99"/>
    <w:pPr>
      <w:tabs>
        <w:tab w:val="center" w:pos="4153"/>
        <w:tab w:val="right" w:pos="8306"/>
      </w:tabs>
      <w:spacing w:line="360" w:lineRule="exact"/>
      <w:jc w:val="center"/>
    </w:pPr>
    <w:rPr>
      <w:szCs w:val="21"/>
    </w:rPr>
  </w:style>
  <w:style w:type="paragraph" w:customStyle="1" w:styleId="39">
    <w:name w:val="正文1"/>
    <w:basedOn w:val="20"/>
    <w:qFormat/>
    <w:uiPriority w:val="0"/>
    <w:pPr>
      <w:adjustRightInd w:val="0"/>
      <w:spacing w:line="440" w:lineRule="exact"/>
      <w:ind w:firstLine="200" w:firstLineChars="200"/>
    </w:pPr>
    <w:rPr>
      <w:sz w:val="24"/>
    </w:rPr>
  </w:style>
  <w:style w:type="paragraph" w:customStyle="1" w:styleId="40">
    <w:name w:val="表格文字"/>
    <w:basedOn w:val="11"/>
    <w:next w:val="1"/>
    <w:autoRedefine/>
    <w:qFormat/>
    <w:uiPriority w:val="0"/>
    <w:pPr>
      <w:snapToGrid w:val="0"/>
      <w:spacing w:line="360" w:lineRule="exact"/>
      <w:jc w:val="center"/>
    </w:pPr>
    <w:rPr>
      <w:sz w:val="21"/>
    </w:rPr>
  </w:style>
  <w:style w:type="paragraph" w:customStyle="1" w:styleId="41">
    <w:name w:val="环评正文"/>
    <w:basedOn w:val="1"/>
    <w:autoRedefine/>
    <w:semiHidden/>
    <w:qFormat/>
    <w:uiPriority w:val="0"/>
    <w:pPr>
      <w:spacing w:line="360" w:lineRule="auto"/>
      <w:ind w:firstLine="200" w:firstLineChars="200"/>
    </w:pPr>
    <w:rPr>
      <w:rFonts w:eastAsia="Times New Roman"/>
      <w:sz w:val="24"/>
    </w:rPr>
  </w:style>
  <w:style w:type="paragraph" w:customStyle="1" w:styleId="42">
    <w:name w:val="表格文字2"/>
    <w:basedOn w:val="1"/>
    <w:autoRedefine/>
    <w:qFormat/>
    <w:uiPriority w:val="0"/>
    <w:pPr>
      <w:adjustRightInd w:val="0"/>
      <w:spacing w:before="60"/>
      <w:jc w:val="center"/>
      <w:textAlignment w:val="baseline"/>
    </w:pPr>
    <w:rPr>
      <w:sz w:val="24"/>
    </w:rPr>
  </w:style>
  <w:style w:type="paragraph" w:customStyle="1" w:styleId="43">
    <w:name w:val="样式5"/>
    <w:basedOn w:val="1"/>
    <w:link w:val="49"/>
    <w:autoRedefine/>
    <w:qFormat/>
    <w:uiPriority w:val="0"/>
    <w:pPr>
      <w:snapToGrid w:val="0"/>
      <w:spacing w:line="360" w:lineRule="auto"/>
      <w:ind w:firstLine="510"/>
    </w:pPr>
    <w:rPr>
      <w:sz w:val="24"/>
      <w:szCs w:val="24"/>
    </w:rPr>
  </w:style>
  <w:style w:type="paragraph" w:customStyle="1" w:styleId="44">
    <w:name w:val="正文A"/>
    <w:basedOn w:val="1"/>
    <w:autoRedefine/>
    <w:qFormat/>
    <w:uiPriority w:val="0"/>
    <w:pPr>
      <w:spacing w:line="360" w:lineRule="auto"/>
      <w:ind w:firstLine="720" w:firstLineChars="200"/>
    </w:pPr>
    <w:rPr>
      <w:sz w:val="24"/>
    </w:rPr>
  </w:style>
  <w:style w:type="character" w:customStyle="1" w:styleId="45">
    <w:name w:val="标题 2 字符"/>
    <w:link w:val="3"/>
    <w:autoRedefine/>
    <w:qFormat/>
    <w:uiPriority w:val="1"/>
    <w:rPr>
      <w:rFonts w:ascii="黑体" w:hAnsi="黑体" w:eastAsia="黑体" w:cs="黑体"/>
      <w:sz w:val="30"/>
      <w:szCs w:val="30"/>
    </w:rPr>
  </w:style>
  <w:style w:type="character" w:customStyle="1" w:styleId="46">
    <w:name w:val="标题 3 字符"/>
    <w:link w:val="4"/>
    <w:autoRedefine/>
    <w:qFormat/>
    <w:uiPriority w:val="0"/>
    <w:rPr>
      <w:b/>
      <w:sz w:val="32"/>
    </w:rPr>
  </w:style>
  <w:style w:type="character" w:customStyle="1" w:styleId="47">
    <w:name w:val="标题 4 字符"/>
    <w:link w:val="5"/>
    <w:autoRedefine/>
    <w:qFormat/>
    <w:uiPriority w:val="0"/>
    <w:rPr>
      <w:rFonts w:ascii="Arial" w:hAnsi="Arial" w:eastAsia="黑体"/>
      <w:b/>
      <w:sz w:val="28"/>
    </w:rPr>
  </w:style>
  <w:style w:type="character" w:customStyle="1" w:styleId="48">
    <w:name w:val="图表目录 字符"/>
    <w:link w:val="22"/>
    <w:autoRedefine/>
    <w:qFormat/>
    <w:uiPriority w:val="99"/>
    <w:rPr>
      <w:rFonts w:eastAsia="MS Gothic"/>
      <w:sz w:val="21"/>
      <w:szCs w:val="21"/>
    </w:rPr>
  </w:style>
  <w:style w:type="character" w:customStyle="1" w:styleId="49">
    <w:name w:val="样式5 Char"/>
    <w:link w:val="43"/>
    <w:autoRedefine/>
    <w:qFormat/>
    <w:uiPriority w:val="0"/>
    <w:rPr>
      <w:sz w:val="24"/>
      <w:szCs w:val="24"/>
    </w:rPr>
  </w:style>
  <w:style w:type="paragraph" w:customStyle="1" w:styleId="50">
    <w:name w:val="Default"/>
    <w:basedOn w:val="51"/>
    <w:autoRedefine/>
    <w:qFormat/>
    <w:uiPriority w:val="0"/>
    <w:pPr>
      <w:autoSpaceDE w:val="0"/>
      <w:autoSpaceDN w:val="0"/>
      <w:adjustRightInd w:val="0"/>
    </w:pPr>
    <w:rPr>
      <w:rFonts w:ascii="仿宋_GB2312" w:eastAsia="仿宋_GB2312" w:cs="仿宋_GB2312"/>
      <w:sz w:val="24"/>
    </w:rPr>
  </w:style>
  <w:style w:type="paragraph" w:customStyle="1" w:styleId="51">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2">
    <w:name w:val="B-表内"/>
    <w:basedOn w:val="1"/>
    <w:autoRedefine/>
    <w:qFormat/>
    <w:uiPriority w:val="0"/>
    <w:pPr>
      <w:jc w:val="center"/>
    </w:pPr>
    <w:rPr>
      <w:bCs/>
    </w:rPr>
  </w:style>
  <w:style w:type="paragraph" w:customStyle="1" w:styleId="53">
    <w:name w:val="1正文"/>
    <w:basedOn w:val="1"/>
    <w:autoRedefine/>
    <w:qFormat/>
    <w:uiPriority w:val="0"/>
    <w:pPr>
      <w:widowControl/>
      <w:adjustRightInd w:val="0"/>
      <w:snapToGrid w:val="0"/>
      <w:spacing w:line="360" w:lineRule="auto"/>
      <w:ind w:firstLine="200" w:firstLineChars="200"/>
    </w:pPr>
    <w:rPr>
      <w:color w:val="000000"/>
      <w:kern w:val="1"/>
      <w:sz w:val="24"/>
      <w:szCs w:val="24"/>
    </w:rPr>
  </w:style>
  <w:style w:type="paragraph" w:customStyle="1" w:styleId="54">
    <w:name w:val="Table Paragraph"/>
    <w:basedOn w:val="1"/>
    <w:autoRedefine/>
    <w:qFormat/>
    <w:uiPriority w:val="1"/>
  </w:style>
  <w:style w:type="paragraph" w:customStyle="1" w:styleId="55">
    <w:name w:val="sll-正文"/>
    <w:basedOn w:val="1"/>
    <w:autoRedefine/>
    <w:qFormat/>
    <w:uiPriority w:val="0"/>
    <w:pPr>
      <w:adjustRightInd w:val="0"/>
      <w:snapToGrid w:val="0"/>
      <w:spacing w:line="360" w:lineRule="auto"/>
      <w:ind w:firstLine="720" w:firstLineChars="200"/>
    </w:pPr>
    <w:rPr>
      <w:rFonts w:ascii="Times New Roman" w:hAnsi="Times New Roman"/>
      <w:sz w:val="24"/>
      <w:szCs w:val="21"/>
    </w:rPr>
  </w:style>
  <w:style w:type="paragraph" w:customStyle="1" w:styleId="56">
    <w:name w:val="SLL-表头"/>
    <w:basedOn w:val="1"/>
    <w:next w:val="1"/>
    <w:autoRedefine/>
    <w:qFormat/>
    <w:uiPriority w:val="0"/>
    <w:pPr>
      <w:jc w:val="center"/>
    </w:pPr>
    <w:rPr>
      <w:rFonts w:ascii="Times New Roman" w:hAnsi="Times New Roman"/>
      <w:b/>
      <w:sz w:val="24"/>
      <w:szCs w:val="20"/>
    </w:rPr>
  </w:style>
  <w:style w:type="paragraph" w:customStyle="1" w:styleId="57">
    <w:name w:val="SLL-表格"/>
    <w:basedOn w:val="58"/>
    <w:next w:val="58"/>
    <w:autoRedefine/>
    <w:qFormat/>
    <w:uiPriority w:val="0"/>
    <w:pPr>
      <w:jc w:val="center"/>
    </w:pPr>
    <w:rPr>
      <w:sz w:val="21"/>
    </w:rPr>
  </w:style>
  <w:style w:type="paragraph" w:customStyle="1" w:styleId="58">
    <w:name w:val="SLL-正文"/>
    <w:basedOn w:val="1"/>
    <w:autoRedefine/>
    <w:qFormat/>
    <w:uiPriority w:val="0"/>
    <w:rPr>
      <w:rFonts w:ascii="Times New Roman" w:hAnsi="Times New Roman"/>
    </w:rPr>
  </w:style>
  <w:style w:type="paragraph" w:customStyle="1" w:styleId="59">
    <w:name w:val="TX-表头"/>
    <w:autoRedefine/>
    <w:qFormat/>
    <w:uiPriority w:val="0"/>
    <w:pPr>
      <w:jc w:val="center"/>
    </w:pPr>
    <w:rPr>
      <w:rFonts w:ascii="Times New Roman" w:hAnsi="Times New Roman" w:eastAsia="仿宋" w:cs="Times New Roman"/>
      <w:b/>
      <w:kern w:val="2"/>
      <w:sz w:val="24"/>
      <w:szCs w:val="22"/>
      <w:lang w:val="en-US" w:eastAsia="zh-CN" w:bidi="ar-SA"/>
    </w:rPr>
  </w:style>
  <w:style w:type="paragraph" w:customStyle="1" w:styleId="60">
    <w:name w:val="表内容60"/>
    <w:basedOn w:val="17"/>
    <w:autoRedefine/>
    <w:qFormat/>
    <w:uiPriority w:val="0"/>
    <w:pPr>
      <w:jc w:val="center"/>
    </w:pPr>
    <w:rPr>
      <w:rFonts w:ascii="Times New Roman" w:hAnsi="Times New Roman"/>
    </w:rPr>
  </w:style>
  <w:style w:type="paragraph" w:customStyle="1" w:styleId="61">
    <w:name w:val="报告正文"/>
    <w:basedOn w:val="1"/>
    <w:autoRedefine/>
    <w:qFormat/>
    <w:uiPriority w:val="0"/>
    <w:pPr>
      <w:adjustRightInd w:val="0"/>
      <w:snapToGrid w:val="0"/>
      <w:spacing w:line="480" w:lineRule="exact"/>
      <w:ind w:firstLine="200" w:firstLineChars="200"/>
    </w:pPr>
    <w:rPr>
      <w:sz w:val="24"/>
    </w:rPr>
  </w:style>
  <w:style w:type="paragraph" w:customStyle="1" w:styleId="62">
    <w:name w:val="Char4"/>
    <w:basedOn w:val="1"/>
    <w:autoRedefine/>
    <w:qFormat/>
    <w:uiPriority w:val="0"/>
    <w:pPr>
      <w:spacing w:line="360" w:lineRule="auto"/>
      <w:ind w:firstLine="200" w:firstLineChars="200"/>
    </w:pPr>
    <w:rPr>
      <w:rFonts w:hAnsi="仿宋_GB2312"/>
      <w:color w:val="000000"/>
      <w:sz w:val="24"/>
      <w:szCs w:val="20"/>
      <w:u w:color="000000"/>
    </w:rPr>
  </w:style>
  <w:style w:type="paragraph" w:customStyle="1" w:styleId="63">
    <w:name w:val="0正文"/>
    <w:autoRedefine/>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64">
    <w:name w:val="文档结构图 字符"/>
    <w:basedOn w:val="30"/>
    <w:link w:val="9"/>
    <w:autoRedefine/>
    <w:qFormat/>
    <w:uiPriority w:val="0"/>
    <w:rPr>
      <w:rFonts w:ascii="宋体" w:hAnsi="宋体" w:cs="宋体"/>
      <w:sz w:val="18"/>
      <w:szCs w:val="18"/>
      <w:lang w:val="zh-CN" w:bidi="zh-CN"/>
    </w:rPr>
  </w:style>
  <w:style w:type="character" w:customStyle="1" w:styleId="65">
    <w:name w:val="页眉 字符"/>
    <w:basedOn w:val="30"/>
    <w:link w:val="21"/>
    <w:autoRedefine/>
    <w:qFormat/>
    <w:uiPriority w:val="0"/>
    <w:rPr>
      <w:rFonts w:ascii="宋体" w:hAnsi="宋体" w:cs="宋体"/>
      <w:sz w:val="18"/>
      <w:szCs w:val="18"/>
      <w:lang w:val="zh-CN" w:bidi="zh-CN"/>
    </w:rPr>
  </w:style>
  <w:style w:type="character" w:customStyle="1" w:styleId="66">
    <w:name w:val="批注文字 字符"/>
    <w:basedOn w:val="30"/>
    <w:link w:val="10"/>
    <w:autoRedefine/>
    <w:qFormat/>
    <w:uiPriority w:val="0"/>
    <w:rPr>
      <w:rFonts w:ascii="宋体" w:hAnsi="宋体" w:cs="宋体"/>
      <w:sz w:val="22"/>
      <w:szCs w:val="22"/>
      <w:lang w:val="zh-CN" w:bidi="zh-CN"/>
    </w:rPr>
  </w:style>
  <w:style w:type="character" w:customStyle="1" w:styleId="67">
    <w:name w:val="批注主题 字符"/>
    <w:basedOn w:val="66"/>
    <w:link w:val="25"/>
    <w:autoRedefine/>
    <w:qFormat/>
    <w:uiPriority w:val="0"/>
    <w:rPr>
      <w:rFonts w:ascii="宋体" w:hAnsi="宋体" w:cs="宋体"/>
      <w:sz w:val="22"/>
      <w:szCs w:val="22"/>
      <w:lang w:val="zh-CN" w:bidi="zh-CN"/>
    </w:rPr>
  </w:style>
  <w:style w:type="character" w:customStyle="1" w:styleId="68">
    <w:name w:val="批注框文本 字符"/>
    <w:basedOn w:val="30"/>
    <w:link w:val="19"/>
    <w:autoRedefine/>
    <w:qFormat/>
    <w:uiPriority w:val="0"/>
    <w:rPr>
      <w:rFonts w:ascii="宋体" w:hAnsi="宋体" w:cs="宋体"/>
      <w:sz w:val="18"/>
      <w:szCs w:val="18"/>
      <w:lang w:val="zh-CN" w:bidi="zh-CN"/>
    </w:rPr>
  </w:style>
  <w:style w:type="paragraph" w:customStyle="1" w:styleId="69">
    <w:name w:val="文章正文"/>
    <w:basedOn w:val="1"/>
    <w:autoRedefine/>
    <w:qFormat/>
    <w:uiPriority w:val="0"/>
    <w:pPr>
      <w:spacing w:line="440" w:lineRule="exact"/>
      <w:ind w:firstLine="600" w:firstLineChars="200"/>
    </w:pPr>
    <w:rPr>
      <w:sz w:val="24"/>
      <w:szCs w:val="20"/>
    </w:rPr>
  </w:style>
  <w:style w:type="character" w:customStyle="1" w:styleId="70">
    <w:name w:val="文章正文 Char Char"/>
    <w:autoRedefine/>
    <w:qFormat/>
    <w:uiPriority w:val="0"/>
    <w:rPr>
      <w:kern w:val="0"/>
      <w:sz w:val="24"/>
    </w:rPr>
  </w:style>
  <w:style w:type="paragraph" w:styleId="71">
    <w:name w:val="List Paragraph"/>
    <w:basedOn w:val="1"/>
    <w:autoRedefine/>
    <w:qFormat/>
    <w:uiPriority w:val="34"/>
    <w:pPr>
      <w:widowControl/>
      <w:ind w:firstLine="420" w:firstLineChars="200"/>
    </w:pPr>
    <w:rPr>
      <w:sz w:val="24"/>
      <w:szCs w:val="24"/>
    </w:rPr>
  </w:style>
  <w:style w:type="character" w:customStyle="1" w:styleId="72">
    <w:name w:val="15"/>
    <w:autoRedefine/>
    <w:qFormat/>
    <w:uiPriority w:val="0"/>
    <w:rPr>
      <w:rFonts w:hint="default" w:ascii="Times New Roman" w:hAnsi="Times New Roman" w:cs="Times New Roman"/>
      <w:sz w:val="21"/>
      <w:szCs w:val="21"/>
    </w:rPr>
  </w:style>
  <w:style w:type="paragraph" w:customStyle="1" w:styleId="73">
    <w:name w:val="正文_4"/>
    <w:basedOn w:val="1"/>
    <w:autoRedefine/>
    <w:qFormat/>
    <w:uiPriority w:val="0"/>
    <w:rPr>
      <w:rFonts w:ascii="Calibri" w:hAnsi="Calibri"/>
      <w:szCs w:val="21"/>
    </w:rPr>
  </w:style>
  <w:style w:type="paragraph" w:customStyle="1" w:styleId="74">
    <w:name w:val="Revision"/>
    <w:hidden/>
    <w:unhideWhenUsed/>
    <w:qFormat/>
    <w:uiPriority w:val="99"/>
    <w:rPr>
      <w:rFonts w:ascii="宋体" w:hAnsi="宋体" w:eastAsia="宋体" w:cs="宋体"/>
      <w:sz w:val="22"/>
      <w:szCs w:val="22"/>
      <w:lang w:val="zh-CN" w:eastAsia="zh-CN" w:bidi="zh-CN"/>
    </w:rPr>
  </w:style>
  <w:style w:type="paragraph" w:customStyle="1" w:styleId="75">
    <w:name w:val="正文—高"/>
    <w:basedOn w:val="1"/>
    <w:qFormat/>
    <w:uiPriority w:val="0"/>
    <w:pPr>
      <w:adjustRightInd/>
      <w:snapToGrid/>
      <w:spacing w:line="360" w:lineRule="auto"/>
      <w:ind w:firstLine="1040" w:firstLineChars="200"/>
      <w:textAlignment w:val="baseline"/>
    </w:pPr>
    <w:rPr>
      <w:color w:val="000000"/>
      <w:kern w:val="24"/>
      <w:sz w:val="24"/>
      <w:szCs w:val="20"/>
    </w:rPr>
  </w:style>
  <w:style w:type="paragraph" w:customStyle="1" w:styleId="76">
    <w:name w:val="Char Char Char Char Char Char Char"/>
    <w:basedOn w:val="1"/>
    <w:qFormat/>
    <w:uiPriority w:val="0"/>
    <w:pPr>
      <w:spacing w:line="360" w:lineRule="auto"/>
      <w:ind w:firstLine="200" w:firstLineChars="200"/>
    </w:pPr>
    <w:rPr>
      <w:rFonts w:ascii="宋体" w:hAnsi="宋体" w:cs="宋体"/>
      <w:szCs w:val="24"/>
    </w:rPr>
  </w:style>
  <w:style w:type="paragraph" w:customStyle="1" w:styleId="77">
    <w:name w:val="【正文】"/>
    <w:basedOn w:val="1"/>
    <w:qFormat/>
    <w:uiPriority w:val="0"/>
    <w:pPr>
      <w:spacing w:line="440" w:lineRule="exact"/>
      <w:ind w:firstLine="200" w:firstLineChars="200"/>
    </w:pPr>
    <w:rPr>
      <w:sz w:val="24"/>
      <w:szCs w:val="20"/>
    </w:rPr>
  </w:style>
  <w:style w:type="paragraph" w:customStyle="1" w:styleId="78">
    <w:name w:val="标准"/>
    <w:basedOn w:val="1"/>
    <w:qFormat/>
    <w:uiPriority w:val="0"/>
    <w:pPr>
      <w:adjustRightInd w:val="0"/>
      <w:spacing w:line="312" w:lineRule="atLeast"/>
      <w:textAlignment w:val="baseline"/>
    </w:pPr>
    <w:rPr>
      <w:rFonts w:ascii="楷体_GB2312" w:hAnsi="Script" w:eastAsia="楷体_GB2312"/>
      <w:kern w:val="0"/>
      <w:sz w:val="24"/>
    </w:rPr>
  </w:style>
  <w:style w:type="paragraph" w:customStyle="1" w:styleId="79">
    <w:name w:val="武正文"/>
    <w:basedOn w:val="1"/>
    <w:qFormat/>
    <w:uiPriority w:val="0"/>
    <w:pPr>
      <w:spacing w:line="360" w:lineRule="auto"/>
      <w:ind w:firstLine="200" w:firstLineChars="200"/>
    </w:pPr>
    <w:rPr>
      <w:rFonts w:hAnsi="宋体"/>
      <w:color w:val="000000"/>
      <w:sz w:val="24"/>
    </w:rPr>
  </w:style>
  <w:style w:type="paragraph" w:customStyle="1" w:styleId="80">
    <w:name w:val="书正文"/>
    <w:basedOn w:val="1"/>
    <w:qFormat/>
    <w:uiPriority w:val="0"/>
    <w:pPr>
      <w:spacing w:line="500" w:lineRule="exact"/>
      <w:ind w:firstLine="640" w:firstLineChars="200"/>
    </w:pPr>
  </w:style>
  <w:style w:type="character" w:customStyle="1" w:styleId="81">
    <w:name w:val="font81"/>
    <w:basedOn w:val="30"/>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pn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9365F-3994-4961-867F-ED0166786E4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46</Pages>
  <Words>3111</Words>
  <Characters>3315</Characters>
  <Lines>442</Lines>
  <Paragraphs>124</Paragraphs>
  <TotalTime>15</TotalTime>
  <ScaleCrop>false</ScaleCrop>
  <LinksUpToDate>false</LinksUpToDate>
  <CharactersWithSpaces>3419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2025-03-06T18:49:00Z</dcterms:created>
  <dc:creator>Administrator</dc:creator>
  <cp:lastModifiedBy>初心す</cp:lastModifiedBy>
  <cp:lastPrinted>2025-03-24T02:06:00Z</cp:lastPrinted>
  <dcterms:modified xsi:type="dcterms:W3CDTF">2025-08-27T08:28:22Z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8E5833B8729E47B493038F64AD9DB07A_13</vt:lpwstr>
  </property>
  <property fmtid="{D5CDD505-2E9C-101B-9397-08002B2CF9AE}" pid="4" name="KSOTemplateDocerSaveRecord">
    <vt:lpwstr>eyJoZGlkIjoiM2EyOWVkMDQ1ZDJiMmU2YTY0Y2RjZjk2MTY4MmNjZTAiLCJ1c2VySWQiOiIzMTQyNjY5OTIifQ==</vt:lpwstr>
  </property>
</Properties>
</file>