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28775">
      <w:pPr>
        <w:rPr>
          <w:rFonts w:hint="default" w:ascii="Times New Roman" w:hAnsi="Times New Roman" w:eastAsia="仿宋_GB2312" w:cs="Times New Roman"/>
          <w:color w:val="auto"/>
          <w:sz w:val="36"/>
          <w:szCs w:val="36"/>
          <w:highlight w:val="none"/>
        </w:rPr>
      </w:pPr>
    </w:p>
    <w:p w14:paraId="4B9B7596">
      <w:pPr>
        <w:rPr>
          <w:rFonts w:hint="default" w:ascii="Times New Roman" w:hAnsi="Times New Roman" w:eastAsia="仿宋_GB2312" w:cs="Times New Roman"/>
          <w:color w:val="auto"/>
          <w:sz w:val="36"/>
          <w:szCs w:val="36"/>
          <w:highlight w:val="none"/>
        </w:rPr>
      </w:pPr>
    </w:p>
    <w:p w14:paraId="53A2C292">
      <w:pPr>
        <w:rPr>
          <w:rFonts w:hint="default" w:ascii="Times New Roman" w:hAnsi="Times New Roman" w:eastAsia="仿宋_GB2312" w:cs="Times New Roman"/>
          <w:color w:val="auto"/>
          <w:sz w:val="36"/>
          <w:szCs w:val="36"/>
          <w:highlight w:val="none"/>
        </w:rPr>
      </w:pPr>
    </w:p>
    <w:p w14:paraId="2E43055B">
      <w:pPr>
        <w:rPr>
          <w:rFonts w:hint="default" w:ascii="Times New Roman" w:hAnsi="Times New Roman" w:eastAsia="仿宋_GB2312" w:cs="Times New Roman"/>
          <w:color w:val="auto"/>
          <w:sz w:val="36"/>
          <w:szCs w:val="36"/>
          <w:highlight w:val="none"/>
        </w:rPr>
      </w:pPr>
    </w:p>
    <w:p w14:paraId="2B2EF40F">
      <w:pPr>
        <w:adjustRightInd w:val="0"/>
        <w:snapToGrid w:val="0"/>
        <w:ind w:left="0" w:leftChars="0" w:firstLine="0" w:firstLineChars="0"/>
        <w:jc w:val="center"/>
        <w:outlineLvl w:val="0"/>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40366D10">
      <w:pPr>
        <w:adjustRightInd w:val="0"/>
        <w:snapToGrid w:val="0"/>
        <w:spacing w:before="192" w:beforeLines="80"/>
        <w:ind w:left="0" w:leftChars="0" w:firstLine="0" w:firstLineChars="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63258633">
      <w:pPr>
        <w:adjustRightInd w:val="0"/>
        <w:snapToGrid w:val="0"/>
        <w:spacing w:line="288" w:lineRule="auto"/>
        <w:jc w:val="center"/>
        <w:outlineLvl w:val="0"/>
        <w:rPr>
          <w:rFonts w:hint="default" w:ascii="Times New Roman" w:hAnsi="Times New Roman" w:eastAsia="华文仿宋" w:cs="Times New Roman"/>
          <w:color w:val="auto"/>
          <w:kern w:val="44"/>
          <w:sz w:val="44"/>
          <w:szCs w:val="44"/>
          <w:highlight w:val="none"/>
        </w:rPr>
      </w:pPr>
    </w:p>
    <w:p w14:paraId="325EA3B1">
      <w:pPr>
        <w:jc w:val="center"/>
        <w:rPr>
          <w:rFonts w:hint="default" w:ascii="Times New Roman" w:hAnsi="Times New Roman" w:eastAsia="仿宋" w:cs="Times New Roman"/>
          <w:color w:val="auto"/>
          <w:sz w:val="52"/>
          <w:szCs w:val="52"/>
          <w:highlight w:val="none"/>
        </w:rPr>
      </w:pPr>
    </w:p>
    <w:p w14:paraId="2BB60C41">
      <w:pPr>
        <w:ind w:firstLine="1040"/>
        <w:jc w:val="center"/>
        <w:rPr>
          <w:rFonts w:hint="default" w:ascii="Times New Roman" w:hAnsi="Times New Roman" w:eastAsia="仿宋" w:cs="Times New Roman"/>
          <w:color w:val="auto"/>
          <w:sz w:val="44"/>
          <w:szCs w:val="44"/>
          <w:highlight w:val="none"/>
        </w:rPr>
      </w:pPr>
    </w:p>
    <w:p w14:paraId="672A8FFC">
      <w:pPr>
        <w:ind w:firstLine="1040"/>
        <w:jc w:val="center"/>
        <w:rPr>
          <w:rFonts w:hint="default" w:ascii="Times New Roman" w:hAnsi="Times New Roman" w:eastAsia="仿宋" w:cs="Times New Roman"/>
          <w:color w:val="auto"/>
          <w:sz w:val="44"/>
          <w:szCs w:val="44"/>
          <w:highlight w:val="none"/>
        </w:rPr>
      </w:pPr>
    </w:p>
    <w:p w14:paraId="7BAD5C5B">
      <w:pPr>
        <w:ind w:firstLine="1040"/>
        <w:jc w:val="center"/>
        <w:rPr>
          <w:rFonts w:hint="default" w:ascii="Times New Roman" w:hAnsi="Times New Roman" w:eastAsia="仿宋" w:cs="Times New Roman"/>
          <w:color w:val="auto"/>
          <w:sz w:val="44"/>
          <w:szCs w:val="44"/>
          <w:highlight w:val="none"/>
        </w:rPr>
      </w:pPr>
    </w:p>
    <w:p w14:paraId="79F3152B">
      <w:pPr>
        <w:adjustRightInd w:val="0"/>
        <w:snapToGrid w:val="0"/>
        <w:spacing w:line="288" w:lineRule="auto"/>
        <w:ind w:left="0" w:leftChars="0" w:firstLine="0" w:firstLineChars="0"/>
        <w:jc w:val="center"/>
        <w:rPr>
          <w:rFonts w:hint="eastAsia" w:eastAsia="仿宋_GB2312" w:cs="Times New Roman"/>
          <w:b/>
          <w:bCs/>
          <w:color w:val="auto"/>
          <w:sz w:val="32"/>
          <w:szCs w:val="32"/>
          <w:highlight w:val="none"/>
          <w:u w:val="single"/>
          <w:lang w:val="en-US" w:eastAsia="zh-CN"/>
        </w:rPr>
      </w:pPr>
      <w:r>
        <w:rPr>
          <w:rFonts w:hint="default" w:ascii="Times New Roman" w:hAnsi="Times New Roman" w:eastAsia="仿宋_GB2312" w:cs="Times New Roman"/>
          <w:b/>
          <w:bCs/>
          <w:color w:val="auto"/>
          <w:sz w:val="32"/>
          <w:szCs w:val="32"/>
          <w:highlight w:val="none"/>
        </w:rPr>
        <w:t>项目名称：</w:t>
      </w:r>
      <w:r>
        <w:rPr>
          <w:rFonts w:hint="eastAsia" w:eastAsia="仿宋_GB2312" w:cs="Times New Roman"/>
          <w:b/>
          <w:bCs/>
          <w:color w:val="auto"/>
          <w:sz w:val="32"/>
          <w:szCs w:val="32"/>
          <w:highlight w:val="none"/>
          <w:u w:val="single"/>
          <w:lang w:val="en-US" w:eastAsia="zh-CN"/>
        </w:rPr>
        <w:t>鄂尔多斯市北创智能装备有限公司</w:t>
      </w:r>
    </w:p>
    <w:p w14:paraId="61CF6B13">
      <w:pPr>
        <w:adjustRightInd w:val="0"/>
        <w:snapToGrid w:val="0"/>
        <w:spacing w:line="288" w:lineRule="auto"/>
        <w:ind w:left="0" w:leftChars="0" w:firstLine="0" w:firstLineChars="0"/>
        <w:jc w:val="center"/>
        <w:rPr>
          <w:rFonts w:hint="default" w:ascii="Times New Roman" w:hAnsi="Times New Roman" w:eastAsia="仿宋_GB2312" w:cs="Times New Roman"/>
          <w:b/>
          <w:bCs/>
          <w:color w:val="auto"/>
          <w:sz w:val="32"/>
          <w:szCs w:val="32"/>
          <w:highlight w:val="none"/>
          <w:u w:val="single"/>
          <w:lang w:val="en-US" w:eastAsia="zh-CN"/>
        </w:rPr>
      </w:pPr>
      <w:r>
        <w:rPr>
          <w:rFonts w:hint="eastAsia" w:eastAsia="仿宋_GB2312" w:cs="Times New Roman"/>
          <w:b/>
          <w:bCs/>
          <w:color w:val="auto"/>
          <w:sz w:val="32"/>
          <w:szCs w:val="32"/>
          <w:highlight w:val="none"/>
          <w:u w:val="single"/>
          <w:lang w:val="en-US" w:eastAsia="zh-CN"/>
        </w:rPr>
        <w:t>有限公司喷漆房建设项目</w:t>
      </w:r>
    </w:p>
    <w:p w14:paraId="59AD9005">
      <w:pPr>
        <w:adjustRightInd w:val="0"/>
        <w:snapToGrid w:val="0"/>
        <w:spacing w:line="288" w:lineRule="auto"/>
        <w:ind w:left="0" w:leftChars="0" w:firstLine="0" w:firstLineChars="0"/>
        <w:jc w:val="center"/>
        <w:rPr>
          <w:rFonts w:hint="eastAsia" w:ascii="Times New Roman" w:hAnsi="Times New Roman" w:eastAsia="仿宋_GB2312" w:cs="Times New Roman"/>
          <w:b/>
          <w:bCs/>
          <w:color w:val="auto"/>
          <w:sz w:val="28"/>
          <w:szCs w:val="28"/>
          <w:highlight w:val="none"/>
          <w:u w:val="single"/>
          <w:lang w:eastAsia="zh-CN"/>
        </w:rPr>
      </w:pPr>
      <w:r>
        <w:rPr>
          <w:rFonts w:hint="default" w:ascii="Times New Roman" w:hAnsi="Times New Roman" w:eastAsia="仿宋_GB2312" w:cs="Times New Roman"/>
          <w:b/>
          <w:bCs/>
          <w:color w:val="auto"/>
          <w:sz w:val="28"/>
          <w:szCs w:val="28"/>
          <w:highlight w:val="none"/>
        </w:rPr>
        <w:t>建设单位（盖章）：</w:t>
      </w:r>
      <w:r>
        <w:rPr>
          <w:rFonts w:hint="eastAsia" w:eastAsia="仿宋_GB2312" w:cs="Times New Roman"/>
          <w:b/>
          <w:bCs/>
          <w:color w:val="auto"/>
          <w:sz w:val="28"/>
          <w:szCs w:val="28"/>
          <w:highlight w:val="none"/>
          <w:u w:val="single"/>
          <w:lang w:val="en-US" w:eastAsia="zh-CN"/>
        </w:rPr>
        <w:t>鄂尔多斯市北创智能装备有限公司</w:t>
      </w:r>
    </w:p>
    <w:p w14:paraId="3D491700">
      <w:pPr>
        <w:adjustRightInd w:val="0"/>
        <w:snapToGrid w:val="0"/>
        <w:spacing w:line="288" w:lineRule="auto"/>
        <w:ind w:left="0" w:leftChars="0" w:firstLine="0" w:firstLineChars="0"/>
        <w:jc w:val="center"/>
        <w:rPr>
          <w:rFonts w:hint="eastAsia" w:ascii="Times New Roman" w:hAnsi="Times New Roman" w:eastAsia="仿宋_GB2312" w:cs="Times New Roman"/>
          <w:b/>
          <w:bCs/>
          <w:color w:val="auto"/>
          <w:sz w:val="32"/>
          <w:szCs w:val="32"/>
          <w:highlight w:val="none"/>
          <w:u w:val="single"/>
          <w:lang w:val="en-US" w:eastAsia="zh-CN"/>
        </w:rPr>
      </w:pPr>
      <w:r>
        <w:rPr>
          <w:rFonts w:hint="default" w:ascii="Times New Roman" w:hAnsi="Times New Roman" w:eastAsia="仿宋_GB2312" w:cs="Times New Roman"/>
          <w:b/>
          <w:bCs/>
          <w:color w:val="auto"/>
          <w:sz w:val="32"/>
          <w:szCs w:val="32"/>
          <w:highlight w:val="none"/>
          <w:u w:val="none"/>
          <w:lang w:val="en-US" w:eastAsia="zh-CN"/>
        </w:rPr>
        <w:t>编制日期：</w:t>
      </w:r>
      <w:r>
        <w:rPr>
          <w:rFonts w:hint="default" w:ascii="Times New Roman" w:hAnsi="Times New Roman" w:eastAsia="仿宋_GB2312" w:cs="Times New Roman"/>
          <w:b/>
          <w:bCs/>
          <w:color w:val="auto"/>
          <w:sz w:val="32"/>
          <w:szCs w:val="32"/>
          <w:highlight w:val="none"/>
          <w:u w:val="single"/>
          <w:lang w:val="en-US" w:eastAsia="zh-CN"/>
        </w:rPr>
        <w:t>202</w:t>
      </w:r>
      <w:r>
        <w:rPr>
          <w:rFonts w:hint="eastAsia" w:ascii="Times New Roman" w:hAnsi="Times New Roman" w:eastAsia="仿宋_GB2312" w:cs="Times New Roman"/>
          <w:b/>
          <w:bCs/>
          <w:color w:val="auto"/>
          <w:sz w:val="32"/>
          <w:szCs w:val="32"/>
          <w:highlight w:val="none"/>
          <w:u w:val="single"/>
          <w:lang w:val="en-US" w:eastAsia="zh-CN"/>
        </w:rPr>
        <w:t>5</w:t>
      </w:r>
      <w:r>
        <w:rPr>
          <w:rFonts w:hint="default" w:ascii="Times New Roman" w:hAnsi="Times New Roman" w:eastAsia="仿宋_GB2312" w:cs="Times New Roman"/>
          <w:b/>
          <w:bCs/>
          <w:color w:val="auto"/>
          <w:sz w:val="32"/>
          <w:szCs w:val="32"/>
          <w:highlight w:val="none"/>
          <w:u w:val="single"/>
          <w:lang w:val="en-US" w:eastAsia="zh-CN"/>
        </w:rPr>
        <w:t>年</w:t>
      </w:r>
      <w:r>
        <w:rPr>
          <w:rFonts w:hint="eastAsia" w:eastAsia="仿宋_GB2312" w:cs="Times New Roman"/>
          <w:b/>
          <w:bCs/>
          <w:color w:val="auto"/>
          <w:sz w:val="32"/>
          <w:szCs w:val="32"/>
          <w:highlight w:val="none"/>
          <w:u w:val="single"/>
          <w:lang w:val="en-US" w:eastAsia="zh-CN"/>
        </w:rPr>
        <w:t>8</w:t>
      </w:r>
      <w:r>
        <w:rPr>
          <w:rFonts w:hint="default" w:ascii="Times New Roman" w:hAnsi="Times New Roman" w:eastAsia="仿宋_GB2312" w:cs="Times New Roman"/>
          <w:b/>
          <w:bCs/>
          <w:color w:val="auto"/>
          <w:sz w:val="32"/>
          <w:szCs w:val="32"/>
          <w:highlight w:val="none"/>
          <w:u w:val="single"/>
          <w:lang w:val="en-US" w:eastAsia="zh-CN"/>
        </w:rPr>
        <w:t>月</w:t>
      </w:r>
    </w:p>
    <w:p w14:paraId="7F3066DF">
      <w:pPr>
        <w:adjustRightInd w:val="0"/>
        <w:snapToGrid w:val="0"/>
        <w:spacing w:line="288" w:lineRule="auto"/>
        <w:ind w:firstLine="1040"/>
        <w:jc w:val="center"/>
        <w:rPr>
          <w:rFonts w:hint="default" w:ascii="Times New Roman" w:hAnsi="Times New Roman" w:eastAsia="仿宋_GB2312" w:cs="Times New Roman"/>
          <w:color w:val="auto"/>
          <w:sz w:val="36"/>
          <w:szCs w:val="36"/>
          <w:highlight w:val="none"/>
          <w:u w:val="single"/>
        </w:rPr>
      </w:pPr>
      <w:bookmarkStart w:id="0" w:name="_Hlk57884087"/>
    </w:p>
    <w:p w14:paraId="44B9EDD6">
      <w:pPr>
        <w:pStyle w:val="25"/>
        <w:jc w:val="center"/>
        <w:rPr>
          <w:rFonts w:hint="default" w:ascii="Times New Roman" w:hAnsi="Times New Roman" w:eastAsia="仿宋_GB2312" w:cs="Times New Roman"/>
          <w:color w:val="auto"/>
          <w:sz w:val="36"/>
          <w:szCs w:val="36"/>
          <w:highlight w:val="none"/>
          <w:u w:val="single"/>
        </w:rPr>
      </w:pPr>
    </w:p>
    <w:p w14:paraId="6C8B65E5">
      <w:pPr>
        <w:jc w:val="center"/>
        <w:rPr>
          <w:rFonts w:hint="default"/>
          <w:color w:val="auto"/>
          <w:highlight w:val="none"/>
        </w:rPr>
      </w:pPr>
    </w:p>
    <w:bookmarkEnd w:id="0"/>
    <w:p w14:paraId="1326D923">
      <w:pPr>
        <w:adjustRightInd w:val="0"/>
        <w:snapToGrid w:val="0"/>
        <w:spacing w:line="288" w:lineRule="auto"/>
        <w:ind w:left="0" w:leftChars="0" w:firstLine="0" w:firstLineChars="0"/>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7B212001">
      <w:pPr>
        <w:adjustRightInd w:val="0"/>
        <w:snapToGrid w:val="0"/>
        <w:spacing w:line="288" w:lineRule="auto"/>
        <w:ind w:firstLine="1040"/>
        <w:rPr>
          <w:rFonts w:hint="default" w:ascii="Times New Roman" w:hAnsi="Times New Roman" w:eastAsia="仿宋_GB2312" w:cs="Times New Roman"/>
          <w:color w:val="auto"/>
          <w:sz w:val="36"/>
          <w:szCs w:val="36"/>
          <w:highlight w:val="none"/>
        </w:rPr>
        <w:sectPr>
          <w:headerReference r:id="rId5" w:type="default"/>
          <w:footerReference r:id="rId6" w:type="default"/>
          <w:footerReference r:id="rId7" w:type="even"/>
          <w:pgSz w:w="11906" w:h="16838"/>
          <w:pgMar w:top="1701" w:right="1531" w:bottom="1701" w:left="1531" w:header="851" w:footer="1077" w:gutter="0"/>
          <w:pgBorders>
            <w:top w:val="none" w:sz="0" w:space="0"/>
            <w:left w:val="none" w:sz="0" w:space="0"/>
            <w:bottom w:val="none" w:sz="0" w:space="0"/>
            <w:right w:val="none" w:sz="0" w:space="0"/>
          </w:pgBorders>
          <w:pgNumType w:fmt="numberInDash" w:start="3"/>
          <w:cols w:space="720" w:num="1"/>
          <w:docGrid w:linePitch="312" w:charSpace="0"/>
        </w:sectPr>
      </w:pPr>
    </w:p>
    <w:p w14:paraId="6E43BC04">
      <w:pPr>
        <w:pStyle w:val="21"/>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123"/>
        <w:gridCol w:w="1896"/>
        <w:gridCol w:w="2212"/>
        <w:gridCol w:w="2580"/>
      </w:tblGrid>
      <w:tr w14:paraId="123F1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noWrap w:val="0"/>
            <w:tcMar>
              <w:top w:w="16" w:type="dxa"/>
              <w:left w:w="16" w:type="dxa"/>
              <w:right w:w="16" w:type="dxa"/>
            </w:tcMar>
            <w:vAlign w:val="center"/>
          </w:tcPr>
          <w:p w14:paraId="0F99E79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建设项目名称</w:t>
            </w:r>
          </w:p>
        </w:tc>
        <w:tc>
          <w:tcPr>
            <w:tcW w:w="6688" w:type="dxa"/>
            <w:gridSpan w:val="3"/>
            <w:noWrap w:val="0"/>
            <w:vAlign w:val="center"/>
          </w:tcPr>
          <w:p w14:paraId="67C1DC1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鄂尔多斯市北创智能装备有限公司喷漆房建设项目</w:t>
            </w:r>
          </w:p>
        </w:tc>
      </w:tr>
      <w:tr w14:paraId="673C1A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noWrap w:val="0"/>
            <w:tcMar>
              <w:top w:w="16" w:type="dxa"/>
              <w:left w:w="16" w:type="dxa"/>
              <w:right w:w="16" w:type="dxa"/>
            </w:tcMar>
            <w:vAlign w:val="center"/>
          </w:tcPr>
          <w:p w14:paraId="1667D3D4">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项目代码</w:t>
            </w:r>
          </w:p>
        </w:tc>
        <w:tc>
          <w:tcPr>
            <w:tcW w:w="6688" w:type="dxa"/>
            <w:gridSpan w:val="3"/>
            <w:noWrap w:val="0"/>
            <w:vAlign w:val="center"/>
          </w:tcPr>
          <w:p w14:paraId="4CA25B6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r>
      <w:tr w14:paraId="7D5A4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noWrap w:val="0"/>
            <w:tcMar>
              <w:top w:w="16" w:type="dxa"/>
              <w:left w:w="16" w:type="dxa"/>
              <w:right w:w="16" w:type="dxa"/>
            </w:tcMar>
            <w:vAlign w:val="center"/>
          </w:tcPr>
          <w:p w14:paraId="02E20C8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建设单位联系人</w:t>
            </w:r>
          </w:p>
        </w:tc>
        <w:tc>
          <w:tcPr>
            <w:tcW w:w="1896" w:type="dxa"/>
            <w:noWrap w:val="0"/>
            <w:vAlign w:val="center"/>
          </w:tcPr>
          <w:p w14:paraId="71F4186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刘飞</w:t>
            </w:r>
          </w:p>
        </w:tc>
        <w:tc>
          <w:tcPr>
            <w:tcW w:w="2212" w:type="dxa"/>
            <w:noWrap w:val="0"/>
            <w:vAlign w:val="center"/>
          </w:tcPr>
          <w:p w14:paraId="375283D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联系方式</w:t>
            </w:r>
          </w:p>
        </w:tc>
        <w:tc>
          <w:tcPr>
            <w:tcW w:w="2580" w:type="dxa"/>
            <w:noWrap w:val="0"/>
            <w:vAlign w:val="center"/>
          </w:tcPr>
          <w:p w14:paraId="33EBF92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bookmarkStart w:id="6" w:name="_GoBack"/>
            <w:bookmarkEnd w:id="6"/>
          </w:p>
        </w:tc>
      </w:tr>
      <w:tr w14:paraId="60E895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7" w:hRule="atLeast"/>
          <w:jc w:val="center"/>
        </w:trPr>
        <w:tc>
          <w:tcPr>
            <w:tcW w:w="2123" w:type="dxa"/>
            <w:noWrap w:val="0"/>
            <w:tcMar>
              <w:top w:w="16" w:type="dxa"/>
              <w:left w:w="16" w:type="dxa"/>
              <w:right w:w="16" w:type="dxa"/>
            </w:tcMar>
            <w:vAlign w:val="center"/>
          </w:tcPr>
          <w:p w14:paraId="7F36F6F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建设地点</w:t>
            </w:r>
          </w:p>
        </w:tc>
        <w:tc>
          <w:tcPr>
            <w:tcW w:w="6688" w:type="dxa"/>
            <w:gridSpan w:val="3"/>
            <w:noWrap w:val="0"/>
            <w:vAlign w:val="center"/>
          </w:tcPr>
          <w:p w14:paraId="6851BD80">
            <w:pPr>
              <w:keepNext w:val="0"/>
              <w:keepLines w:val="0"/>
              <w:pageBreakBefore w:val="0"/>
              <w:widowControl w:val="0"/>
              <w:kinsoku/>
              <w:wordWrap/>
              <w:overflowPunct/>
              <w:topLinePunct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内蒙古自治区鄂尔多斯市伊金霍洛旗蒙苏经济开发区零碳产业园东片区</w:t>
            </w:r>
          </w:p>
        </w:tc>
      </w:tr>
      <w:tr w14:paraId="7A4E48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noWrap w:val="0"/>
            <w:tcMar>
              <w:top w:w="16" w:type="dxa"/>
              <w:left w:w="16" w:type="dxa"/>
              <w:right w:w="16" w:type="dxa"/>
            </w:tcMar>
            <w:vAlign w:val="center"/>
          </w:tcPr>
          <w:p w14:paraId="14799DC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地理坐标</w:t>
            </w:r>
          </w:p>
        </w:tc>
        <w:tc>
          <w:tcPr>
            <w:tcW w:w="6688" w:type="dxa"/>
            <w:gridSpan w:val="3"/>
            <w:noWrap w:val="0"/>
            <w:vAlign w:val="center"/>
          </w:tcPr>
          <w:p w14:paraId="2ACBBE8B">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109</w:t>
            </w:r>
            <w:r>
              <w:rPr>
                <w:rFonts w:hint="default" w:ascii="Times New Roman" w:hAnsi="Times New Roman" w:cs="Times New Roman"/>
                <w:color w:val="auto"/>
                <w:szCs w:val="21"/>
                <w:highlight w:val="none"/>
              </w:rPr>
              <w:t>度</w:t>
            </w:r>
            <w:r>
              <w:rPr>
                <w:rFonts w:hint="eastAsia" w:cs="Times New Roman"/>
                <w:color w:val="auto"/>
                <w:szCs w:val="21"/>
                <w:highlight w:val="none"/>
                <w:lang w:val="en-US" w:eastAsia="zh-CN"/>
              </w:rPr>
              <w:t>48</w:t>
            </w:r>
            <w:r>
              <w:rPr>
                <w:rFonts w:hint="default" w:ascii="Times New Roman" w:hAnsi="Times New Roman" w:cs="Times New Roman"/>
                <w:color w:val="auto"/>
                <w:szCs w:val="21"/>
                <w:highlight w:val="none"/>
              </w:rPr>
              <w:t>分</w:t>
            </w:r>
            <w:r>
              <w:rPr>
                <w:rFonts w:hint="eastAsia" w:cs="Times New Roman"/>
                <w:color w:val="auto"/>
                <w:szCs w:val="21"/>
                <w:highlight w:val="none"/>
                <w:lang w:val="en-US" w:eastAsia="zh-CN"/>
              </w:rPr>
              <w:t>44.486</w:t>
            </w:r>
            <w:r>
              <w:rPr>
                <w:rFonts w:hint="default" w:ascii="Times New Roman" w:hAnsi="Times New Roman" w:cs="Times New Roman"/>
                <w:color w:val="auto"/>
                <w:szCs w:val="21"/>
                <w:highlight w:val="none"/>
              </w:rPr>
              <w:t>秒，</w:t>
            </w:r>
            <w:r>
              <w:rPr>
                <w:rFonts w:hint="eastAsia" w:cs="Times New Roman"/>
                <w:color w:val="auto"/>
                <w:szCs w:val="21"/>
                <w:highlight w:val="none"/>
                <w:lang w:val="en-US" w:eastAsia="zh-CN"/>
              </w:rPr>
              <w:t>39</w:t>
            </w:r>
            <w:r>
              <w:rPr>
                <w:rFonts w:hint="default" w:ascii="Times New Roman" w:hAnsi="Times New Roman" w:cs="Times New Roman"/>
                <w:color w:val="auto"/>
                <w:szCs w:val="21"/>
                <w:highlight w:val="none"/>
              </w:rPr>
              <w:t>度</w:t>
            </w:r>
            <w:r>
              <w:rPr>
                <w:rFonts w:hint="eastAsia" w:cs="Times New Roman"/>
                <w:color w:val="auto"/>
                <w:szCs w:val="21"/>
                <w:highlight w:val="none"/>
                <w:lang w:val="en-US" w:eastAsia="zh-CN"/>
              </w:rPr>
              <w:t>32</w:t>
            </w:r>
            <w:r>
              <w:rPr>
                <w:rFonts w:hint="default" w:ascii="Times New Roman" w:hAnsi="Times New Roman" w:cs="Times New Roman"/>
                <w:color w:val="auto"/>
                <w:szCs w:val="21"/>
                <w:highlight w:val="none"/>
              </w:rPr>
              <w:t>分1.</w:t>
            </w:r>
            <w:r>
              <w:rPr>
                <w:rFonts w:hint="eastAsia" w:cs="Times New Roman"/>
                <w:color w:val="auto"/>
                <w:szCs w:val="21"/>
                <w:highlight w:val="none"/>
                <w:lang w:val="en-US" w:eastAsia="zh-CN"/>
              </w:rPr>
              <w:t>948</w:t>
            </w:r>
            <w:r>
              <w:rPr>
                <w:rFonts w:hint="default" w:ascii="Times New Roman" w:hAnsi="Times New Roman" w:cs="Times New Roman"/>
                <w:color w:val="auto"/>
                <w:szCs w:val="21"/>
                <w:highlight w:val="none"/>
              </w:rPr>
              <w:t>秒）</w:t>
            </w:r>
          </w:p>
        </w:tc>
      </w:tr>
      <w:tr w14:paraId="3533A3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noWrap w:val="0"/>
            <w:tcMar>
              <w:top w:w="16" w:type="dxa"/>
              <w:left w:w="16" w:type="dxa"/>
              <w:right w:w="16" w:type="dxa"/>
            </w:tcMar>
            <w:vAlign w:val="center"/>
          </w:tcPr>
          <w:p w14:paraId="3CD393EC">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国民经济</w:t>
            </w:r>
          </w:p>
          <w:p w14:paraId="42E8590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行业类别</w:t>
            </w:r>
          </w:p>
        </w:tc>
        <w:tc>
          <w:tcPr>
            <w:tcW w:w="1896" w:type="dxa"/>
            <w:noWrap w:val="0"/>
            <w:vAlign w:val="center"/>
          </w:tcPr>
          <w:p w14:paraId="33E14E7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C3360金属表面处理及热处理加工</w:t>
            </w:r>
          </w:p>
        </w:tc>
        <w:tc>
          <w:tcPr>
            <w:tcW w:w="2212" w:type="dxa"/>
            <w:noWrap w:val="0"/>
            <w:vAlign w:val="center"/>
          </w:tcPr>
          <w:p w14:paraId="7CD62AE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bookmarkStart w:id="1" w:name="_Hlk49843745"/>
            <w:r>
              <w:rPr>
                <w:rFonts w:hint="default" w:ascii="Times New Roman" w:hAnsi="Times New Roman" w:cs="Times New Roman"/>
                <w:color w:val="auto"/>
                <w:szCs w:val="21"/>
                <w:highlight w:val="none"/>
              </w:rPr>
              <w:t>建设项目</w:t>
            </w:r>
          </w:p>
          <w:p w14:paraId="1FEAA35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行业类别</w:t>
            </w:r>
            <w:bookmarkEnd w:id="1"/>
          </w:p>
        </w:tc>
        <w:tc>
          <w:tcPr>
            <w:tcW w:w="2580" w:type="dxa"/>
            <w:noWrap w:val="0"/>
            <w:vAlign w:val="center"/>
          </w:tcPr>
          <w:p w14:paraId="450B1E3E">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三十、金属制品业；67金属表面处理及热处理加工；其他（年用</w:t>
            </w:r>
            <w:r>
              <w:rPr>
                <w:rFonts w:hint="eastAsia" w:ascii="Times New Roman" w:hAnsi="Times New Roman" w:cs="Times New Roman"/>
                <w:color w:val="auto"/>
                <w:szCs w:val="21"/>
                <w:highlight w:val="none"/>
                <w:lang w:val="en-US" w:eastAsia="zh-CN"/>
              </w:rPr>
              <w:t>非</w:t>
            </w:r>
            <w:r>
              <w:rPr>
                <w:rFonts w:hint="default" w:ascii="Times New Roman" w:hAnsi="Times New Roman" w:cs="Times New Roman"/>
                <w:color w:val="auto"/>
                <w:szCs w:val="21"/>
                <w:highlight w:val="none"/>
              </w:rPr>
              <w:t>溶剂型含稀释剂涂料10吨以下的</w:t>
            </w:r>
            <w:r>
              <w:rPr>
                <w:rFonts w:hint="eastAsia" w:ascii="Times New Roman" w:hAnsi="Times New Roman" w:cs="Times New Roman"/>
                <w:color w:val="auto"/>
                <w:szCs w:val="21"/>
                <w:highlight w:val="none"/>
                <w:lang w:val="en-US" w:eastAsia="zh-CN"/>
              </w:rPr>
              <w:t>除外</w:t>
            </w:r>
            <w:r>
              <w:rPr>
                <w:rFonts w:hint="default" w:ascii="Times New Roman" w:hAnsi="Times New Roman" w:cs="Times New Roman"/>
                <w:color w:val="auto"/>
                <w:szCs w:val="21"/>
                <w:highlight w:val="none"/>
              </w:rPr>
              <w:t>）</w:t>
            </w:r>
          </w:p>
        </w:tc>
      </w:tr>
      <w:tr w14:paraId="47795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noWrap w:val="0"/>
            <w:tcMar>
              <w:top w:w="16" w:type="dxa"/>
              <w:left w:w="16" w:type="dxa"/>
              <w:right w:w="16" w:type="dxa"/>
            </w:tcMar>
            <w:vAlign w:val="center"/>
          </w:tcPr>
          <w:p w14:paraId="528EB7A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建设性质</w:t>
            </w:r>
          </w:p>
        </w:tc>
        <w:tc>
          <w:tcPr>
            <w:tcW w:w="1896" w:type="dxa"/>
            <w:noWrap w:val="0"/>
            <w:vAlign w:val="center"/>
          </w:tcPr>
          <w:p w14:paraId="4A34C2AB">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color w:val="auto"/>
                <w:szCs w:val="21"/>
                <w:highlight w:val="none"/>
              </w:rPr>
            </w:pP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新建（迁建）</w:t>
            </w:r>
          </w:p>
          <w:p w14:paraId="2FE2E3FF">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改建</w:t>
            </w:r>
          </w:p>
          <w:p w14:paraId="2CCC8779">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扩建</w:t>
            </w:r>
          </w:p>
          <w:p w14:paraId="73314D8E">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技术改造</w:t>
            </w:r>
          </w:p>
        </w:tc>
        <w:tc>
          <w:tcPr>
            <w:tcW w:w="2212" w:type="dxa"/>
            <w:noWrap w:val="0"/>
            <w:vAlign w:val="center"/>
          </w:tcPr>
          <w:p w14:paraId="511B9FF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建设项目</w:t>
            </w:r>
          </w:p>
          <w:p w14:paraId="5AD819C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申报情形</w:t>
            </w:r>
          </w:p>
        </w:tc>
        <w:tc>
          <w:tcPr>
            <w:tcW w:w="2580" w:type="dxa"/>
            <w:noWrap w:val="0"/>
            <w:vAlign w:val="center"/>
          </w:tcPr>
          <w:p w14:paraId="21FA8547">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首次申报项目</w:t>
            </w:r>
          </w:p>
          <w:p w14:paraId="109603CB">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不予批准后再次申报项目</w:t>
            </w:r>
          </w:p>
          <w:p w14:paraId="44571C59">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超五年重新审核项目</w:t>
            </w:r>
          </w:p>
          <w:p w14:paraId="1BE55DF8">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重大变动重新报批项目</w:t>
            </w:r>
          </w:p>
        </w:tc>
      </w:tr>
      <w:tr w14:paraId="6B2DC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123" w:type="dxa"/>
            <w:noWrap w:val="0"/>
            <w:tcMar>
              <w:top w:w="16" w:type="dxa"/>
              <w:left w:w="16" w:type="dxa"/>
              <w:right w:w="16" w:type="dxa"/>
            </w:tcMar>
            <w:vAlign w:val="center"/>
          </w:tcPr>
          <w:p w14:paraId="38FA8FD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项目审批（核准/</w:t>
            </w:r>
          </w:p>
          <w:p w14:paraId="6CDDDA3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备案）部门（选填）</w:t>
            </w:r>
          </w:p>
        </w:tc>
        <w:tc>
          <w:tcPr>
            <w:tcW w:w="1896" w:type="dxa"/>
            <w:noWrap w:val="0"/>
            <w:vAlign w:val="center"/>
          </w:tcPr>
          <w:p w14:paraId="5827F044">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c>
          <w:tcPr>
            <w:tcW w:w="2212" w:type="dxa"/>
            <w:noWrap w:val="0"/>
            <w:vAlign w:val="center"/>
          </w:tcPr>
          <w:p w14:paraId="2E9B6F7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项目审批（核准/</w:t>
            </w:r>
          </w:p>
          <w:p w14:paraId="07F957E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备案）文号（选填）</w:t>
            </w:r>
          </w:p>
        </w:tc>
        <w:tc>
          <w:tcPr>
            <w:tcW w:w="2580" w:type="dxa"/>
            <w:noWrap w:val="0"/>
            <w:vAlign w:val="center"/>
          </w:tcPr>
          <w:p w14:paraId="56572A1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w:t>
            </w:r>
          </w:p>
        </w:tc>
      </w:tr>
      <w:tr w14:paraId="4AC832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2123" w:type="dxa"/>
            <w:noWrap w:val="0"/>
            <w:tcMar>
              <w:top w:w="16" w:type="dxa"/>
              <w:left w:w="16" w:type="dxa"/>
              <w:right w:w="16" w:type="dxa"/>
            </w:tcMar>
            <w:vAlign w:val="center"/>
          </w:tcPr>
          <w:p w14:paraId="7CC8BD5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总投资（万元）</w:t>
            </w:r>
          </w:p>
        </w:tc>
        <w:tc>
          <w:tcPr>
            <w:tcW w:w="1896" w:type="dxa"/>
            <w:noWrap w:val="0"/>
            <w:vAlign w:val="center"/>
          </w:tcPr>
          <w:p w14:paraId="4D1CE4B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1000</w:t>
            </w:r>
          </w:p>
        </w:tc>
        <w:tc>
          <w:tcPr>
            <w:tcW w:w="2212" w:type="dxa"/>
            <w:noWrap w:val="0"/>
            <w:tcMar>
              <w:top w:w="16" w:type="dxa"/>
              <w:left w:w="16" w:type="dxa"/>
              <w:right w:w="16" w:type="dxa"/>
            </w:tcMar>
            <w:vAlign w:val="center"/>
          </w:tcPr>
          <w:p w14:paraId="4EC8F8A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rPr>
              <w:t>环保投资（万元）</w:t>
            </w:r>
          </w:p>
        </w:tc>
        <w:tc>
          <w:tcPr>
            <w:tcW w:w="2580" w:type="dxa"/>
            <w:noWrap w:val="0"/>
            <w:vAlign w:val="center"/>
          </w:tcPr>
          <w:p w14:paraId="4018964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62</w:t>
            </w:r>
          </w:p>
        </w:tc>
      </w:tr>
      <w:tr w14:paraId="679769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noWrap w:val="0"/>
            <w:tcMar>
              <w:top w:w="16" w:type="dxa"/>
              <w:left w:w="16" w:type="dxa"/>
              <w:right w:w="16" w:type="dxa"/>
            </w:tcMar>
            <w:vAlign w:val="center"/>
          </w:tcPr>
          <w:p w14:paraId="313393A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rPr>
              <w:t>环保投资占比（%）</w:t>
            </w:r>
          </w:p>
        </w:tc>
        <w:tc>
          <w:tcPr>
            <w:tcW w:w="1896" w:type="dxa"/>
            <w:noWrap w:val="0"/>
            <w:vAlign w:val="center"/>
          </w:tcPr>
          <w:p w14:paraId="31ADB3B3">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6.2</w:t>
            </w:r>
          </w:p>
        </w:tc>
        <w:tc>
          <w:tcPr>
            <w:tcW w:w="2212" w:type="dxa"/>
            <w:noWrap w:val="0"/>
            <w:tcMar>
              <w:top w:w="16" w:type="dxa"/>
              <w:left w:w="16" w:type="dxa"/>
              <w:right w:w="16" w:type="dxa"/>
            </w:tcMar>
            <w:vAlign w:val="center"/>
          </w:tcPr>
          <w:p w14:paraId="7AB938C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施工工期</w:t>
            </w:r>
          </w:p>
        </w:tc>
        <w:tc>
          <w:tcPr>
            <w:tcW w:w="2580" w:type="dxa"/>
            <w:noWrap w:val="0"/>
            <w:vAlign w:val="center"/>
          </w:tcPr>
          <w:p w14:paraId="6B26B34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r>
              <w:rPr>
                <w:rFonts w:hint="eastAsia" w:ascii="Times New Roman" w:hAnsi="Times New Roman" w:cs="Times New Roman"/>
                <w:color w:val="auto"/>
                <w:szCs w:val="21"/>
                <w:highlight w:val="none"/>
                <w:lang w:val="en-US" w:eastAsia="zh-CN"/>
              </w:rPr>
              <w:t>个月</w:t>
            </w:r>
          </w:p>
        </w:tc>
      </w:tr>
      <w:tr w14:paraId="68EAF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noWrap w:val="0"/>
            <w:tcMar>
              <w:top w:w="16" w:type="dxa"/>
              <w:left w:w="16" w:type="dxa"/>
              <w:right w:w="16" w:type="dxa"/>
            </w:tcMar>
            <w:vAlign w:val="center"/>
          </w:tcPr>
          <w:p w14:paraId="611F0601">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是否开工建设</w:t>
            </w:r>
          </w:p>
        </w:tc>
        <w:tc>
          <w:tcPr>
            <w:tcW w:w="1896" w:type="dxa"/>
            <w:noWrap w:val="0"/>
            <w:vAlign w:val="center"/>
          </w:tcPr>
          <w:p w14:paraId="3353F572">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否</w:t>
            </w:r>
          </w:p>
          <w:p w14:paraId="16CDD956">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是：</w:t>
            </w:r>
          </w:p>
        </w:tc>
        <w:tc>
          <w:tcPr>
            <w:tcW w:w="2212" w:type="dxa"/>
            <w:noWrap w:val="0"/>
            <w:tcMar>
              <w:top w:w="16" w:type="dxa"/>
              <w:left w:w="16" w:type="dxa"/>
              <w:right w:w="16" w:type="dxa"/>
            </w:tcMar>
            <w:vAlign w:val="center"/>
          </w:tcPr>
          <w:p w14:paraId="0882F11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pacing w:val="-6"/>
                <w:szCs w:val="21"/>
                <w:highlight w:val="none"/>
              </w:rPr>
              <w:t>用地面积（</w:t>
            </w:r>
            <w:r>
              <w:rPr>
                <w:rFonts w:hint="eastAsia" w:cs="Times New Roman"/>
                <w:color w:val="auto"/>
                <w:spacing w:val="-6"/>
                <w:szCs w:val="21"/>
                <w:highlight w:val="none"/>
                <w:lang w:eastAsia="zh-CN"/>
              </w:rPr>
              <w:t>㎡</w:t>
            </w:r>
            <w:r>
              <w:rPr>
                <w:rFonts w:hint="default" w:ascii="Times New Roman" w:hAnsi="Times New Roman" w:cs="Times New Roman"/>
                <w:color w:val="auto"/>
                <w:spacing w:val="-6"/>
                <w:szCs w:val="21"/>
                <w:highlight w:val="none"/>
              </w:rPr>
              <w:t>）</w:t>
            </w:r>
          </w:p>
        </w:tc>
        <w:tc>
          <w:tcPr>
            <w:tcW w:w="2580" w:type="dxa"/>
            <w:noWrap w:val="0"/>
            <w:vAlign w:val="center"/>
          </w:tcPr>
          <w:p w14:paraId="363E4CD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16200</w:t>
            </w:r>
          </w:p>
        </w:tc>
      </w:tr>
      <w:tr w14:paraId="6F8689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noWrap w:val="0"/>
            <w:vAlign w:val="center"/>
          </w:tcPr>
          <w:p w14:paraId="1986EEE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专项评价设置情况</w:t>
            </w:r>
          </w:p>
        </w:tc>
        <w:tc>
          <w:tcPr>
            <w:tcW w:w="6688" w:type="dxa"/>
            <w:gridSpan w:val="3"/>
            <w:noWrap w:val="0"/>
            <w:vAlign w:val="center"/>
          </w:tcPr>
          <w:p w14:paraId="7825F391">
            <w:pPr>
              <w:bidi w:val="0"/>
              <w:rPr>
                <w:rFonts w:hint="eastAsia"/>
                <w:color w:val="auto"/>
                <w:highlight w:val="none"/>
                <w:lang w:val="en-US" w:eastAsia="zh-CN"/>
              </w:rPr>
            </w:pPr>
            <w:r>
              <w:rPr>
                <w:rFonts w:hint="eastAsia"/>
                <w:color w:val="auto"/>
                <w:highlight w:val="none"/>
                <w:lang w:val="en-US" w:eastAsia="zh-CN"/>
              </w:rPr>
              <w:t>根据建设项目环境影响报告表编制技术指南（污染影响类），本项目不开展专项评价。</w:t>
            </w:r>
          </w:p>
          <w:p w14:paraId="30A8777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0"/>
                <w:szCs w:val="21"/>
                <w:highlight w:val="none"/>
                <w:lang w:val="en-US" w:eastAsia="zh-CN"/>
              </w:rPr>
            </w:pPr>
            <w:r>
              <w:rPr>
                <w:rFonts w:hint="eastAsia" w:ascii="Times New Roman" w:hAnsi="Times New Roman" w:eastAsia="宋体" w:cs="Times New Roman"/>
                <w:b/>
                <w:bCs/>
                <w:color w:val="auto"/>
                <w:kern w:val="0"/>
                <w:szCs w:val="21"/>
                <w:highlight w:val="none"/>
                <w:lang w:val="en-US" w:eastAsia="zh-CN"/>
              </w:rPr>
              <w:t>表1-1项目专项评价设置情况判定表</w:t>
            </w:r>
          </w:p>
          <w:tbl>
            <w:tblPr>
              <w:tblStyle w:val="27"/>
              <w:tblW w:w="6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6"/>
              <w:gridCol w:w="2847"/>
              <w:gridCol w:w="2505"/>
            </w:tblGrid>
            <w:tr w14:paraId="406B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206" w:type="dxa"/>
                  <w:tcBorders>
                    <w:tl2br w:val="nil"/>
                    <w:tr2bl w:val="nil"/>
                  </w:tcBorders>
                  <w:noWrap w:val="0"/>
                  <w:vAlign w:val="center"/>
                </w:tcPr>
                <w:p w14:paraId="149CAAA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专项评价的类别</w:t>
                  </w:r>
                </w:p>
              </w:tc>
              <w:tc>
                <w:tcPr>
                  <w:tcW w:w="2847" w:type="dxa"/>
                  <w:tcBorders>
                    <w:tl2br w:val="nil"/>
                    <w:tr2bl w:val="nil"/>
                  </w:tcBorders>
                  <w:noWrap w:val="0"/>
                  <w:vAlign w:val="center"/>
                </w:tcPr>
                <w:p w14:paraId="10A2E04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设置原则</w:t>
                  </w:r>
                </w:p>
              </w:tc>
              <w:tc>
                <w:tcPr>
                  <w:tcW w:w="2505" w:type="dxa"/>
                  <w:tcBorders>
                    <w:tl2br w:val="nil"/>
                    <w:tr2bl w:val="nil"/>
                  </w:tcBorders>
                  <w:noWrap w:val="0"/>
                  <w:vAlign w:val="center"/>
                </w:tcPr>
                <w:p w14:paraId="01E195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w:t>
                  </w:r>
                </w:p>
              </w:tc>
            </w:tr>
            <w:tr w14:paraId="2AAF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1206" w:type="dxa"/>
                  <w:tcBorders>
                    <w:tl2br w:val="nil"/>
                    <w:tr2bl w:val="nil"/>
                  </w:tcBorders>
                  <w:noWrap w:val="0"/>
                  <w:vAlign w:val="center"/>
                </w:tcPr>
                <w:p w14:paraId="2619028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大气</w:t>
                  </w:r>
                </w:p>
              </w:tc>
              <w:tc>
                <w:tcPr>
                  <w:tcW w:w="2847" w:type="dxa"/>
                  <w:tcBorders>
                    <w:tl2br w:val="nil"/>
                    <w:tr2bl w:val="nil"/>
                  </w:tcBorders>
                  <w:noWrap w:val="0"/>
                  <w:vAlign w:val="center"/>
                </w:tcPr>
                <w:p w14:paraId="63A9AA1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排放废气含有毒有害污染物、二噁英、苯并[a]芘、氰化物、氯气且厂界外500米范围内有环境空气保护目标的建设项目。</w:t>
                  </w:r>
                </w:p>
              </w:tc>
              <w:tc>
                <w:tcPr>
                  <w:tcW w:w="2505" w:type="dxa"/>
                  <w:tcBorders>
                    <w:tl2br w:val="nil"/>
                    <w:tr2bl w:val="nil"/>
                  </w:tcBorders>
                  <w:noWrap w:val="0"/>
                  <w:vAlign w:val="center"/>
                </w:tcPr>
                <w:p w14:paraId="7291D00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本项目废气中不涉及《有毒有害大气污染物名录》的污染物，不排放二噁英、苯并[a]芘、氰化物、氯气</w:t>
                  </w:r>
                  <w:r>
                    <w:rPr>
                      <w:rFonts w:hint="eastAsia" w:cs="Times New Roman"/>
                      <w:color w:val="auto"/>
                      <w:kern w:val="0"/>
                      <w:szCs w:val="21"/>
                      <w:highlight w:val="none"/>
                      <w:lang w:val="en-US" w:eastAsia="zh-CN"/>
                    </w:rPr>
                    <w:t>且厂界外500米范围内无环境空气保护目标。</w:t>
                  </w:r>
                </w:p>
              </w:tc>
            </w:tr>
            <w:tr w14:paraId="233D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1206" w:type="dxa"/>
                  <w:tcBorders>
                    <w:tl2br w:val="nil"/>
                    <w:tr2bl w:val="nil"/>
                  </w:tcBorders>
                  <w:noWrap w:val="0"/>
                  <w:vAlign w:val="center"/>
                </w:tcPr>
                <w:p w14:paraId="521A9F2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地表水</w:t>
                  </w:r>
                </w:p>
              </w:tc>
              <w:tc>
                <w:tcPr>
                  <w:tcW w:w="2847" w:type="dxa"/>
                  <w:tcBorders>
                    <w:tl2br w:val="nil"/>
                    <w:tr2bl w:val="nil"/>
                  </w:tcBorders>
                  <w:noWrap w:val="0"/>
                  <w:vAlign w:val="center"/>
                </w:tcPr>
                <w:p w14:paraId="4B6FCF8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新增工业废水直排建设项目（槽罐车外送污水处理厂的除外）；新增废水直排的污水集中处理厂。</w:t>
                  </w:r>
                </w:p>
              </w:tc>
              <w:tc>
                <w:tcPr>
                  <w:tcW w:w="2505" w:type="dxa"/>
                  <w:tcBorders>
                    <w:tl2br w:val="nil"/>
                    <w:tr2bl w:val="nil"/>
                  </w:tcBorders>
                  <w:noWrap w:val="0"/>
                  <w:vAlign w:val="center"/>
                </w:tcPr>
                <w:p w14:paraId="6CA247C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本项目不涉及</w:t>
                  </w:r>
                </w:p>
              </w:tc>
            </w:tr>
            <w:tr w14:paraId="63AD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206" w:type="dxa"/>
                  <w:tcBorders>
                    <w:tl2br w:val="nil"/>
                    <w:tr2bl w:val="nil"/>
                  </w:tcBorders>
                  <w:noWrap w:val="0"/>
                  <w:vAlign w:val="center"/>
                </w:tcPr>
                <w:p w14:paraId="3F40B51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环境风险</w:t>
                  </w:r>
                </w:p>
              </w:tc>
              <w:tc>
                <w:tcPr>
                  <w:tcW w:w="2847" w:type="dxa"/>
                  <w:tcBorders>
                    <w:tl2br w:val="nil"/>
                    <w:tr2bl w:val="nil"/>
                  </w:tcBorders>
                  <w:noWrap w:val="0"/>
                  <w:vAlign w:val="center"/>
                </w:tcPr>
                <w:p w14:paraId="7839C46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有毒有害和易燃易爆危险物质存储量超过临界量的建设项目。</w:t>
                  </w:r>
                </w:p>
              </w:tc>
              <w:tc>
                <w:tcPr>
                  <w:tcW w:w="2505" w:type="dxa"/>
                  <w:tcBorders>
                    <w:tl2br w:val="nil"/>
                    <w:tr2bl w:val="nil"/>
                  </w:tcBorders>
                  <w:noWrap w:val="0"/>
                  <w:vAlign w:val="center"/>
                </w:tcPr>
                <w:p w14:paraId="36BAB31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本项目不涉及</w:t>
                  </w:r>
                </w:p>
              </w:tc>
            </w:tr>
            <w:tr w14:paraId="73D6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1206" w:type="dxa"/>
                  <w:tcBorders>
                    <w:tl2br w:val="nil"/>
                    <w:tr2bl w:val="nil"/>
                  </w:tcBorders>
                  <w:noWrap w:val="0"/>
                  <w:vAlign w:val="center"/>
                </w:tcPr>
                <w:p w14:paraId="29E6BF8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生态</w:t>
                  </w:r>
                </w:p>
              </w:tc>
              <w:tc>
                <w:tcPr>
                  <w:tcW w:w="2847" w:type="dxa"/>
                  <w:tcBorders>
                    <w:tl2br w:val="nil"/>
                    <w:tr2bl w:val="nil"/>
                  </w:tcBorders>
                  <w:noWrap w:val="0"/>
                  <w:vAlign w:val="center"/>
                </w:tcPr>
                <w:p w14:paraId="35B809A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取水口下游500米范围内有重要水生生物的自然产卵场、索饵场、越冬场和洄游通道的新增河道取水的污染类建设项目。</w:t>
                  </w:r>
                </w:p>
              </w:tc>
              <w:tc>
                <w:tcPr>
                  <w:tcW w:w="2505" w:type="dxa"/>
                  <w:tcBorders>
                    <w:tl2br w:val="nil"/>
                    <w:tr2bl w:val="nil"/>
                  </w:tcBorders>
                  <w:noWrap w:val="0"/>
                  <w:vAlign w:val="center"/>
                </w:tcPr>
                <w:p w14:paraId="00E6A67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本项目不涉及</w:t>
                  </w:r>
                </w:p>
              </w:tc>
            </w:tr>
            <w:tr w14:paraId="3181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206" w:type="dxa"/>
                  <w:tcBorders>
                    <w:tl2br w:val="nil"/>
                    <w:tr2bl w:val="nil"/>
                  </w:tcBorders>
                  <w:noWrap w:val="0"/>
                  <w:vAlign w:val="center"/>
                </w:tcPr>
                <w:p w14:paraId="12F7858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海洋</w:t>
                  </w:r>
                </w:p>
              </w:tc>
              <w:tc>
                <w:tcPr>
                  <w:tcW w:w="2847" w:type="dxa"/>
                  <w:tcBorders>
                    <w:tl2br w:val="nil"/>
                    <w:tr2bl w:val="nil"/>
                  </w:tcBorders>
                  <w:noWrap w:val="0"/>
                  <w:vAlign w:val="center"/>
                </w:tcPr>
                <w:p w14:paraId="7FD7C90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直接向海排放污染物的海洋工程建设项目。</w:t>
                  </w:r>
                </w:p>
              </w:tc>
              <w:tc>
                <w:tcPr>
                  <w:tcW w:w="2505" w:type="dxa"/>
                  <w:tcBorders>
                    <w:tl2br w:val="nil"/>
                    <w:tr2bl w:val="nil"/>
                  </w:tcBorders>
                  <w:noWrap w:val="0"/>
                  <w:vAlign w:val="center"/>
                </w:tcPr>
                <w:p w14:paraId="235A333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本项目不涉及</w:t>
                  </w:r>
                </w:p>
              </w:tc>
            </w:tr>
          </w:tbl>
          <w:p w14:paraId="41B029C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val="en-US" w:eastAsia="zh-CN"/>
              </w:rPr>
            </w:pPr>
          </w:p>
        </w:tc>
      </w:tr>
      <w:tr w14:paraId="161C84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3" w:type="dxa"/>
            <w:noWrap w:val="0"/>
            <w:vAlign w:val="center"/>
          </w:tcPr>
          <w:p w14:paraId="7DD0ACD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规划情况</w:t>
            </w:r>
          </w:p>
        </w:tc>
        <w:tc>
          <w:tcPr>
            <w:tcW w:w="6688" w:type="dxa"/>
            <w:gridSpan w:val="3"/>
            <w:noWrap w:val="0"/>
            <w:vAlign w:val="center"/>
          </w:tcPr>
          <w:p w14:paraId="4B33D6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highlight w:val="none"/>
                <w:lang w:eastAsia="zh-CN"/>
              </w:rPr>
            </w:pPr>
            <w:r>
              <w:rPr>
                <w:rFonts w:hint="eastAsia" w:ascii="Times New Roman" w:hAnsi="Times New Roman" w:eastAsia="宋体" w:cs="Times New Roman"/>
                <w:color w:val="auto"/>
                <w:kern w:val="0"/>
                <w:sz w:val="24"/>
                <w:highlight w:val="none"/>
                <w:lang w:eastAsia="zh-CN"/>
              </w:rPr>
              <w:t>2022年12月，鄂尔多斯蒙苏经济开发区管委会委托苏州中资工程咨询有限公司编制了《内蒙古鄂尔多斯蒙苏经济开发区产业发展规划（2023-2035年）》。</w:t>
            </w:r>
          </w:p>
          <w:p w14:paraId="7D8C70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val="en-US" w:eastAsia="zh-CN"/>
              </w:rPr>
              <w:t>2024</w:t>
            </w:r>
            <w:r>
              <w:rPr>
                <w:rFonts w:hint="eastAsia" w:ascii="Times New Roman" w:hAnsi="Times New Roman" w:eastAsia="宋体" w:cs="Times New Roman"/>
                <w:color w:val="auto"/>
                <w:kern w:val="0"/>
                <w:sz w:val="24"/>
                <w:highlight w:val="none"/>
                <w:lang w:val="en-US" w:eastAsia="zh-CN"/>
              </w:rPr>
              <w:t>年</w:t>
            </w:r>
            <w:r>
              <w:rPr>
                <w:rFonts w:hint="default" w:ascii="Times New Roman" w:hAnsi="Times New Roman" w:eastAsia="宋体" w:cs="Times New Roman"/>
                <w:color w:val="auto"/>
                <w:kern w:val="0"/>
                <w:sz w:val="24"/>
                <w:highlight w:val="none"/>
                <w:lang w:val="en-US" w:eastAsia="zh-CN"/>
              </w:rPr>
              <w:t>6</w:t>
            </w:r>
            <w:r>
              <w:rPr>
                <w:rFonts w:hint="eastAsia" w:ascii="Times New Roman" w:hAnsi="Times New Roman" w:eastAsia="宋体" w:cs="Times New Roman"/>
                <w:color w:val="auto"/>
                <w:kern w:val="0"/>
                <w:sz w:val="24"/>
                <w:highlight w:val="none"/>
                <w:lang w:val="en-US" w:eastAsia="zh-CN"/>
              </w:rPr>
              <w:t>月</w:t>
            </w:r>
            <w:r>
              <w:rPr>
                <w:rFonts w:hint="default" w:ascii="Times New Roman" w:hAnsi="Times New Roman" w:eastAsia="宋体" w:cs="Times New Roman"/>
                <w:color w:val="auto"/>
                <w:kern w:val="0"/>
                <w:sz w:val="24"/>
                <w:highlight w:val="none"/>
                <w:lang w:val="en-US" w:eastAsia="zh-CN"/>
              </w:rPr>
              <w:t>18</w:t>
            </w:r>
            <w:r>
              <w:rPr>
                <w:rFonts w:hint="eastAsia" w:ascii="Times New Roman" w:hAnsi="Times New Roman" w:eastAsia="宋体" w:cs="Times New Roman"/>
                <w:color w:val="auto"/>
                <w:kern w:val="0"/>
                <w:sz w:val="24"/>
                <w:highlight w:val="none"/>
                <w:lang w:val="en-US" w:eastAsia="zh-CN"/>
              </w:rPr>
              <w:t>日，鄂尔多斯蒙苏经济开发区获得《鄂尔多斯市人民政府关于蒙苏经济开发区产业发展规划（</w:t>
            </w:r>
            <w:r>
              <w:rPr>
                <w:rFonts w:hint="default" w:ascii="Times New Roman" w:hAnsi="Times New Roman" w:eastAsia="宋体" w:cs="Times New Roman"/>
                <w:color w:val="auto"/>
                <w:kern w:val="0"/>
                <w:sz w:val="24"/>
                <w:highlight w:val="none"/>
                <w:lang w:val="en-US" w:eastAsia="zh-CN"/>
              </w:rPr>
              <w:t>2023-2035</w:t>
            </w:r>
            <w:r>
              <w:rPr>
                <w:rFonts w:hint="eastAsia" w:ascii="Times New Roman" w:hAnsi="Times New Roman" w:eastAsia="宋体" w:cs="Times New Roman"/>
                <w:color w:val="auto"/>
                <w:kern w:val="0"/>
                <w:sz w:val="24"/>
                <w:highlight w:val="none"/>
                <w:lang w:val="en-US" w:eastAsia="zh-CN"/>
              </w:rPr>
              <w:t>年）的批复》（鄂府发</w:t>
            </w:r>
            <w:r>
              <w:rPr>
                <w:rFonts w:hint="eastAsia"/>
                <w:color w:val="auto"/>
                <w:highlight w:val="none"/>
                <w:lang w:val="en-US" w:eastAsia="zh-CN"/>
              </w:rPr>
              <w:t>〔2024〕</w:t>
            </w:r>
            <w:r>
              <w:rPr>
                <w:rFonts w:hint="default" w:ascii="Times New Roman" w:hAnsi="Times New Roman" w:eastAsia="宋体" w:cs="Times New Roman"/>
                <w:color w:val="auto"/>
                <w:kern w:val="0"/>
                <w:sz w:val="24"/>
                <w:highlight w:val="none"/>
                <w:lang w:val="en-US" w:eastAsia="zh-CN"/>
              </w:rPr>
              <w:t>43</w:t>
            </w:r>
            <w:r>
              <w:rPr>
                <w:rFonts w:hint="eastAsia" w:ascii="Times New Roman" w:hAnsi="Times New Roman" w:eastAsia="宋体" w:cs="Times New Roman"/>
                <w:color w:val="auto"/>
                <w:kern w:val="0"/>
                <w:sz w:val="24"/>
                <w:highlight w:val="none"/>
                <w:lang w:val="en-US" w:eastAsia="zh-CN"/>
              </w:rPr>
              <w:t>号）：鄂尔多斯蒙苏经济开发区主导产业为能源化工、装备制造、物流及相关延伸产业。</w:t>
            </w:r>
          </w:p>
          <w:p w14:paraId="71609D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宋体"/>
                <w:color w:val="auto"/>
                <w:kern w:val="0"/>
                <w:sz w:val="24"/>
                <w:highlight w:val="none"/>
                <w:lang w:eastAsia="zh-CN"/>
              </w:rPr>
            </w:pPr>
            <w:r>
              <w:rPr>
                <w:rFonts w:hint="eastAsia" w:eastAsia="宋体"/>
                <w:color w:val="auto"/>
                <w:kern w:val="0"/>
                <w:sz w:val="24"/>
                <w:highlight w:val="none"/>
                <w:lang w:eastAsia="zh-CN"/>
              </w:rPr>
              <w:t>2023年4月，鄂尔多斯蒙苏经济开发区管委会委托城市科学规划设计研究院有限公司编制《鄂尔多斯蒙苏经济开发区国土空间总体规划（2021-2035年）》。</w:t>
            </w:r>
          </w:p>
          <w:p w14:paraId="30DE6672">
            <w:pPr>
              <w:bidi w:val="0"/>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 w:val="24"/>
                <w:highlight w:val="none"/>
                <w:lang w:val="en-US" w:eastAsia="zh-CN"/>
              </w:rPr>
              <w:t>2024</w:t>
            </w:r>
            <w:r>
              <w:rPr>
                <w:rFonts w:hint="eastAsia" w:ascii="Times New Roman" w:hAnsi="Times New Roman" w:eastAsia="宋体" w:cs="Times New Roman"/>
                <w:color w:val="auto"/>
                <w:kern w:val="0"/>
                <w:sz w:val="24"/>
                <w:highlight w:val="none"/>
                <w:lang w:val="en-US" w:eastAsia="zh-CN"/>
              </w:rPr>
              <w:t>年</w:t>
            </w:r>
            <w:r>
              <w:rPr>
                <w:rFonts w:hint="default" w:ascii="Times New Roman" w:hAnsi="Times New Roman" w:eastAsia="宋体" w:cs="Times New Roman"/>
                <w:color w:val="auto"/>
                <w:kern w:val="0"/>
                <w:sz w:val="24"/>
                <w:highlight w:val="none"/>
                <w:lang w:val="en-US" w:eastAsia="zh-CN"/>
              </w:rPr>
              <w:t>3</w:t>
            </w:r>
            <w:r>
              <w:rPr>
                <w:rFonts w:hint="eastAsia" w:ascii="Times New Roman" w:hAnsi="Times New Roman" w:eastAsia="宋体" w:cs="Times New Roman"/>
                <w:color w:val="auto"/>
                <w:kern w:val="0"/>
                <w:sz w:val="24"/>
                <w:highlight w:val="none"/>
                <w:lang w:val="en-US" w:eastAsia="zh-CN"/>
              </w:rPr>
              <w:t>月</w:t>
            </w:r>
            <w:r>
              <w:rPr>
                <w:rFonts w:hint="default" w:ascii="Times New Roman" w:hAnsi="Times New Roman" w:eastAsia="宋体" w:cs="Times New Roman"/>
                <w:color w:val="auto"/>
                <w:kern w:val="0"/>
                <w:sz w:val="24"/>
                <w:highlight w:val="none"/>
                <w:lang w:val="en-US" w:eastAsia="zh-CN"/>
              </w:rPr>
              <w:t>1</w:t>
            </w:r>
            <w:r>
              <w:rPr>
                <w:rFonts w:hint="eastAsia" w:ascii="Times New Roman" w:hAnsi="Times New Roman" w:eastAsia="宋体" w:cs="Times New Roman"/>
                <w:color w:val="auto"/>
                <w:kern w:val="0"/>
                <w:sz w:val="24"/>
                <w:highlight w:val="none"/>
                <w:lang w:val="en-US" w:eastAsia="zh-CN"/>
              </w:rPr>
              <w:t>日，内蒙古自治区工业和信息化厅发布《关于印发实施内蒙古自治区工业园区审核公告目录的通知》（内工信发</w:t>
            </w:r>
            <w:r>
              <w:rPr>
                <w:rFonts w:hint="eastAsia"/>
                <w:color w:val="auto"/>
                <w:highlight w:val="none"/>
                <w:lang w:val="en-US" w:eastAsia="zh-CN"/>
              </w:rPr>
              <w:t>〔2024〕</w:t>
            </w:r>
            <w:r>
              <w:rPr>
                <w:rFonts w:hint="default" w:ascii="Times New Roman" w:hAnsi="Times New Roman" w:eastAsia="宋体" w:cs="Times New Roman"/>
                <w:color w:val="auto"/>
                <w:kern w:val="0"/>
                <w:sz w:val="24"/>
                <w:highlight w:val="none"/>
                <w:lang w:val="en-US" w:eastAsia="zh-CN"/>
              </w:rPr>
              <w:t>87</w:t>
            </w:r>
            <w:r>
              <w:rPr>
                <w:rFonts w:hint="eastAsia" w:ascii="Times New Roman" w:hAnsi="Times New Roman" w:eastAsia="宋体" w:cs="Times New Roman"/>
                <w:color w:val="auto"/>
                <w:kern w:val="0"/>
                <w:sz w:val="24"/>
                <w:highlight w:val="none"/>
                <w:lang w:val="en-US" w:eastAsia="zh-CN"/>
              </w:rPr>
              <w:t>号），鄂尔多斯蒙苏经济开发区园区级别为一类，分为鄂尔多斯零碳产业园、圣圆煤化工产业园、伊金霍洛物流园三个区块。鄂尔多斯零碳产业园主导产业为装备制造。</w:t>
            </w:r>
          </w:p>
        </w:tc>
      </w:tr>
      <w:tr w14:paraId="7DE0C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2123" w:type="dxa"/>
            <w:noWrap w:val="0"/>
            <w:vAlign w:val="center"/>
          </w:tcPr>
          <w:p w14:paraId="32B54DB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规划环境影响</w:t>
            </w:r>
          </w:p>
          <w:p w14:paraId="14E6EB90">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评价情况</w:t>
            </w:r>
          </w:p>
        </w:tc>
        <w:tc>
          <w:tcPr>
            <w:tcW w:w="6688" w:type="dxa"/>
            <w:gridSpan w:val="3"/>
            <w:noWrap w:val="0"/>
            <w:vAlign w:val="center"/>
          </w:tcPr>
          <w:p w14:paraId="1CE3BC2F">
            <w:pPr>
              <w:bidi w:val="0"/>
              <w:rPr>
                <w:rFonts w:hint="default"/>
                <w:color w:val="auto"/>
                <w:highlight w:val="none"/>
                <w:lang w:val="en-US" w:eastAsia="zh-CN"/>
              </w:rPr>
            </w:pPr>
            <w:r>
              <w:rPr>
                <w:rFonts w:hint="default"/>
                <w:color w:val="auto"/>
                <w:highlight w:val="none"/>
                <w:lang w:val="en-US" w:eastAsia="zh-CN"/>
              </w:rPr>
              <w:t>文件名称：《鄂尔多斯蒙苏经济开发区国土空间总体规划（2021-2035年）鄂尔多斯零碳产业园</w:t>
            </w:r>
            <w:r>
              <w:rPr>
                <w:rFonts w:hint="eastAsia"/>
                <w:color w:val="auto"/>
                <w:highlight w:val="none"/>
                <w:lang w:val="en-US" w:eastAsia="zh-CN"/>
              </w:rPr>
              <w:t>环境影响报告书</w:t>
            </w:r>
            <w:r>
              <w:rPr>
                <w:rFonts w:hint="default"/>
                <w:color w:val="auto"/>
                <w:highlight w:val="none"/>
                <w:lang w:val="en-US" w:eastAsia="zh-CN"/>
              </w:rPr>
              <w:t>》</w:t>
            </w:r>
          </w:p>
          <w:p w14:paraId="53480350">
            <w:pPr>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审查机关：</w:t>
            </w:r>
            <w:r>
              <w:rPr>
                <w:rFonts w:hint="eastAsia" w:ascii="Times New Roman" w:hAnsi="Times New Roman" w:eastAsia="宋体" w:cs="Times New Roman"/>
                <w:color w:val="auto"/>
                <w:sz w:val="24"/>
                <w:szCs w:val="24"/>
                <w:highlight w:val="none"/>
                <w:lang w:val="en-US" w:eastAsia="zh-CN"/>
              </w:rPr>
              <w:t>内蒙古自治区生态环境厅</w:t>
            </w:r>
          </w:p>
          <w:p w14:paraId="0B545F64">
            <w:pPr>
              <w:bidi w:val="0"/>
              <w:rPr>
                <w:rFonts w:hint="eastAsia"/>
                <w:color w:val="auto"/>
                <w:highlight w:val="none"/>
                <w:lang w:val="en-US" w:eastAsia="zh-CN"/>
              </w:rPr>
            </w:pPr>
            <w:r>
              <w:rPr>
                <w:rFonts w:hint="default"/>
                <w:color w:val="auto"/>
                <w:highlight w:val="none"/>
                <w:lang w:val="en-US" w:eastAsia="zh-CN"/>
              </w:rPr>
              <w:t>审批文件名称：关于《鄂尔多斯蒙苏经济开发区国土空间总体规划（2021-2035年）鄂尔多斯零碳产业园</w:t>
            </w:r>
            <w:r>
              <w:rPr>
                <w:rFonts w:hint="eastAsia"/>
                <w:color w:val="auto"/>
                <w:highlight w:val="none"/>
                <w:lang w:val="en-US" w:eastAsia="zh-CN"/>
              </w:rPr>
              <w:t>环境影响报告书</w:t>
            </w:r>
            <w:r>
              <w:rPr>
                <w:rFonts w:hint="default"/>
                <w:color w:val="auto"/>
                <w:highlight w:val="none"/>
                <w:lang w:val="en-US" w:eastAsia="zh-CN"/>
              </w:rPr>
              <w:t>》</w:t>
            </w:r>
            <w:r>
              <w:rPr>
                <w:rFonts w:hint="eastAsia"/>
                <w:color w:val="auto"/>
                <w:highlight w:val="none"/>
                <w:lang w:val="en-US" w:eastAsia="zh-CN"/>
              </w:rPr>
              <w:t>的审查意见</w:t>
            </w:r>
          </w:p>
          <w:p w14:paraId="1DFFDEBA">
            <w:pPr>
              <w:bidi w:val="0"/>
              <w:rPr>
                <w:rFonts w:hint="default"/>
                <w:color w:val="auto"/>
                <w:highlight w:val="none"/>
                <w:lang w:val="en-US" w:eastAsia="zh-CN"/>
              </w:rPr>
            </w:pPr>
            <w:r>
              <w:rPr>
                <w:rFonts w:hint="eastAsia" w:ascii="Times New Roman" w:hAnsi="Times New Roman" w:eastAsia="宋体" w:cs="Times New Roman"/>
                <w:color w:val="auto"/>
                <w:sz w:val="24"/>
                <w:szCs w:val="24"/>
                <w:highlight w:val="none"/>
                <w:lang w:val="en-US" w:eastAsia="zh-CN"/>
              </w:rPr>
              <w:t>审批文号：内环审</w:t>
            </w:r>
            <w:r>
              <w:rPr>
                <w:rFonts w:hint="eastAsia"/>
                <w:color w:val="auto"/>
                <w:highlight w:val="none"/>
                <w:lang w:val="en-US" w:eastAsia="zh-CN"/>
              </w:rPr>
              <w:t>〔2024〕</w:t>
            </w:r>
            <w:r>
              <w:rPr>
                <w:rFonts w:hint="eastAsia" w:ascii="Times New Roman" w:hAnsi="Times New Roman" w:eastAsia="宋体" w:cs="Times New Roman"/>
                <w:color w:val="auto"/>
                <w:sz w:val="24"/>
                <w:szCs w:val="24"/>
                <w:highlight w:val="none"/>
                <w:lang w:val="en-US" w:eastAsia="zh-CN"/>
              </w:rPr>
              <w:t>83号</w:t>
            </w:r>
          </w:p>
        </w:tc>
      </w:tr>
      <w:tr w14:paraId="4FEF6F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noWrap w:val="0"/>
            <w:vAlign w:val="center"/>
          </w:tcPr>
          <w:p w14:paraId="2753032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规划及规划环境</w:t>
            </w:r>
          </w:p>
          <w:p w14:paraId="3E4A893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影响评价符合性分析</w:t>
            </w:r>
          </w:p>
        </w:tc>
        <w:tc>
          <w:tcPr>
            <w:tcW w:w="6688" w:type="dxa"/>
            <w:gridSpan w:val="3"/>
            <w:noWrap w:val="0"/>
            <w:vAlign w:val="center"/>
          </w:tcPr>
          <w:p w14:paraId="67E62C14">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根据《内蒙古鄂尔多斯蒙苏经济开发区产业发展规划（2023-2035年）》，鄂尔多斯蒙苏经济开发区按照“一区三园”模式进行一体化管理，包括鄂尔多斯零碳产业园、圣圆煤化工产业园、伊金霍洛物流园。</w:t>
            </w:r>
          </w:p>
          <w:p w14:paraId="1CD0A0E1">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为响应碳达峰、碳中和</w:t>
            </w:r>
            <w:r>
              <w:rPr>
                <w:rFonts w:hint="eastAsia" w:cs="Times New Roman"/>
                <w:color w:val="auto"/>
                <w:kern w:val="0"/>
                <w:szCs w:val="21"/>
                <w:highlight w:val="none"/>
                <w:lang w:val="en-US" w:eastAsia="zh-CN"/>
              </w:rPr>
              <w:t>“双碳”目标</w:t>
            </w:r>
            <w:r>
              <w:rPr>
                <w:rFonts w:hint="eastAsia" w:ascii="Times New Roman" w:hAnsi="Times New Roman" w:eastAsia="宋体" w:cs="Times New Roman"/>
                <w:color w:val="auto"/>
                <w:kern w:val="0"/>
                <w:szCs w:val="21"/>
                <w:highlight w:val="none"/>
                <w:lang w:val="en-US" w:eastAsia="zh-CN"/>
              </w:rPr>
              <w:t>，破解产业结构中存在的“四多四少”问题（传统产业多、新兴产业少；低端产业多、高端产业少；资源型产业多、高附加值产业少；劳动密集型产业多、资本科技型产业少），推进资源依赖型城市的工业转型，充分应对“碳壁垒”，鄂尔多斯蒙苏经济开发区聚焦</w:t>
            </w:r>
            <w:r>
              <w:rPr>
                <w:rFonts w:hint="eastAsia" w:cs="Times New Roman"/>
                <w:color w:val="auto"/>
                <w:kern w:val="0"/>
                <w:szCs w:val="21"/>
                <w:highlight w:val="none"/>
                <w:lang w:val="en-US" w:eastAsia="zh-CN"/>
              </w:rPr>
              <w:t>“双碳”目标</w:t>
            </w:r>
            <w:r>
              <w:rPr>
                <w:rFonts w:hint="eastAsia" w:ascii="Times New Roman" w:hAnsi="Times New Roman" w:eastAsia="宋体" w:cs="Times New Roman"/>
                <w:color w:val="auto"/>
                <w:kern w:val="0"/>
                <w:szCs w:val="21"/>
                <w:highlight w:val="none"/>
                <w:lang w:val="en-US" w:eastAsia="zh-CN"/>
              </w:rPr>
              <w:t>擘画发展蓝图，致力于打造鄂尔多斯零碳产业园新名片。</w:t>
            </w:r>
          </w:p>
          <w:p w14:paraId="6E7C6FEA">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零碳产业园指在一个产业园区内直接或间接产生的二氧化碳排放总量，在一定周期内，通过清洁技术支持、碳回收技术、能源存储交换等方式全部予以抵消，从而全年实现碳元素“零排放”、生产生态生活深度融合的新型现代化产业园区。</w:t>
            </w:r>
          </w:p>
          <w:p w14:paraId="2A9922B4">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着力通过构筑“1+2+5+8创新示范体系（一个新型电力系统，一套国际标准和一个能碳管理平台，五大零碳产业链集群，八大创新示范）实现零碳构想。“1”即打造一个新型电力系统，加快建设包括风电、光伏和智慧储能在内的零碳供能系统，提高绿电直供比例，努力实现零碳供电，率先构建以新能源为主体的新型电力系统。“2”即发布一套国际标准和打造一个能碳管理平台，实现对新能源及负荷的精准监测和管理，动态、灵活实现能源供需匹配，削峰填谷，提高能源系统可靠性；可使风光资源高效充分利用于发电、储能或制氢，打通全能源产业链，显著优化基础设施投资成本。所有入园企业以及园区周边规上企业纳入平台，利用大数据实现碳排放智能分析、动态管理。力争推广应用“零碳绿码”，为开展国际“零碳贸易”打好基础。“5”即构建“风光氢储车”五大零碳产业链集群，依托已入园的远景动力集团、隆基股份、美锦国鸿、捷氢科技、上汽红岩等头部链主企业，带动“新能源电池“新能源装备”“新能源汽车”链上产业集群发展。“8”即最终形成全绿色电源供给、高比例新型综合储能系统、智能源荷互动微电网、智能物联能碳管理平台、国际零碳产业园标准、“风光氢储车”零碳产业链集群、绿色科技专家培育“硅谷”、零碳产业园全国全球推广样板的八大创新示范。</w:t>
            </w:r>
          </w:p>
          <w:p w14:paraId="03D81345">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鄂尔多斯零碳产业园分为鄂尔多斯零碳产业园西片区、鄂尔多斯零碳产业园装备制造片区。鄂尔多斯零碳产业园西片区以新能源电池、新能源装备和新能源汽车为主导，打造零碳产业集群；鄂尔多斯零碳产业园装备制造片区重点发展矿用装备、煤化工装备相关制造装备、风光电装备。</w:t>
            </w:r>
          </w:p>
          <w:p w14:paraId="63CDEDBE">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鄂尔多斯市北创智能装备有限公司主要为矿用装备、煤化工装备相关制造，符合园区规划，本项目为金属表面处理及热处理加工项目，建设符合《内蒙古鄂尔多斯蒙苏经济开发区产业发展规划（2023-2035年）》的要求。</w:t>
            </w:r>
          </w:p>
          <w:p w14:paraId="73F72E2E">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本项目与规划环评审查意见符合性分析见下表：</w:t>
            </w:r>
          </w:p>
          <w:p w14:paraId="44F1B754">
            <w:pPr>
              <w:bidi w:val="0"/>
              <w:ind w:left="0" w:leftChars="0" w:firstLine="0" w:firstLineChars="0"/>
              <w:jc w:val="center"/>
              <w:rPr>
                <w:rFonts w:hint="eastAsia" w:ascii="Times New Roman" w:hAnsi="Times New Roman" w:eastAsia="宋体" w:cs="Times New Roman"/>
                <w:b/>
                <w:bCs/>
                <w:color w:val="auto"/>
                <w:kern w:val="0"/>
                <w:szCs w:val="21"/>
                <w:highlight w:val="none"/>
                <w:lang w:val="en-US" w:eastAsia="zh-CN"/>
              </w:rPr>
            </w:pPr>
            <w:r>
              <w:rPr>
                <w:rFonts w:hint="eastAsia" w:ascii="Times New Roman" w:hAnsi="Times New Roman" w:eastAsia="宋体" w:cs="Times New Roman"/>
                <w:b/>
                <w:bCs/>
                <w:color w:val="auto"/>
                <w:kern w:val="0"/>
                <w:szCs w:val="21"/>
                <w:highlight w:val="none"/>
                <w:lang w:val="en-US" w:eastAsia="zh-CN"/>
              </w:rPr>
              <w:t>表1-2本项目与规划环评审查意见符合性分析表</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2934"/>
              <w:gridCol w:w="2337"/>
              <w:gridCol w:w="675"/>
            </w:tblGrid>
            <w:tr w14:paraId="5858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617E7C6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序号</w:t>
                  </w:r>
                </w:p>
              </w:tc>
              <w:tc>
                <w:tcPr>
                  <w:tcW w:w="2271" w:type="pct"/>
                  <w:tcBorders>
                    <w:tl2br w:val="nil"/>
                    <w:tr2bl w:val="nil"/>
                  </w:tcBorders>
                  <w:noWrap w:val="0"/>
                  <w:vAlign w:val="center"/>
                </w:tcPr>
                <w:p w14:paraId="1C01A6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规划环评审查意见情况</w:t>
                  </w:r>
                </w:p>
              </w:tc>
              <w:tc>
                <w:tcPr>
                  <w:tcW w:w="1809" w:type="pct"/>
                  <w:tcBorders>
                    <w:tl2br w:val="nil"/>
                    <w:tr2bl w:val="nil"/>
                  </w:tcBorders>
                  <w:noWrap w:val="0"/>
                  <w:vAlign w:val="center"/>
                </w:tcPr>
                <w:p w14:paraId="07AEBAE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本项目情况</w:t>
                  </w:r>
                </w:p>
              </w:tc>
              <w:tc>
                <w:tcPr>
                  <w:tcW w:w="522" w:type="pct"/>
                  <w:tcBorders>
                    <w:tl2br w:val="nil"/>
                    <w:tr2bl w:val="nil"/>
                  </w:tcBorders>
                  <w:noWrap w:val="0"/>
                  <w:vAlign w:val="center"/>
                </w:tcPr>
                <w:p w14:paraId="7DD47E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符合性</w:t>
                  </w:r>
                </w:p>
              </w:tc>
            </w:tr>
            <w:tr w14:paraId="5A68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3484133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1</w:t>
                  </w:r>
                </w:p>
              </w:tc>
              <w:tc>
                <w:tcPr>
                  <w:tcW w:w="2271" w:type="pct"/>
                  <w:tcBorders>
                    <w:tl2br w:val="nil"/>
                    <w:tr2bl w:val="nil"/>
                  </w:tcBorders>
                  <w:noWrap w:val="0"/>
                  <w:vAlign w:val="center"/>
                </w:tcPr>
                <w:p w14:paraId="31D457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坚持生态优先、绿色发展理念，加强规划引领。园区总体规划应做好与自治区、鄂尔多斯市国土空间总体规划及生态环境分区管控的协调衔接，并要与</w:t>
                  </w:r>
                  <w:r>
                    <w:rPr>
                      <w:rFonts w:hint="eastAsia" w:cs="Times New Roman"/>
                      <w:color w:val="auto"/>
                      <w:kern w:val="0"/>
                      <w:szCs w:val="21"/>
                      <w:highlight w:val="none"/>
                      <w:lang w:val="en-US" w:eastAsia="zh-CN"/>
                    </w:rPr>
                    <w:t>当地其他</w:t>
                  </w:r>
                  <w:r>
                    <w:rPr>
                      <w:rFonts w:hint="eastAsia" w:ascii="Times New Roman" w:hAnsi="Times New Roman" w:eastAsia="宋体" w:cs="Times New Roman"/>
                      <w:color w:val="auto"/>
                      <w:kern w:val="0"/>
                      <w:szCs w:val="21"/>
                      <w:highlight w:val="none"/>
                      <w:lang w:val="en-US" w:eastAsia="zh-CN"/>
                    </w:rPr>
                    <w:t>专项规划相协调。按照《内蒙古自治区人民政府关于促进工业园区高质量发展的若干意见》(内政发〔2019</w:t>
                  </w:r>
                  <w:r>
                    <w:rPr>
                      <w:rFonts w:hint="eastAsia"/>
                      <w:color w:val="auto"/>
                      <w:highlight w:val="none"/>
                      <w:lang w:val="en-US" w:eastAsia="zh-CN"/>
                    </w:rPr>
                    <w:t>〕</w:t>
                  </w:r>
                  <w:r>
                    <w:rPr>
                      <w:rFonts w:hint="eastAsia" w:ascii="Times New Roman" w:hAnsi="Times New Roman" w:eastAsia="宋体" w:cs="Times New Roman"/>
                      <w:color w:val="auto"/>
                      <w:kern w:val="0"/>
                      <w:szCs w:val="21"/>
                      <w:highlight w:val="none"/>
                      <w:lang w:val="en-US" w:eastAsia="zh-CN"/>
                    </w:rPr>
                    <w:t>21号)《内蒙古自治区人民政府办公厅关于进一步加强全区自治区级及以上工业园区环境保护工作的通知》(内政办发〔201</w:t>
                  </w:r>
                  <w:r>
                    <w:rPr>
                      <w:rFonts w:hint="eastAsia" w:cs="Times New Roman"/>
                      <w:color w:val="auto"/>
                      <w:kern w:val="0"/>
                      <w:szCs w:val="21"/>
                      <w:highlight w:val="none"/>
                      <w:lang w:val="en-US" w:eastAsia="zh-CN"/>
                    </w:rPr>
                    <w:t>8</w:t>
                  </w:r>
                  <w:r>
                    <w:rPr>
                      <w:rFonts w:hint="eastAsia"/>
                      <w:color w:val="auto"/>
                      <w:highlight w:val="none"/>
                      <w:lang w:val="en-US" w:eastAsia="zh-CN"/>
                    </w:rPr>
                    <w:t>〕</w:t>
                  </w:r>
                  <w:r>
                    <w:rPr>
                      <w:rFonts w:hint="eastAsia" w:ascii="Times New Roman" w:hAnsi="Times New Roman" w:eastAsia="宋体" w:cs="Times New Roman"/>
                      <w:color w:val="auto"/>
                      <w:kern w:val="0"/>
                      <w:szCs w:val="21"/>
                      <w:highlight w:val="none"/>
                      <w:lang w:val="en-US" w:eastAsia="zh-CN"/>
                    </w:rPr>
                    <w:t>88号)及自治区、鄂尔多斯市国民经济和社会发展第十四个五年规划以及2035年远景目标纲要等要求，指导园区建设。</w:t>
                  </w:r>
                </w:p>
              </w:tc>
              <w:tc>
                <w:tcPr>
                  <w:tcW w:w="1809" w:type="pct"/>
                  <w:tcBorders>
                    <w:tl2br w:val="nil"/>
                    <w:tr2bl w:val="nil"/>
                  </w:tcBorders>
                  <w:noWrap w:val="0"/>
                  <w:vAlign w:val="center"/>
                </w:tcPr>
                <w:p w14:paraId="19A12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本项目为金属表面处理及热处理加工项目，位于</w:t>
                  </w:r>
                  <w:r>
                    <w:rPr>
                      <w:rFonts w:hint="eastAsia" w:cs="Times New Roman"/>
                      <w:color w:val="auto"/>
                      <w:kern w:val="0"/>
                      <w:szCs w:val="21"/>
                      <w:highlight w:val="none"/>
                      <w:lang w:val="en-US" w:eastAsia="zh-CN"/>
                    </w:rPr>
                    <w:t>内蒙古自治区鄂尔多斯市伊金霍洛旗蒙苏经济开发区零碳产业园东片区</w:t>
                  </w:r>
                  <w:r>
                    <w:rPr>
                      <w:rFonts w:hint="eastAsia" w:ascii="Times New Roman" w:hAnsi="Times New Roman" w:eastAsia="宋体" w:cs="Times New Roman"/>
                      <w:color w:val="auto"/>
                      <w:kern w:val="0"/>
                      <w:szCs w:val="21"/>
                      <w:highlight w:val="none"/>
                      <w:lang w:val="en-US" w:eastAsia="zh-CN"/>
                    </w:rPr>
                    <w:t>，项目建设符合《内蒙古鄂尔多斯蒙苏经济开发区产业发展规划（2023-2035年）》及《鄂尔多斯蒙苏经济开发区国土空间总体规划（2021-2035年）》。</w:t>
                  </w:r>
                </w:p>
              </w:tc>
              <w:tc>
                <w:tcPr>
                  <w:tcW w:w="522" w:type="pct"/>
                  <w:tcBorders>
                    <w:tl2br w:val="nil"/>
                    <w:tr2bl w:val="nil"/>
                  </w:tcBorders>
                  <w:noWrap w:val="0"/>
                  <w:vAlign w:val="center"/>
                </w:tcPr>
                <w:p w14:paraId="51B5FF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r w14:paraId="0B4F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2B9BB5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2</w:t>
                  </w:r>
                </w:p>
              </w:tc>
              <w:tc>
                <w:tcPr>
                  <w:tcW w:w="2271" w:type="pct"/>
                  <w:tcBorders>
                    <w:tl2br w:val="nil"/>
                    <w:tr2bl w:val="nil"/>
                  </w:tcBorders>
                  <w:noWrap w:val="0"/>
                  <w:vAlign w:val="center"/>
                </w:tcPr>
                <w:p w14:paraId="13AC80E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严格生态环境准入，推动高质量发展，园区应结合区域资源禀赋、生态敏感特征、生态功能保护、自治区及鄂尔多斯市碳达峰目标约束等要求，坚持循环经济和能源高效利用理念，严格落实《内蒙古自治区工业园区审核公告目录》、产业政策生态环境准入清单等要求及《报告书》推荐产业发展方案，合理发展装备制造、零碳经济等产业，不得新引进煤化工、金属冶炼等污染物排放量大、环境风险高的非主导产业项目，统筹做好产业发展和生态环境保护工作。落实“四水四定”要求，推动园区再生水资源全部合理利用，实现绿色发展、循环发展、低碳发展。</w:t>
                  </w:r>
                </w:p>
              </w:tc>
              <w:tc>
                <w:tcPr>
                  <w:tcW w:w="1809" w:type="pct"/>
                  <w:tcBorders>
                    <w:tl2br w:val="nil"/>
                    <w:tr2bl w:val="nil"/>
                  </w:tcBorders>
                  <w:noWrap w:val="0"/>
                  <w:vAlign w:val="center"/>
                </w:tcPr>
                <w:p w14:paraId="4384B6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本项目为金属表面处理及热处理加工项目，位于</w:t>
                  </w:r>
                  <w:r>
                    <w:rPr>
                      <w:rFonts w:hint="eastAsia" w:cs="Times New Roman"/>
                      <w:color w:val="auto"/>
                      <w:kern w:val="0"/>
                      <w:szCs w:val="21"/>
                      <w:highlight w:val="none"/>
                      <w:lang w:val="en-US" w:eastAsia="zh-CN"/>
                    </w:rPr>
                    <w:t>内蒙古自治区鄂尔多斯市伊金霍洛旗蒙苏经济开发区零碳产业园东片区</w:t>
                  </w:r>
                  <w:r>
                    <w:rPr>
                      <w:rFonts w:hint="eastAsia" w:ascii="Times New Roman" w:hAnsi="Times New Roman" w:eastAsia="宋体" w:cs="Times New Roman"/>
                      <w:color w:val="auto"/>
                      <w:kern w:val="0"/>
                      <w:szCs w:val="21"/>
                      <w:highlight w:val="none"/>
                      <w:lang w:val="en-US" w:eastAsia="zh-CN"/>
                    </w:rPr>
                    <w:t>，项目不属于煤化工、金属冶炼等污染物排放量大、环境风险高的非主导产业项目。</w:t>
                  </w:r>
                </w:p>
              </w:tc>
              <w:tc>
                <w:tcPr>
                  <w:tcW w:w="522" w:type="pct"/>
                  <w:tcBorders>
                    <w:tl2br w:val="nil"/>
                    <w:tr2bl w:val="nil"/>
                  </w:tcBorders>
                  <w:noWrap w:val="0"/>
                  <w:vAlign w:val="center"/>
                </w:tcPr>
                <w:p w14:paraId="65C883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r w14:paraId="3B01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385958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3</w:t>
                  </w:r>
                </w:p>
              </w:tc>
              <w:tc>
                <w:tcPr>
                  <w:tcW w:w="2271" w:type="pct"/>
                  <w:tcBorders>
                    <w:tl2br w:val="nil"/>
                    <w:tr2bl w:val="nil"/>
                  </w:tcBorders>
                  <w:noWrap w:val="0"/>
                  <w:vAlign w:val="center"/>
                </w:tcPr>
                <w:p w14:paraId="2BB498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严格空间管控，优化产业布局。按照相关要求做好规划控制和防护带建设，园区与居民区、地表水体等环境敏感区之间应设置足够距离的隔离带并合理优化邻近区域产业布局，确保园区产业发展与生态环境、人居环境相协调。配合伊金霍洛旗人民政府及其有关部门做好园区及周边区域的国土空间规划和优化调整，发现不符合管控要求的行为，应及时向伊金霍洛旗人民政府报告。加强土壤污染重点企业监管，开展腾退企业遗留场地的土壤环境调查和风险评估，合理确定土地利用方式。</w:t>
                  </w:r>
                </w:p>
              </w:tc>
              <w:tc>
                <w:tcPr>
                  <w:tcW w:w="1809" w:type="pct"/>
                  <w:tcBorders>
                    <w:tl2br w:val="nil"/>
                    <w:tr2bl w:val="nil"/>
                  </w:tcBorders>
                  <w:noWrap w:val="0"/>
                  <w:vAlign w:val="center"/>
                </w:tcPr>
                <w:p w14:paraId="7FE07E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项目位于园区内，附近没有常住居民居住，且本项目符合园区产业布局。</w:t>
                  </w:r>
                </w:p>
              </w:tc>
              <w:tc>
                <w:tcPr>
                  <w:tcW w:w="522" w:type="pct"/>
                  <w:tcBorders>
                    <w:tl2br w:val="nil"/>
                    <w:tr2bl w:val="nil"/>
                  </w:tcBorders>
                  <w:noWrap w:val="0"/>
                  <w:vAlign w:val="center"/>
                </w:tcPr>
                <w:p w14:paraId="0AAF49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r w14:paraId="208C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1604A8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4</w:t>
                  </w:r>
                </w:p>
              </w:tc>
              <w:tc>
                <w:tcPr>
                  <w:tcW w:w="2271" w:type="pct"/>
                  <w:tcBorders>
                    <w:tl2br w:val="nil"/>
                    <w:tr2bl w:val="nil"/>
                  </w:tcBorders>
                  <w:noWrap w:val="0"/>
                  <w:vAlign w:val="center"/>
                </w:tcPr>
                <w:p w14:paraId="0BE0A1B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严守环境质量底线，强化污染物排放总量管控。根据国家、自治区和鄂尔多斯市关于大气、水、土壤、挥发性有机物污染防治相关要求，落实与区域环境空气质量改善目标相匹配的区域削减措施，强化主要污染物总量管控，推动重点行业实施大气污染物治理措施升级改造，持续减少主要污染物、挥发性有机物等有组织和无组织排放量，保障区域环境质量改善。</w:t>
                  </w:r>
                </w:p>
              </w:tc>
              <w:tc>
                <w:tcPr>
                  <w:tcW w:w="1809" w:type="pct"/>
                  <w:tcBorders>
                    <w:tl2br w:val="nil"/>
                    <w:tr2bl w:val="nil"/>
                  </w:tcBorders>
                  <w:noWrap w:val="0"/>
                  <w:vAlign w:val="center"/>
                </w:tcPr>
                <w:p w14:paraId="6724A1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本项目抛丸清理过程中的废气采用集气罩收集后，经袋式除尘器处理后，最终由1根15m高的排气筒（DA001）排放。</w:t>
                  </w:r>
                </w:p>
                <w:p w14:paraId="61D9599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焊接废气：</w:t>
                  </w:r>
                  <w:r>
                    <w:rPr>
                      <w:rFonts w:hint="eastAsia"/>
                      <w:color w:val="auto"/>
                      <w:highlight w:val="none"/>
                      <w:lang w:val="en-US" w:eastAsia="zh-CN"/>
                    </w:rPr>
                    <w:t>经移动式焊接烟尘净化器净化处理后无组织排放。</w:t>
                  </w:r>
                </w:p>
                <w:p w14:paraId="3A2E40D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喷漆废气：喷漆过程于专用封闭喷漆房内进行，</w:t>
                  </w:r>
                  <w:r>
                    <w:rPr>
                      <w:rFonts w:hint="eastAsia" w:cs="Times New Roman"/>
                      <w:color w:val="auto"/>
                      <w:kern w:val="0"/>
                      <w:szCs w:val="21"/>
                      <w:highlight w:val="none"/>
                      <w:lang w:val="en-US" w:eastAsia="zh-CN"/>
                    </w:rPr>
                    <w:t>喷漆废气经负压收集</w:t>
                  </w:r>
                  <w:r>
                    <w:rPr>
                      <w:rFonts w:hint="eastAsia" w:ascii="Times New Roman" w:hAnsi="Times New Roman" w:eastAsia="宋体" w:cs="Times New Roman"/>
                      <w:color w:val="auto"/>
                      <w:kern w:val="0"/>
                      <w:szCs w:val="21"/>
                      <w:highlight w:val="none"/>
                      <w:lang w:val="en-US" w:eastAsia="zh-CN"/>
                    </w:rPr>
                    <w:t>引至干式过滤器（迷宫纸盒）+过滤棉+二级活性炭吸附装置处理后，由15m高排气筒（</w:t>
                  </w:r>
                  <w:r>
                    <w:rPr>
                      <w:rFonts w:hint="eastAsia" w:cs="Times New Roman"/>
                      <w:color w:val="auto"/>
                      <w:kern w:val="0"/>
                      <w:szCs w:val="21"/>
                      <w:highlight w:val="none"/>
                      <w:lang w:val="en-US" w:eastAsia="zh-CN"/>
                    </w:rPr>
                    <w:t>DA002</w:t>
                  </w:r>
                  <w:r>
                    <w:rPr>
                      <w:rFonts w:hint="eastAsia" w:ascii="Times New Roman" w:hAnsi="Times New Roman" w:eastAsia="宋体" w:cs="Times New Roman"/>
                      <w:color w:val="auto"/>
                      <w:kern w:val="0"/>
                      <w:szCs w:val="21"/>
                      <w:highlight w:val="none"/>
                      <w:lang w:val="en-US" w:eastAsia="zh-CN"/>
                    </w:rPr>
                    <w:t>）排放。经上述措施处理后可有效减少污染物排放量。</w:t>
                  </w:r>
                  <w:r>
                    <w:rPr>
                      <w:rFonts w:hint="eastAsia" w:cs="Times New Roman"/>
                      <w:color w:val="auto"/>
                      <w:kern w:val="0"/>
                      <w:szCs w:val="21"/>
                      <w:highlight w:val="none"/>
                      <w:lang w:val="en-US" w:eastAsia="zh-CN"/>
                    </w:rPr>
                    <w:t>本项目产生的废气经上述处理措施后，产生的废气对周围环境影响较小。</w:t>
                  </w:r>
                </w:p>
              </w:tc>
              <w:tc>
                <w:tcPr>
                  <w:tcW w:w="522" w:type="pct"/>
                  <w:tcBorders>
                    <w:tl2br w:val="nil"/>
                    <w:tr2bl w:val="nil"/>
                  </w:tcBorders>
                  <w:noWrap w:val="0"/>
                  <w:vAlign w:val="center"/>
                </w:tcPr>
                <w:p w14:paraId="154E32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r w14:paraId="733C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208995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5</w:t>
                  </w:r>
                </w:p>
              </w:tc>
              <w:tc>
                <w:tcPr>
                  <w:tcW w:w="2271" w:type="pct"/>
                  <w:tcBorders>
                    <w:tl2br w:val="nil"/>
                    <w:tr2bl w:val="nil"/>
                  </w:tcBorders>
                  <w:noWrap w:val="0"/>
                  <w:vAlign w:val="center"/>
                </w:tcPr>
                <w:p w14:paraId="55720B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加强环境基础设施建设，推进污染集中治理。强化企业生产废水预处理，合理规划西片区污水集中处理设施及配套管网，组织开展装备制造片区生产废水依托城镇污水处理厂处理可行性评估，统筹制定园区废水处理和综合利用总体方案并做好落实。因地制宜利用集中供热或清洁能源实现供热、供汽，禁止新建各类燃煤锅炉。强化企业危险废物鉴别主体责任，对园区各类危废实施严格监管和严密监控，实现全过程安全妥善处置。园区内及周边中短途汽车运输推广使用清洁能源。</w:t>
                  </w:r>
                </w:p>
              </w:tc>
              <w:tc>
                <w:tcPr>
                  <w:tcW w:w="1809" w:type="pct"/>
                  <w:tcBorders>
                    <w:tl2br w:val="nil"/>
                    <w:tr2bl w:val="nil"/>
                  </w:tcBorders>
                  <w:noWrap w:val="0"/>
                  <w:vAlign w:val="center"/>
                </w:tcPr>
                <w:p w14:paraId="752EF54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本项目生活污水直接排入市政污水管网处理，不外排，无生产废水；本项目喷漆房无需供热</w:t>
                  </w:r>
                  <w:r>
                    <w:rPr>
                      <w:rFonts w:hint="eastAsia" w:cs="Times New Roman"/>
                      <w:color w:val="auto"/>
                      <w:kern w:val="0"/>
                      <w:szCs w:val="21"/>
                      <w:highlight w:val="none"/>
                      <w:lang w:val="en-US" w:eastAsia="zh-CN"/>
                    </w:rPr>
                    <w:t>，</w:t>
                  </w:r>
                  <w:r>
                    <w:rPr>
                      <w:rFonts w:hint="eastAsia" w:ascii="Times New Roman" w:hAnsi="Times New Roman" w:eastAsia="宋体" w:cs="Times New Roman"/>
                      <w:color w:val="auto"/>
                      <w:kern w:val="0"/>
                      <w:szCs w:val="21"/>
                      <w:highlight w:val="none"/>
                      <w:lang w:val="en-US" w:eastAsia="zh-CN"/>
                    </w:rPr>
                    <w:t>生活办公区供暖采用</w:t>
                  </w:r>
                  <w:r>
                    <w:rPr>
                      <w:rFonts w:hint="eastAsia" w:cs="Times New Roman"/>
                      <w:color w:val="auto"/>
                      <w:kern w:val="0"/>
                      <w:szCs w:val="21"/>
                      <w:highlight w:val="none"/>
                      <w:lang w:val="en-US" w:eastAsia="zh-CN"/>
                    </w:rPr>
                    <w:t>市政集中供暖，无新建燃煤锅炉</w:t>
                  </w:r>
                  <w:r>
                    <w:rPr>
                      <w:rFonts w:hint="eastAsia" w:ascii="Times New Roman" w:hAnsi="Times New Roman" w:eastAsia="宋体" w:cs="Times New Roman"/>
                      <w:color w:val="auto"/>
                      <w:kern w:val="0"/>
                      <w:szCs w:val="21"/>
                      <w:highlight w:val="none"/>
                      <w:lang w:val="en-US" w:eastAsia="zh-CN"/>
                    </w:rPr>
                    <w:t>；本项目危废集中收集后暂存于</w:t>
                  </w:r>
                  <w:r>
                    <w:rPr>
                      <w:rFonts w:hint="eastAsia" w:cs="Times New Roman"/>
                      <w:color w:val="auto"/>
                      <w:kern w:val="0"/>
                      <w:szCs w:val="21"/>
                      <w:highlight w:val="none"/>
                      <w:lang w:val="en-US" w:eastAsia="zh-CN"/>
                    </w:rPr>
                    <w:t>危险废物暂存库</w:t>
                  </w:r>
                  <w:r>
                    <w:rPr>
                      <w:rFonts w:hint="eastAsia" w:ascii="Times New Roman" w:hAnsi="Times New Roman" w:eastAsia="宋体" w:cs="Times New Roman"/>
                      <w:color w:val="auto"/>
                      <w:kern w:val="0"/>
                      <w:szCs w:val="21"/>
                      <w:highlight w:val="none"/>
                      <w:lang w:val="en-US" w:eastAsia="zh-CN"/>
                    </w:rPr>
                    <w:t>，</w:t>
                  </w:r>
                  <w:r>
                    <w:rPr>
                      <w:rFonts w:hint="eastAsia" w:cs="Times New Roman"/>
                      <w:color w:val="auto"/>
                      <w:kern w:val="0"/>
                      <w:szCs w:val="21"/>
                      <w:highlight w:val="none"/>
                      <w:lang w:val="en-US" w:eastAsia="zh-CN"/>
                    </w:rPr>
                    <w:t>定期</w:t>
                  </w:r>
                  <w:r>
                    <w:rPr>
                      <w:rFonts w:hint="eastAsia" w:ascii="Times New Roman" w:hAnsi="Times New Roman" w:eastAsia="宋体" w:cs="Times New Roman"/>
                      <w:color w:val="auto"/>
                      <w:kern w:val="0"/>
                      <w:szCs w:val="21"/>
                      <w:highlight w:val="none"/>
                      <w:lang w:val="en-US" w:eastAsia="zh-CN"/>
                    </w:rPr>
                    <w:t>委托有资质单位进行处置</w:t>
                  </w:r>
                  <w:r>
                    <w:rPr>
                      <w:rFonts w:hint="eastAsia" w:cs="Times New Roman"/>
                      <w:color w:val="auto"/>
                      <w:kern w:val="0"/>
                      <w:szCs w:val="21"/>
                      <w:highlight w:val="none"/>
                      <w:lang w:val="en-US" w:eastAsia="zh-CN"/>
                    </w:rPr>
                    <w:t>。</w:t>
                  </w:r>
                </w:p>
              </w:tc>
              <w:tc>
                <w:tcPr>
                  <w:tcW w:w="522" w:type="pct"/>
                  <w:tcBorders>
                    <w:tl2br w:val="nil"/>
                    <w:tr2bl w:val="nil"/>
                  </w:tcBorders>
                  <w:noWrap w:val="0"/>
                  <w:vAlign w:val="center"/>
                </w:tcPr>
                <w:p w14:paraId="376740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r w14:paraId="1E4F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1BBF90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6</w:t>
                  </w:r>
                </w:p>
              </w:tc>
              <w:tc>
                <w:tcPr>
                  <w:tcW w:w="2271" w:type="pct"/>
                  <w:tcBorders>
                    <w:tl2br w:val="nil"/>
                    <w:tr2bl w:val="nil"/>
                  </w:tcBorders>
                  <w:noWrap w:val="0"/>
                  <w:vAlign w:val="center"/>
                </w:tcPr>
                <w:p w14:paraId="4834924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强化源头防控，有效防范环境污染和事故风险。加强园区突发环境事件应急处置能力建设，建立完善的环境风险防控和应急监测体系，强化应急演练和应急物资储备</w:t>
                  </w:r>
                  <w:r>
                    <w:rPr>
                      <w:rFonts w:hint="eastAsia" w:cs="Times New Roman"/>
                      <w:color w:val="auto"/>
                      <w:kern w:val="0"/>
                      <w:szCs w:val="21"/>
                      <w:highlight w:val="none"/>
                      <w:lang w:val="en-US" w:eastAsia="zh-CN"/>
                    </w:rPr>
                    <w:t>，</w:t>
                  </w:r>
                  <w:r>
                    <w:rPr>
                      <w:rFonts w:hint="eastAsia" w:ascii="Times New Roman" w:hAnsi="Times New Roman" w:eastAsia="宋体" w:cs="Times New Roman"/>
                      <w:color w:val="auto"/>
                      <w:kern w:val="0"/>
                      <w:szCs w:val="21"/>
                      <w:highlight w:val="none"/>
                      <w:lang w:val="en-US" w:eastAsia="zh-CN"/>
                    </w:rPr>
                    <w:t>不断提升应急响应能力，保障区域环境安全。入园企业按要求设置事故水池，确保任何情况下事故废水不进入外环境。</w:t>
                  </w:r>
                </w:p>
              </w:tc>
              <w:tc>
                <w:tcPr>
                  <w:tcW w:w="1809" w:type="pct"/>
                  <w:tcBorders>
                    <w:tl2br w:val="nil"/>
                    <w:tr2bl w:val="nil"/>
                  </w:tcBorders>
                  <w:noWrap w:val="0"/>
                  <w:vAlign w:val="center"/>
                </w:tcPr>
                <w:p w14:paraId="69C0C67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要求企业</w:t>
                  </w:r>
                  <w:r>
                    <w:rPr>
                      <w:rFonts w:hint="eastAsia" w:ascii="Times New Roman" w:hAnsi="Times New Roman" w:eastAsia="宋体" w:cs="Times New Roman"/>
                      <w:color w:val="auto"/>
                      <w:kern w:val="0"/>
                      <w:szCs w:val="21"/>
                      <w:highlight w:val="none"/>
                      <w:lang w:val="en-US" w:eastAsia="zh-CN"/>
                    </w:rPr>
                    <w:t>制定突发环境应急预案，</w:t>
                  </w:r>
                  <w:r>
                    <w:rPr>
                      <w:rFonts w:hint="eastAsia" w:cs="Times New Roman"/>
                      <w:color w:val="auto"/>
                      <w:kern w:val="0"/>
                      <w:szCs w:val="21"/>
                      <w:highlight w:val="none"/>
                      <w:lang w:val="en-US" w:eastAsia="zh-CN"/>
                    </w:rPr>
                    <w:t>强化源头防控，有效防范环境污染和事故风险。</w:t>
                  </w:r>
                </w:p>
              </w:tc>
              <w:tc>
                <w:tcPr>
                  <w:tcW w:w="522" w:type="pct"/>
                  <w:tcBorders>
                    <w:tl2br w:val="nil"/>
                    <w:tr2bl w:val="nil"/>
                  </w:tcBorders>
                  <w:noWrap w:val="0"/>
                  <w:vAlign w:val="center"/>
                </w:tcPr>
                <w:p w14:paraId="367E12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r w14:paraId="36B8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95" w:type="pct"/>
                  <w:tcBorders>
                    <w:tl2br w:val="nil"/>
                    <w:tr2bl w:val="nil"/>
                  </w:tcBorders>
                  <w:noWrap w:val="0"/>
                  <w:vAlign w:val="center"/>
                </w:tcPr>
                <w:p w14:paraId="24A49B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7</w:t>
                  </w:r>
                </w:p>
              </w:tc>
              <w:tc>
                <w:tcPr>
                  <w:tcW w:w="2271" w:type="pct"/>
                  <w:tcBorders>
                    <w:tl2br w:val="nil"/>
                    <w:tr2bl w:val="nil"/>
                  </w:tcBorders>
                  <w:noWrap w:val="0"/>
                  <w:vAlign w:val="center"/>
                </w:tcPr>
                <w:p w14:paraId="5F84B4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加强环境监管及日常环境质量监测。园区应建立完善的环境监测计划，开展包括常规污染物、特征污染物、挥发性有机物等在内的环境空气、地下水、土壤、生态系统等环境质量监测工作，实现长期监测与有效监控。重点企业排污口要设置在线监测系统并与生态环境部门联网</w:t>
                  </w:r>
                </w:p>
              </w:tc>
              <w:tc>
                <w:tcPr>
                  <w:tcW w:w="1809" w:type="pct"/>
                  <w:tcBorders>
                    <w:tl2br w:val="nil"/>
                    <w:tr2bl w:val="nil"/>
                  </w:tcBorders>
                  <w:noWrap w:val="0"/>
                  <w:vAlign w:val="center"/>
                </w:tcPr>
                <w:p w14:paraId="28C225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本项目按要求制定相关环境质量监测计划。</w:t>
                  </w:r>
                </w:p>
              </w:tc>
              <w:tc>
                <w:tcPr>
                  <w:tcW w:w="522" w:type="pct"/>
                  <w:tcBorders>
                    <w:tl2br w:val="nil"/>
                    <w:tr2bl w:val="nil"/>
                  </w:tcBorders>
                  <w:noWrap w:val="0"/>
                  <w:vAlign w:val="center"/>
                </w:tcPr>
                <w:p w14:paraId="2F4421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r w14:paraId="1808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95" w:type="pct"/>
                  <w:tcBorders>
                    <w:tl2br w:val="nil"/>
                    <w:tr2bl w:val="nil"/>
                  </w:tcBorders>
                  <w:noWrap w:val="0"/>
                  <w:vAlign w:val="center"/>
                </w:tcPr>
                <w:p w14:paraId="0A30363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8</w:t>
                  </w:r>
                </w:p>
              </w:tc>
              <w:tc>
                <w:tcPr>
                  <w:tcW w:w="2271" w:type="pct"/>
                  <w:tcBorders>
                    <w:tl2br w:val="nil"/>
                    <w:tr2bl w:val="nil"/>
                  </w:tcBorders>
                  <w:noWrap w:val="0"/>
                  <w:vAlign w:val="center"/>
                </w:tcPr>
                <w:p w14:paraId="6D75D0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总体规划实施对环境产生重大影响时，应当及时组织环境影响的跟踪评价。对规划所包含的建设项目，在开展环境影响评价时，应重点分析污染防治措施和环境风险防控措施的可行性、可靠性，规划协调性分析、环境现状等工作内容可适当简化。</w:t>
                  </w:r>
                </w:p>
              </w:tc>
              <w:tc>
                <w:tcPr>
                  <w:tcW w:w="1809" w:type="pct"/>
                  <w:tcBorders>
                    <w:tl2br w:val="nil"/>
                    <w:tr2bl w:val="nil"/>
                  </w:tcBorders>
                  <w:noWrap w:val="0"/>
                  <w:vAlign w:val="center"/>
                </w:tcPr>
                <w:p w14:paraId="2AA8CE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本项目不涉及</w:t>
                  </w:r>
                  <w:r>
                    <w:rPr>
                      <w:rFonts w:hint="eastAsia" w:cs="Times New Roman"/>
                      <w:color w:val="auto"/>
                      <w:kern w:val="0"/>
                      <w:szCs w:val="21"/>
                      <w:highlight w:val="none"/>
                      <w:lang w:val="en-US" w:eastAsia="zh-CN"/>
                    </w:rPr>
                    <w:t>。</w:t>
                  </w:r>
                </w:p>
              </w:tc>
              <w:tc>
                <w:tcPr>
                  <w:tcW w:w="522" w:type="pct"/>
                  <w:tcBorders>
                    <w:tl2br w:val="nil"/>
                    <w:tr2bl w:val="nil"/>
                  </w:tcBorders>
                  <w:noWrap w:val="0"/>
                  <w:vAlign w:val="center"/>
                </w:tcPr>
                <w:p w14:paraId="0DFA0F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符合</w:t>
                  </w:r>
                </w:p>
              </w:tc>
            </w:tr>
          </w:tbl>
          <w:p w14:paraId="7AF53F19">
            <w:pPr>
              <w:bidi w:val="0"/>
              <w:rPr>
                <w:rFonts w:hint="eastAsia"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0"/>
                <w:szCs w:val="21"/>
                <w:highlight w:val="none"/>
                <w:lang w:val="en-US" w:eastAsia="zh-CN"/>
              </w:rPr>
              <w:t>综上所述，本项目建设符合《鄂尔多斯蒙苏经济开发区国土空间总体规划（2021-2035年）鄂尔多斯零碳产业园环境影响报告书》的审查意见。</w:t>
            </w:r>
          </w:p>
        </w:tc>
      </w:tr>
      <w:tr w14:paraId="540AF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23" w:type="dxa"/>
            <w:noWrap w:val="0"/>
            <w:vAlign w:val="center"/>
          </w:tcPr>
          <w:p w14:paraId="4FB955F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其他符合性分析</w:t>
            </w:r>
          </w:p>
        </w:tc>
        <w:tc>
          <w:tcPr>
            <w:tcW w:w="6688" w:type="dxa"/>
            <w:gridSpan w:val="3"/>
            <w:noWrap w:val="0"/>
            <w:vAlign w:val="center"/>
          </w:tcPr>
          <w:p w14:paraId="23E71C35">
            <w:pPr>
              <w:bidi w:val="0"/>
              <w:rPr>
                <w:rFonts w:hint="default"/>
                <w:b/>
                <w:bCs/>
                <w:color w:val="auto"/>
                <w:highlight w:val="none"/>
                <w:lang w:val="en-US" w:eastAsia="zh-CN"/>
              </w:rPr>
            </w:pPr>
            <w:r>
              <w:rPr>
                <w:rFonts w:hint="eastAsia"/>
                <w:b/>
                <w:bCs/>
                <w:color w:val="auto"/>
                <w:highlight w:val="none"/>
                <w:lang w:val="en-US" w:eastAsia="zh-CN"/>
              </w:rPr>
              <w:t>一、</w:t>
            </w:r>
            <w:r>
              <w:rPr>
                <w:rFonts w:hint="default"/>
                <w:b/>
                <w:bCs/>
                <w:color w:val="auto"/>
                <w:highlight w:val="none"/>
                <w:lang w:val="en-US" w:eastAsia="zh-CN"/>
              </w:rPr>
              <w:t>产业政策的符合性</w:t>
            </w:r>
          </w:p>
          <w:p w14:paraId="568DA1DB">
            <w:pPr>
              <w:bidi w:val="0"/>
              <w:rPr>
                <w:rFonts w:hint="default"/>
                <w:color w:val="auto"/>
                <w:highlight w:val="none"/>
                <w:lang w:val="en-US" w:eastAsia="zh-CN"/>
              </w:rPr>
            </w:pPr>
            <w:r>
              <w:rPr>
                <w:rFonts w:hint="default"/>
                <w:color w:val="auto"/>
                <w:highlight w:val="none"/>
                <w:lang w:val="en-US" w:eastAsia="zh-CN"/>
              </w:rPr>
              <w:t>本项目为金属表面处理及热处理加工项目，</w:t>
            </w:r>
            <w:r>
              <w:rPr>
                <w:rFonts w:hint="eastAsia"/>
                <w:color w:val="auto"/>
                <w:highlight w:val="none"/>
                <w:lang w:val="en-US" w:eastAsia="zh-CN"/>
              </w:rPr>
              <w:t>位于内蒙古自治区鄂尔多斯市伊金霍洛旗蒙苏经济开发区零碳产业园东片区，鄂尔多斯市北创制造有限公司现有工业场地内，租赁鄂尔多斯市北创制造有限公司现有空闲标准厂房进行建设，利用现有生产车间改造喷漆生产车间，占地面积为16200㎡，本</w:t>
            </w:r>
            <w:r>
              <w:rPr>
                <w:rFonts w:hint="default"/>
                <w:color w:val="auto"/>
                <w:highlight w:val="none"/>
                <w:lang w:val="en-US" w:eastAsia="zh-CN"/>
              </w:rPr>
              <w:t>项目不属于《产业结构调整指导目录（2024年本）》中鼓励类、限制类和淘汰类项目，属于允许类建设项目，符合国家产业政策。</w:t>
            </w:r>
          </w:p>
          <w:p w14:paraId="1E7DAA63">
            <w:pPr>
              <w:bidi w:val="0"/>
              <w:rPr>
                <w:rFonts w:hint="default"/>
                <w:b/>
                <w:bCs/>
                <w:color w:val="auto"/>
                <w:highlight w:val="none"/>
                <w:lang w:val="en-US" w:eastAsia="zh-CN"/>
              </w:rPr>
            </w:pPr>
            <w:r>
              <w:rPr>
                <w:rFonts w:hint="eastAsia"/>
                <w:b/>
                <w:bCs/>
                <w:color w:val="auto"/>
                <w:highlight w:val="none"/>
                <w:lang w:val="en-US" w:eastAsia="zh-CN"/>
              </w:rPr>
              <w:t>二、生态环境分区管控</w:t>
            </w:r>
            <w:r>
              <w:rPr>
                <w:rFonts w:hint="default"/>
                <w:b/>
                <w:bCs/>
                <w:color w:val="auto"/>
                <w:highlight w:val="none"/>
                <w:lang w:val="en-US" w:eastAsia="zh-CN"/>
              </w:rPr>
              <w:t>符合性分析</w:t>
            </w:r>
          </w:p>
          <w:p w14:paraId="72C2C4D5">
            <w:pPr>
              <w:bidi w:val="0"/>
              <w:rPr>
                <w:rFonts w:hint="default"/>
                <w:color w:val="auto"/>
                <w:highlight w:val="none"/>
                <w:lang w:val="en-US" w:eastAsia="zh-CN"/>
              </w:rPr>
            </w:pPr>
            <w:r>
              <w:rPr>
                <w:rFonts w:hint="default"/>
                <w:color w:val="auto"/>
                <w:highlight w:val="none"/>
                <w:lang w:val="en-US" w:eastAsia="zh-CN"/>
              </w:rPr>
              <w:t>《内蒙古自治区人民政府关于实施“三线一单”生态环境分区管控的意见》（内政发〔2020〕24号）描述：内蒙古自治区构建生态环境分区管控体系，全区共划分环境管控单元1135个，包括优先保护单元、重点管控单元、一般管控单元三类，实施分类管控。</w:t>
            </w:r>
          </w:p>
          <w:p w14:paraId="2C79074D">
            <w:pPr>
              <w:bidi w:val="0"/>
              <w:rPr>
                <w:rFonts w:hint="default"/>
                <w:b/>
                <w:bCs/>
                <w:color w:val="auto"/>
                <w:highlight w:val="none"/>
                <w:lang w:val="en-US" w:eastAsia="zh-CN"/>
              </w:rPr>
            </w:pPr>
            <w:r>
              <w:rPr>
                <w:rFonts w:hint="eastAsia"/>
                <w:b/>
                <w:bCs/>
                <w:color w:val="auto"/>
                <w:highlight w:val="none"/>
                <w:lang w:val="en-US" w:eastAsia="zh-CN"/>
              </w:rPr>
              <w:t>1、</w:t>
            </w:r>
            <w:r>
              <w:rPr>
                <w:rFonts w:hint="default"/>
                <w:b/>
                <w:bCs/>
                <w:color w:val="auto"/>
                <w:highlight w:val="none"/>
                <w:lang w:val="en-US" w:eastAsia="zh-CN"/>
              </w:rPr>
              <w:t>生态保护红线</w:t>
            </w:r>
          </w:p>
          <w:p w14:paraId="0FF78ABF">
            <w:pPr>
              <w:bidi w:val="0"/>
              <w:rPr>
                <w:rFonts w:hint="default"/>
                <w:color w:val="auto"/>
                <w:highlight w:val="none"/>
                <w:lang w:val="en-US" w:eastAsia="zh-CN"/>
              </w:rPr>
            </w:pPr>
            <w:r>
              <w:rPr>
                <w:rFonts w:hint="default"/>
                <w:color w:val="auto"/>
                <w:highlight w:val="none"/>
                <w:lang w:val="en-US" w:eastAsia="zh-CN"/>
              </w:rPr>
              <w:t>根据《鄂尔多斯市生态环境分区管控动态更新成果（2023年版）》的通知（2024年8月6日），全市按优先保护、重点管控、一般管控三大类划分171个环境管控单元。</w:t>
            </w:r>
          </w:p>
          <w:p w14:paraId="20C15C65">
            <w:pPr>
              <w:bidi w:val="0"/>
              <w:rPr>
                <w:rFonts w:hint="default"/>
                <w:color w:val="auto"/>
                <w:highlight w:val="none"/>
                <w:lang w:val="en-US" w:eastAsia="zh-CN"/>
              </w:rPr>
            </w:pPr>
            <w:r>
              <w:rPr>
                <w:rFonts w:hint="default"/>
                <w:color w:val="auto"/>
                <w:highlight w:val="none"/>
                <w:lang w:val="en-US" w:eastAsia="zh-CN"/>
              </w:rPr>
              <w:t>A优先保护单元：共76个，面积占比为64.35%，优先保护单元以生态环境保护优先为原则，依法禁止或限制大规模、高强度的工业开发和城镇建设，确保生态环境功能不降低。</w:t>
            </w:r>
          </w:p>
          <w:p w14:paraId="44789053">
            <w:pPr>
              <w:bidi w:val="0"/>
              <w:rPr>
                <w:rFonts w:hint="default"/>
                <w:color w:val="auto"/>
                <w:highlight w:val="none"/>
                <w:lang w:val="en-US" w:eastAsia="zh-CN"/>
              </w:rPr>
            </w:pPr>
            <w:r>
              <w:rPr>
                <w:rFonts w:hint="default"/>
                <w:color w:val="auto"/>
                <w:highlight w:val="none"/>
                <w:lang w:val="en-US" w:eastAsia="zh-CN"/>
              </w:rPr>
              <w:t>B重点管控单元：共86个，面积占比为28.1%，重点管控单元应不断提升资源利用效率，有针对性地加强污染物排放控制和环境风险防控，解决生态环境质量不达标、生态环境风险高等问题。</w:t>
            </w:r>
          </w:p>
          <w:p w14:paraId="04FD3045">
            <w:pPr>
              <w:bidi w:val="0"/>
              <w:rPr>
                <w:rFonts w:hint="default"/>
                <w:color w:val="auto"/>
                <w:highlight w:val="none"/>
                <w:lang w:val="en-US" w:eastAsia="zh-CN"/>
              </w:rPr>
            </w:pPr>
            <w:r>
              <w:rPr>
                <w:rFonts w:hint="default"/>
                <w:color w:val="auto"/>
                <w:highlight w:val="none"/>
                <w:lang w:val="en-US" w:eastAsia="zh-CN"/>
              </w:rPr>
              <w:t>C一般管控单元：共9个，面积占比为7.56%，除优先保护单元、重点管控单元之外为一般管控单元。</w:t>
            </w:r>
          </w:p>
          <w:p w14:paraId="09E41F44">
            <w:pPr>
              <w:bidi w:val="0"/>
              <w:rPr>
                <w:rFonts w:hint="default"/>
                <w:b/>
                <w:bCs/>
                <w:color w:val="auto"/>
                <w:highlight w:val="none"/>
                <w:lang w:val="en-US" w:eastAsia="zh-CN"/>
              </w:rPr>
            </w:pPr>
            <w:r>
              <w:rPr>
                <w:rFonts w:hint="default"/>
                <w:color w:val="auto"/>
                <w:highlight w:val="none"/>
                <w:lang w:val="en-US" w:eastAsia="zh-CN"/>
              </w:rPr>
              <w:t>该区域主要落实生态环境保护基本要求。本项目建设地点位于</w:t>
            </w:r>
            <w:r>
              <w:rPr>
                <w:rFonts w:hint="eastAsia"/>
                <w:color w:val="auto"/>
                <w:highlight w:val="none"/>
                <w:lang w:val="en-US" w:eastAsia="zh-CN"/>
              </w:rPr>
              <w:t>内蒙古自治区鄂尔多斯市伊金霍洛旗蒙苏经济开发区零碳产业园东片区</w:t>
            </w:r>
            <w:r>
              <w:rPr>
                <w:rFonts w:hint="default"/>
                <w:color w:val="auto"/>
                <w:highlight w:val="none"/>
                <w:lang w:val="en-US" w:eastAsia="zh-CN"/>
              </w:rPr>
              <w:t>，对照鄂尔多斯市生态环境管控分区图，本项目</w:t>
            </w:r>
            <w:r>
              <w:rPr>
                <w:rFonts w:hint="eastAsia"/>
                <w:color w:val="auto"/>
                <w:highlight w:val="none"/>
                <w:lang w:val="en-US" w:eastAsia="zh-CN"/>
              </w:rPr>
              <w:t>位于</w:t>
            </w:r>
            <w:r>
              <w:rPr>
                <w:rFonts w:hint="default"/>
                <w:color w:val="auto"/>
                <w:highlight w:val="none"/>
                <w:lang w:val="en-US" w:eastAsia="zh-CN"/>
              </w:rPr>
              <w:t>重点管控单元。</w:t>
            </w:r>
            <w:r>
              <w:rPr>
                <w:rFonts w:hint="eastAsia"/>
                <w:color w:val="auto"/>
                <w:highlight w:val="none"/>
                <w:lang w:val="en-US" w:eastAsia="zh-CN"/>
              </w:rPr>
              <w:t>本项目</w:t>
            </w:r>
            <w:r>
              <w:rPr>
                <w:rFonts w:hint="default"/>
                <w:color w:val="auto"/>
                <w:highlight w:val="none"/>
                <w:lang w:val="en-US" w:eastAsia="zh-CN"/>
              </w:rPr>
              <w:t>不涉及国家公园、自然保护区、风景名胜区、世界遗产、重要生境和集中式饮用水水源地及特殊地下水资源保护区等重要生态保护地，不在生态保护红线以内，符合生态保护红线要求。</w:t>
            </w:r>
          </w:p>
          <w:p w14:paraId="01B8EA4E">
            <w:pPr>
              <w:bidi w:val="0"/>
              <w:rPr>
                <w:rFonts w:hint="default"/>
                <w:b/>
                <w:bCs/>
                <w:color w:val="auto"/>
                <w:highlight w:val="none"/>
                <w:lang w:val="en-US" w:eastAsia="zh-CN"/>
              </w:rPr>
            </w:pPr>
            <w:r>
              <w:rPr>
                <w:rFonts w:hint="eastAsia"/>
                <w:b/>
                <w:bCs/>
                <w:color w:val="auto"/>
                <w:highlight w:val="none"/>
                <w:lang w:val="en-US" w:eastAsia="zh-CN"/>
              </w:rPr>
              <w:t>2、</w:t>
            </w:r>
            <w:r>
              <w:rPr>
                <w:rFonts w:hint="default"/>
                <w:b/>
                <w:bCs/>
                <w:color w:val="auto"/>
                <w:highlight w:val="none"/>
                <w:lang w:val="en-US" w:eastAsia="zh-CN"/>
              </w:rPr>
              <w:t>资源利用上线</w:t>
            </w:r>
          </w:p>
          <w:p w14:paraId="123D0066">
            <w:pPr>
              <w:bidi w:val="0"/>
              <w:rPr>
                <w:rFonts w:hint="default"/>
                <w:color w:val="auto"/>
                <w:highlight w:val="none"/>
                <w:lang w:val="en-US" w:eastAsia="zh-CN"/>
              </w:rPr>
            </w:pPr>
            <w:r>
              <w:rPr>
                <w:rFonts w:hint="default"/>
                <w:color w:val="auto"/>
                <w:highlight w:val="none"/>
                <w:lang w:val="en-US" w:eastAsia="zh-CN"/>
              </w:rPr>
              <w:t>本项目运营期</w:t>
            </w:r>
            <w:r>
              <w:rPr>
                <w:rFonts w:hint="eastAsia"/>
                <w:color w:val="auto"/>
                <w:highlight w:val="none"/>
                <w:lang w:val="en-US" w:eastAsia="zh-CN"/>
              </w:rPr>
              <w:t>生活用水由市政供水系统提供</w:t>
            </w:r>
            <w:r>
              <w:rPr>
                <w:rFonts w:hint="default"/>
                <w:color w:val="auto"/>
                <w:highlight w:val="none"/>
                <w:lang w:val="en-US" w:eastAsia="zh-CN"/>
              </w:rPr>
              <w:t>，</w:t>
            </w:r>
            <w:r>
              <w:rPr>
                <w:rFonts w:hint="eastAsia"/>
                <w:color w:val="auto"/>
                <w:highlight w:val="none"/>
                <w:lang w:val="en-US" w:eastAsia="zh-CN"/>
              </w:rPr>
              <w:t>无生产用水，</w:t>
            </w:r>
            <w:r>
              <w:rPr>
                <w:rFonts w:hint="default"/>
                <w:color w:val="auto"/>
                <w:highlight w:val="none"/>
                <w:lang w:val="en-US" w:eastAsia="zh-CN"/>
              </w:rPr>
              <w:t>生产</w:t>
            </w:r>
            <w:r>
              <w:rPr>
                <w:rFonts w:hint="eastAsia"/>
                <w:color w:val="auto"/>
                <w:highlight w:val="none"/>
                <w:lang w:val="en-US" w:eastAsia="zh-CN"/>
              </w:rPr>
              <w:t>用电由园区供电系统进行统一</w:t>
            </w:r>
            <w:r>
              <w:rPr>
                <w:rFonts w:hint="default"/>
                <w:color w:val="auto"/>
                <w:highlight w:val="none"/>
                <w:lang w:val="en-US" w:eastAsia="zh-CN"/>
              </w:rPr>
              <w:t>供电，消耗资源远低于区域资源利用总量。因此，项目资源利用满足要求。</w:t>
            </w:r>
          </w:p>
          <w:p w14:paraId="224CEE39">
            <w:pPr>
              <w:bidi w:val="0"/>
              <w:rPr>
                <w:rFonts w:hint="default"/>
                <w:b/>
                <w:bCs/>
                <w:color w:val="auto"/>
                <w:highlight w:val="none"/>
                <w:lang w:val="en-US" w:eastAsia="zh-CN"/>
              </w:rPr>
            </w:pPr>
            <w:r>
              <w:rPr>
                <w:rFonts w:hint="eastAsia"/>
                <w:b/>
                <w:bCs/>
                <w:color w:val="auto"/>
                <w:highlight w:val="none"/>
                <w:lang w:val="en-US" w:eastAsia="zh-CN"/>
              </w:rPr>
              <w:t>3、</w:t>
            </w:r>
            <w:r>
              <w:rPr>
                <w:rFonts w:hint="default"/>
                <w:b/>
                <w:bCs/>
                <w:color w:val="auto"/>
                <w:highlight w:val="none"/>
                <w:lang w:val="en-US" w:eastAsia="zh-CN"/>
              </w:rPr>
              <w:t>环境质量底线</w:t>
            </w:r>
          </w:p>
          <w:p w14:paraId="3FC9981A">
            <w:pPr>
              <w:bidi w:val="0"/>
              <w:rPr>
                <w:rFonts w:hint="eastAsia"/>
                <w:color w:val="auto"/>
                <w:highlight w:val="none"/>
                <w:lang w:val="en-US" w:eastAsia="zh-CN"/>
              </w:rPr>
            </w:pPr>
            <w:r>
              <w:rPr>
                <w:rFonts w:hint="default"/>
                <w:color w:val="auto"/>
                <w:highlight w:val="none"/>
                <w:lang w:val="en-US" w:eastAsia="zh-CN"/>
              </w:rPr>
              <w:t>本项目大气环境质量目标执行《环境空气质量标准》（GB3095-2012）二级标准。根据2025年5月29日内蒙古自治区生态环境厅发布的《2024年内蒙古自治区生态环境状况公报》，202</w:t>
            </w:r>
            <w:r>
              <w:rPr>
                <w:rFonts w:hint="eastAsia"/>
                <w:color w:val="auto"/>
                <w:highlight w:val="none"/>
                <w:lang w:val="en-US" w:eastAsia="zh-CN"/>
              </w:rPr>
              <w:t>4</w:t>
            </w:r>
            <w:r>
              <w:rPr>
                <w:rFonts w:hint="default"/>
                <w:color w:val="auto"/>
                <w:highlight w:val="none"/>
                <w:lang w:val="en-US" w:eastAsia="zh-CN"/>
              </w:rPr>
              <w:t>年鄂尔多斯市为达标区，项目评价区域环境空气基本项目中SO</w:t>
            </w:r>
            <w:r>
              <w:rPr>
                <w:rFonts w:hint="default"/>
                <w:color w:val="auto"/>
                <w:highlight w:val="none"/>
                <w:vertAlign w:val="subscript"/>
                <w:lang w:val="en-US" w:eastAsia="zh-CN"/>
              </w:rPr>
              <w:t>2</w:t>
            </w:r>
            <w:r>
              <w:rPr>
                <w:rFonts w:hint="default"/>
                <w:color w:val="auto"/>
                <w:highlight w:val="none"/>
                <w:lang w:val="en-US" w:eastAsia="zh-CN"/>
              </w:rPr>
              <w:t>、NO</w:t>
            </w:r>
            <w:r>
              <w:rPr>
                <w:rFonts w:hint="default"/>
                <w:color w:val="auto"/>
                <w:highlight w:val="none"/>
                <w:vertAlign w:val="subscript"/>
                <w:lang w:val="en-US" w:eastAsia="zh-CN"/>
              </w:rPr>
              <w:t>2</w:t>
            </w:r>
            <w:r>
              <w:rPr>
                <w:rFonts w:hint="default"/>
                <w:color w:val="auto"/>
                <w:highlight w:val="none"/>
                <w:lang w:val="en-US" w:eastAsia="zh-CN"/>
              </w:rPr>
              <w:t>、PM</w:t>
            </w:r>
            <w:r>
              <w:rPr>
                <w:rFonts w:hint="default"/>
                <w:color w:val="auto"/>
                <w:highlight w:val="none"/>
                <w:vertAlign w:val="subscript"/>
                <w:lang w:val="en-US" w:eastAsia="zh-CN"/>
              </w:rPr>
              <w:t>10</w:t>
            </w:r>
            <w:r>
              <w:rPr>
                <w:rFonts w:hint="default"/>
                <w:color w:val="auto"/>
                <w:highlight w:val="none"/>
                <w:lang w:val="en-US" w:eastAsia="zh-CN"/>
              </w:rPr>
              <w:t>、P</w:t>
            </w:r>
            <w:r>
              <w:rPr>
                <w:rFonts w:hint="eastAsia"/>
                <w:color w:val="auto"/>
                <w:highlight w:val="none"/>
                <w:lang w:val="en-US" w:eastAsia="zh-CN"/>
              </w:rPr>
              <w:t>㎡</w:t>
            </w:r>
            <w:r>
              <w:rPr>
                <w:rFonts w:hint="eastAsia"/>
                <w:color w:val="auto"/>
                <w:highlight w:val="none"/>
                <w:vertAlign w:val="subscript"/>
                <w:lang w:val="en-US" w:eastAsia="zh-CN"/>
              </w:rPr>
              <w:t>.5</w:t>
            </w:r>
            <w:r>
              <w:rPr>
                <w:rFonts w:hint="default"/>
                <w:color w:val="auto"/>
                <w:highlight w:val="none"/>
                <w:lang w:val="en-US" w:eastAsia="zh-CN"/>
              </w:rPr>
              <w:t>、O</w:t>
            </w:r>
            <w:r>
              <w:rPr>
                <w:rFonts w:hint="default"/>
                <w:color w:val="auto"/>
                <w:highlight w:val="none"/>
                <w:vertAlign w:val="subscript"/>
                <w:lang w:val="en-US" w:eastAsia="zh-CN"/>
              </w:rPr>
              <w:t>3</w:t>
            </w:r>
            <w:r>
              <w:rPr>
                <w:rFonts w:hint="default"/>
                <w:color w:val="auto"/>
                <w:highlight w:val="none"/>
                <w:lang w:val="en-US" w:eastAsia="zh-CN"/>
              </w:rPr>
              <w:t>、CO长期浓度均可达标，符合《环境空气质量标准》（GB3095-2012）二级标准，</w:t>
            </w:r>
            <w:r>
              <w:rPr>
                <w:rFonts w:hint="eastAsia"/>
                <w:color w:val="auto"/>
                <w:highlight w:val="none"/>
                <w:lang w:val="en-US" w:eastAsia="zh-CN"/>
              </w:rPr>
              <w:t>本项目引用《内蒙古鄂尔多斯蒙苏经济开发区国土空间总体规划（2021-2035年）江苏产业园环境影响评价》现状监测数据，本项目厂址下风向总悬浮颗粒物（TSP）日均值现状检测结果均符合《环境空气质量标准》（GB3095-2012）二级标准要求，非甲烷总烃1h浓度平均值满足《大气污染物综合排放标准详解》（国家环境保护局科技标准司）标准限值，满足《环境影响评价技术导则大气环境》（HJ2.2-2018）附录D中限值要求，项目区域大气环境质量良好。</w:t>
            </w:r>
          </w:p>
          <w:p w14:paraId="604E24D0">
            <w:pPr>
              <w:bidi w:val="0"/>
              <w:rPr>
                <w:rFonts w:hint="default"/>
                <w:color w:val="auto"/>
                <w:highlight w:val="none"/>
                <w:lang w:val="en-US" w:eastAsia="zh-CN"/>
              </w:rPr>
            </w:pPr>
            <w:r>
              <w:rPr>
                <w:rFonts w:hint="default"/>
                <w:color w:val="auto"/>
                <w:highlight w:val="none"/>
                <w:lang w:val="en-US" w:eastAsia="zh-CN"/>
              </w:rPr>
              <w:t>本</w:t>
            </w:r>
            <w:r>
              <w:rPr>
                <w:rFonts w:hint="default" w:ascii="Times New Roman" w:hAnsi="Times New Roman" w:eastAsia="宋体" w:cs="Times New Roman"/>
                <w:color w:val="auto"/>
                <w:highlight w:val="none"/>
                <w:lang w:val="en-US" w:eastAsia="zh-CN"/>
              </w:rPr>
              <w:t>项目生活污水直接排入市政污水管网，无</w:t>
            </w:r>
            <w:r>
              <w:rPr>
                <w:rFonts w:hint="eastAsia" w:ascii="Times New Roman" w:hAnsi="Times New Roman" w:eastAsia="宋体" w:cs="Times New Roman"/>
                <w:color w:val="auto"/>
                <w:highlight w:val="none"/>
                <w:lang w:val="en-US" w:eastAsia="zh-CN"/>
              </w:rPr>
              <w:t>生产废水</w:t>
            </w:r>
            <w:r>
              <w:rPr>
                <w:rFonts w:hint="default" w:ascii="Times New Roman" w:hAnsi="Times New Roman" w:eastAsia="宋体" w:cs="Times New Roman"/>
                <w:color w:val="auto"/>
                <w:highlight w:val="none"/>
                <w:lang w:val="en-US" w:eastAsia="zh-CN"/>
              </w:rPr>
              <w:t>，不会影响区域地下水环境质量。</w:t>
            </w:r>
            <w:r>
              <w:rPr>
                <w:rFonts w:hint="default"/>
                <w:color w:val="auto"/>
                <w:highlight w:val="none"/>
                <w:lang w:val="en-US" w:eastAsia="zh-CN"/>
              </w:rPr>
              <w:t>本项目运营后会产生一定的污染物，但在采取相应的污染防治措施后，各类污染物的排放一般不会对周边环境造成不良影响，即不会改变区域环境功能区质量要求，能维持环境功能区质量现状。</w:t>
            </w:r>
          </w:p>
          <w:p w14:paraId="463BB263">
            <w:pPr>
              <w:bidi w:val="0"/>
              <w:rPr>
                <w:rFonts w:hint="default"/>
                <w:color w:val="auto"/>
                <w:highlight w:val="none"/>
                <w:lang w:val="en-US" w:eastAsia="zh-CN"/>
              </w:rPr>
            </w:pPr>
            <w:r>
              <w:rPr>
                <w:rFonts w:hint="default"/>
                <w:color w:val="auto"/>
                <w:highlight w:val="none"/>
                <w:lang w:val="en-US" w:eastAsia="zh-CN"/>
              </w:rPr>
              <w:t>综上，本工程的实施符合环境质量底线的要求。</w:t>
            </w:r>
          </w:p>
          <w:p w14:paraId="47BDE8C0">
            <w:pPr>
              <w:bidi w:val="0"/>
              <w:rPr>
                <w:rFonts w:hint="default"/>
                <w:b/>
                <w:bCs/>
                <w:color w:val="auto"/>
                <w:highlight w:val="none"/>
                <w:lang w:val="en-US" w:eastAsia="zh-CN"/>
              </w:rPr>
            </w:pPr>
            <w:r>
              <w:rPr>
                <w:rFonts w:hint="eastAsia"/>
                <w:b/>
                <w:bCs/>
                <w:color w:val="auto"/>
                <w:highlight w:val="none"/>
                <w:lang w:val="en-US" w:eastAsia="zh-CN"/>
              </w:rPr>
              <w:t>4、</w:t>
            </w:r>
            <w:r>
              <w:rPr>
                <w:rFonts w:hint="default"/>
                <w:b/>
                <w:bCs/>
                <w:color w:val="auto"/>
                <w:highlight w:val="none"/>
                <w:lang w:val="en-US" w:eastAsia="zh-CN"/>
              </w:rPr>
              <w:t>生态环境准入清单</w:t>
            </w:r>
          </w:p>
          <w:p w14:paraId="372A0BFE">
            <w:pPr>
              <w:bidi w:val="0"/>
              <w:rPr>
                <w:rFonts w:hint="default"/>
                <w:color w:val="auto"/>
                <w:highlight w:val="none"/>
                <w:lang w:val="en-US" w:eastAsia="zh-CN"/>
              </w:rPr>
            </w:pPr>
            <w:r>
              <w:rPr>
                <w:rFonts w:hint="default"/>
                <w:color w:val="auto"/>
                <w:highlight w:val="none"/>
                <w:lang w:val="en-US" w:eastAsia="zh-CN"/>
              </w:rPr>
              <w:t>根据《</w:t>
            </w:r>
            <w:bookmarkStart w:id="2" w:name="_Toc144984188"/>
            <w:bookmarkStart w:id="3" w:name="_Toc143185517"/>
            <w:r>
              <w:rPr>
                <w:rFonts w:hint="default"/>
                <w:color w:val="auto"/>
                <w:highlight w:val="none"/>
                <w:lang w:val="en-US" w:eastAsia="zh-CN"/>
              </w:rPr>
              <w:t>鄂尔多斯市生态环境管控准入清单</w:t>
            </w:r>
            <w:bookmarkEnd w:id="2"/>
            <w:bookmarkEnd w:id="3"/>
            <w:r>
              <w:rPr>
                <w:rFonts w:hint="default"/>
                <w:color w:val="auto"/>
                <w:highlight w:val="none"/>
                <w:lang w:val="en-US" w:eastAsia="zh-CN"/>
              </w:rPr>
              <w:t>》（2023年），本项目位于</w:t>
            </w:r>
            <w:r>
              <w:rPr>
                <w:rFonts w:hint="eastAsia"/>
                <w:color w:val="auto"/>
                <w:highlight w:val="none"/>
                <w:lang w:val="en-US" w:eastAsia="zh-CN"/>
              </w:rPr>
              <w:t>内蒙古自治区鄂尔多斯市伊金霍洛旗蒙苏经济开发区零碳产业园东片区内建设</w:t>
            </w:r>
            <w:r>
              <w:rPr>
                <w:rFonts w:hint="default"/>
                <w:color w:val="auto"/>
                <w:highlight w:val="none"/>
                <w:lang w:val="en-US" w:eastAsia="zh-CN"/>
              </w:rPr>
              <w:t>，属于蒙苏经济开发区，为重点管控单元，管控单位编码ZH15062720001，管控单元相关符合性分析见下表，项目与环境管控单元位置关系图。</w:t>
            </w:r>
          </w:p>
          <w:p w14:paraId="67E8E536">
            <w:pPr>
              <w:bidi w:val="0"/>
              <w:rPr>
                <w:rFonts w:hint="default"/>
                <w:b/>
                <w:bCs/>
                <w:color w:val="auto"/>
                <w:highlight w:val="none"/>
                <w:lang w:val="en-US" w:eastAsia="zh-CN"/>
              </w:rPr>
            </w:pPr>
            <w:r>
              <w:rPr>
                <w:rFonts w:hint="default"/>
                <w:b/>
                <w:bCs/>
                <w:color w:val="auto"/>
                <w:highlight w:val="none"/>
                <w:lang w:val="en-US" w:eastAsia="zh-CN"/>
              </w:rPr>
              <w:t>表1-</w:t>
            </w:r>
            <w:r>
              <w:rPr>
                <w:rFonts w:hint="eastAsia"/>
                <w:b/>
                <w:bCs/>
                <w:color w:val="auto"/>
                <w:highlight w:val="none"/>
                <w:lang w:val="en-US" w:eastAsia="zh-CN"/>
              </w:rPr>
              <w:t>3</w:t>
            </w:r>
            <w:r>
              <w:rPr>
                <w:rFonts w:hint="default"/>
                <w:b/>
                <w:bCs/>
                <w:color w:val="auto"/>
                <w:highlight w:val="none"/>
                <w:lang w:val="en-US" w:eastAsia="zh-CN"/>
              </w:rPr>
              <w:t>本项目与生态环境准入清单符合性分析一览表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2822"/>
              <w:gridCol w:w="2215"/>
              <w:gridCol w:w="734"/>
            </w:tblGrid>
            <w:tr w14:paraId="3775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09" w:type="dxa"/>
                  <w:gridSpan w:val="2"/>
                  <w:noWrap w:val="0"/>
                  <w:tcMar>
                    <w:left w:w="28" w:type="dxa"/>
                    <w:right w:w="28" w:type="dxa"/>
                  </w:tcMar>
                  <w:vAlign w:val="center"/>
                </w:tcPr>
                <w:p w14:paraId="41BAC7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管控要求</w:t>
                  </w:r>
                </w:p>
              </w:tc>
              <w:tc>
                <w:tcPr>
                  <w:tcW w:w="2215" w:type="dxa"/>
                  <w:noWrap w:val="0"/>
                  <w:tcMar>
                    <w:left w:w="28" w:type="dxa"/>
                    <w:right w:w="28" w:type="dxa"/>
                  </w:tcMar>
                  <w:vAlign w:val="center"/>
                </w:tcPr>
                <w:p w14:paraId="5F1EC6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本项目</w:t>
                  </w:r>
                </w:p>
              </w:tc>
              <w:tc>
                <w:tcPr>
                  <w:tcW w:w="734" w:type="dxa"/>
                  <w:noWrap w:val="0"/>
                  <w:tcMar>
                    <w:left w:w="28" w:type="dxa"/>
                    <w:right w:w="28" w:type="dxa"/>
                  </w:tcMar>
                  <w:vAlign w:val="center"/>
                </w:tcPr>
                <w:p w14:paraId="3748C8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符合性</w:t>
                  </w:r>
                </w:p>
              </w:tc>
            </w:tr>
            <w:tr w14:paraId="07D3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4" w:hRule="atLeast"/>
                <w:jc w:val="center"/>
              </w:trPr>
              <w:tc>
                <w:tcPr>
                  <w:tcW w:w="687" w:type="dxa"/>
                  <w:noWrap w:val="0"/>
                  <w:tcMar>
                    <w:left w:w="28" w:type="dxa"/>
                    <w:right w:w="28" w:type="dxa"/>
                  </w:tcMar>
                  <w:vAlign w:val="center"/>
                </w:tcPr>
                <w:p w14:paraId="1D6498C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空间布局约束</w:t>
                  </w:r>
                </w:p>
              </w:tc>
              <w:tc>
                <w:tcPr>
                  <w:tcW w:w="2822" w:type="dxa"/>
                  <w:noWrap w:val="0"/>
                  <w:tcMar>
                    <w:left w:w="28" w:type="dxa"/>
                    <w:right w:w="28" w:type="dxa"/>
                  </w:tcMar>
                  <w:vAlign w:val="center"/>
                </w:tcPr>
                <w:p w14:paraId="17C26F7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1.禁止不符合园区产业定位及规划环评等要求的项目入园；国家明令淘汰的落后产能和不符合国家产业政策的项目，禁止向工业园区转移。</w:t>
                  </w:r>
                </w:p>
                <w:p w14:paraId="7D039C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鄂尔多斯江苏工业园区：</w:t>
                  </w:r>
                </w:p>
                <w:p w14:paraId="40ED1AD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color w:val="auto"/>
                      <w:highlight w:val="none"/>
                      <w:lang w:eastAsia="zh-CN"/>
                    </w:rPr>
                  </w:pPr>
                  <w:r>
                    <w:rPr>
                      <w:color w:val="auto"/>
                      <w:highlight w:val="none"/>
                    </w:rPr>
                    <w:t>1.重点培育发展高端装备制造、高新技术和战略性新兴产业，禁止发展生物发酵类、印染类等高污染产业。</w:t>
                  </w:r>
                </w:p>
                <w:p w14:paraId="4C0CE08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2.园区产业生产工艺达到国内先进水平（二级以上）。</w:t>
                  </w:r>
                </w:p>
                <w:p w14:paraId="5010A1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3.居住用地周边严控布局潜在污染扰民和环境风险突出的建设项目。</w:t>
                  </w:r>
                </w:p>
              </w:tc>
              <w:tc>
                <w:tcPr>
                  <w:tcW w:w="2215" w:type="dxa"/>
                  <w:noWrap w:val="0"/>
                  <w:tcMar>
                    <w:left w:w="28" w:type="dxa"/>
                    <w:right w:w="28" w:type="dxa"/>
                  </w:tcMar>
                  <w:vAlign w:val="center"/>
                </w:tcPr>
                <w:p w14:paraId="0DCE04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w:t>
                  </w:r>
                  <w:r>
                    <w:rPr>
                      <w:rFonts w:hint="eastAsia"/>
                      <w:color w:val="auto"/>
                      <w:highlight w:val="none"/>
                    </w:rPr>
                    <w:t>.</w:t>
                  </w:r>
                  <w:r>
                    <w:rPr>
                      <w:color w:val="auto"/>
                      <w:highlight w:val="none"/>
                    </w:rPr>
                    <w:t>本项目为</w:t>
                  </w:r>
                  <w:r>
                    <w:rPr>
                      <w:rFonts w:hint="eastAsia"/>
                      <w:color w:val="auto"/>
                      <w:highlight w:val="none"/>
                      <w:lang w:eastAsia="zh-CN"/>
                    </w:rPr>
                    <w:t>喷漆房建设项目</w:t>
                  </w:r>
                  <w:r>
                    <w:rPr>
                      <w:color w:val="auto"/>
                      <w:highlight w:val="none"/>
                    </w:rPr>
                    <w:t>，</w:t>
                  </w:r>
                  <w:r>
                    <w:rPr>
                      <w:rFonts w:hint="eastAsia"/>
                      <w:color w:val="auto"/>
                      <w:highlight w:val="none"/>
                      <w:lang w:val="en-US" w:eastAsia="zh-CN"/>
                    </w:rPr>
                    <w:t>不属于国家明令淘汰落后产能和不符合国家产业政策的项目</w:t>
                  </w:r>
                  <w:r>
                    <w:rPr>
                      <w:color w:val="auto"/>
                      <w:highlight w:val="none"/>
                    </w:rPr>
                    <w:t>；</w:t>
                  </w:r>
                </w:p>
                <w:p w14:paraId="5E85782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鄂尔多斯江苏工业园区：</w:t>
                  </w:r>
                </w:p>
                <w:p w14:paraId="6D8EFB8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w:t>
                  </w:r>
                  <w:r>
                    <w:rPr>
                      <w:rFonts w:hint="eastAsia"/>
                      <w:color w:val="auto"/>
                      <w:highlight w:val="none"/>
                    </w:rPr>
                    <w:t>.</w:t>
                  </w:r>
                  <w:r>
                    <w:rPr>
                      <w:color w:val="auto"/>
                      <w:highlight w:val="none"/>
                    </w:rPr>
                    <w:t>本项目不涉及生物发酵类、印染类等高污染产业</w:t>
                  </w:r>
                  <w:r>
                    <w:rPr>
                      <w:rFonts w:hint="eastAsia"/>
                      <w:color w:val="auto"/>
                      <w:highlight w:val="none"/>
                    </w:rPr>
                    <w:t>；</w:t>
                  </w:r>
                </w:p>
                <w:p w14:paraId="77047A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w:t>
                  </w:r>
                  <w:r>
                    <w:rPr>
                      <w:color w:val="auto"/>
                      <w:highlight w:val="none"/>
                    </w:rPr>
                    <w:t>本项目生产工艺达到国内先进水平；</w:t>
                  </w:r>
                </w:p>
                <w:p w14:paraId="5EF282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w:t>
                  </w:r>
                  <w:r>
                    <w:rPr>
                      <w:rFonts w:hint="eastAsia"/>
                      <w:color w:val="auto"/>
                      <w:highlight w:val="none"/>
                    </w:rPr>
                    <w:t>.</w:t>
                  </w:r>
                  <w:r>
                    <w:rPr>
                      <w:color w:val="auto"/>
                      <w:highlight w:val="none"/>
                    </w:rPr>
                    <w:t>本项目500m范围内无环境敏感目标。</w:t>
                  </w:r>
                </w:p>
              </w:tc>
              <w:tc>
                <w:tcPr>
                  <w:tcW w:w="734" w:type="dxa"/>
                  <w:noWrap w:val="0"/>
                  <w:tcMar>
                    <w:left w:w="28" w:type="dxa"/>
                    <w:right w:w="28" w:type="dxa"/>
                  </w:tcMar>
                  <w:vAlign w:val="center"/>
                </w:tcPr>
                <w:p w14:paraId="0758A47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r w14:paraId="08DD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tcMar>
                    <w:left w:w="28" w:type="dxa"/>
                    <w:right w:w="28" w:type="dxa"/>
                  </w:tcMar>
                  <w:vAlign w:val="center"/>
                </w:tcPr>
                <w:p w14:paraId="13EC19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污染物排放管控</w:t>
                  </w:r>
                </w:p>
              </w:tc>
              <w:tc>
                <w:tcPr>
                  <w:tcW w:w="2822" w:type="dxa"/>
                  <w:noWrap w:val="0"/>
                  <w:tcMar>
                    <w:left w:w="28" w:type="dxa"/>
                    <w:right w:w="28" w:type="dxa"/>
                  </w:tcMar>
                  <w:vAlign w:val="center"/>
                </w:tcPr>
                <w:p w14:paraId="60EC1B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1.按“清污分流”、“雨污分流”、“污污分流”原则，污水应收尽收，全部回用或作为景观用水不外排。</w:t>
                  </w:r>
                </w:p>
                <w:p w14:paraId="7538BB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推进高含盐水“零排放”，稳定运行高盐水深度处理和分盐结晶设施，完善配套设施、优化工艺技术，确保高盐水全部结晶处理，严禁排入晾晒池。加快现有晾晒池取缔或转变功能，禁止新建晾晒池、蒸发塘</w:t>
                  </w:r>
                  <w:r>
                    <w:rPr>
                      <w:color w:val="auto"/>
                      <w:highlight w:val="none"/>
                    </w:rPr>
                    <w:t>。</w:t>
                  </w:r>
                </w:p>
                <w:p w14:paraId="278F65B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3.涉VOCs项目应使用低（无）VOCs含量的原辅材料，安装废气收集、高效治理设施。</w:t>
                  </w:r>
                </w:p>
                <w:p w14:paraId="06D813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4.园区实施集中供热，禁止企业自建燃煤锅炉，燃煤发电机组执行大气污染物超低排放限值。</w:t>
                  </w:r>
                </w:p>
              </w:tc>
              <w:tc>
                <w:tcPr>
                  <w:tcW w:w="2215" w:type="dxa"/>
                  <w:noWrap w:val="0"/>
                  <w:tcMar>
                    <w:left w:w="28" w:type="dxa"/>
                    <w:right w:w="28" w:type="dxa"/>
                  </w:tcMar>
                  <w:vAlign w:val="center"/>
                </w:tcPr>
                <w:p w14:paraId="434BC0E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本项目无生产废水</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生活污水直接排入市政污水管网进行处置</w:t>
                  </w:r>
                  <w:r>
                    <w:rPr>
                      <w:rFonts w:ascii="Times New Roman" w:hAnsi="Times New Roman" w:eastAsia="宋体" w:cs="Times New Roman"/>
                      <w:color w:val="auto"/>
                      <w:highlight w:val="none"/>
                    </w:rPr>
                    <w:t>。</w:t>
                  </w:r>
                </w:p>
                <w:p w14:paraId="07EB117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w:t>
                  </w:r>
                  <w:r>
                    <w:rPr>
                      <w:color w:val="auto"/>
                      <w:highlight w:val="none"/>
                    </w:rPr>
                    <w:t>本项目不涉及浓盐水。</w:t>
                  </w:r>
                </w:p>
                <w:p w14:paraId="7FE481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3.本项目</w:t>
                  </w:r>
                  <w:r>
                    <w:rPr>
                      <w:rFonts w:hint="eastAsia" w:ascii="Times New Roman" w:hAnsi="Times New Roman" w:eastAsia="宋体" w:cs="Times New Roman"/>
                      <w:color w:val="auto"/>
                      <w:highlight w:val="none"/>
                      <w:lang w:val="en-US" w:eastAsia="zh-CN"/>
                    </w:rPr>
                    <w:t>喷漆过程于专用封闭喷漆房内进行，</w:t>
                  </w:r>
                  <w:r>
                    <w:rPr>
                      <w:rFonts w:hint="eastAsia" w:cs="Times New Roman"/>
                      <w:color w:val="auto"/>
                      <w:highlight w:val="none"/>
                      <w:lang w:val="en-US" w:eastAsia="zh-CN"/>
                    </w:rPr>
                    <w:t>喷漆废气经负压收集</w:t>
                  </w:r>
                  <w:r>
                    <w:rPr>
                      <w:rFonts w:hint="eastAsia" w:ascii="Times New Roman" w:hAnsi="Times New Roman" w:eastAsia="宋体" w:cs="Times New Roman"/>
                      <w:color w:val="auto"/>
                      <w:highlight w:val="none"/>
                      <w:lang w:val="en-US" w:eastAsia="zh-CN"/>
                    </w:rPr>
                    <w:t>引至干式过滤器（迷宫纸盒）+过滤棉+二级活性炭吸附装置处理后，由15m高排气筒（</w:t>
                  </w:r>
                  <w:r>
                    <w:rPr>
                      <w:rFonts w:hint="eastAsia" w:cs="Times New Roman"/>
                      <w:color w:val="auto"/>
                      <w:highlight w:val="none"/>
                      <w:lang w:val="en-US" w:eastAsia="zh-CN"/>
                    </w:rPr>
                    <w:t>DA002</w:t>
                  </w:r>
                  <w:r>
                    <w:rPr>
                      <w:rFonts w:hint="eastAsia" w:ascii="Times New Roman" w:hAnsi="Times New Roman" w:eastAsia="宋体" w:cs="Times New Roman"/>
                      <w:color w:val="auto"/>
                      <w:highlight w:val="none"/>
                      <w:lang w:val="en-US" w:eastAsia="zh-CN"/>
                    </w:rPr>
                    <w:t>）排放。</w:t>
                  </w:r>
                </w:p>
                <w:p w14:paraId="50421B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4</w:t>
                  </w:r>
                  <w:r>
                    <w:rPr>
                      <w:rFonts w:hint="eastAsia"/>
                      <w:color w:val="auto"/>
                      <w:highlight w:val="none"/>
                    </w:rPr>
                    <w:t>.</w:t>
                  </w:r>
                  <w:r>
                    <w:rPr>
                      <w:color w:val="auto"/>
                      <w:highlight w:val="none"/>
                    </w:rPr>
                    <w:t>本项目</w:t>
                  </w:r>
                  <w:r>
                    <w:rPr>
                      <w:rFonts w:hint="eastAsia"/>
                      <w:color w:val="auto"/>
                      <w:highlight w:val="none"/>
                    </w:rPr>
                    <w:t>不涉及</w:t>
                  </w:r>
                  <w:r>
                    <w:rPr>
                      <w:color w:val="auto"/>
                      <w:highlight w:val="none"/>
                    </w:rPr>
                    <w:t>供热。</w:t>
                  </w:r>
                </w:p>
              </w:tc>
              <w:tc>
                <w:tcPr>
                  <w:tcW w:w="734" w:type="dxa"/>
                  <w:noWrap w:val="0"/>
                  <w:tcMar>
                    <w:left w:w="28" w:type="dxa"/>
                    <w:right w:w="28" w:type="dxa"/>
                  </w:tcMar>
                  <w:vAlign w:val="center"/>
                </w:tcPr>
                <w:p w14:paraId="07C53E0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r w14:paraId="76E5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noWrap w:val="0"/>
                  <w:tcMar>
                    <w:left w:w="28" w:type="dxa"/>
                    <w:right w:w="28" w:type="dxa"/>
                  </w:tcMar>
                  <w:vAlign w:val="center"/>
                </w:tcPr>
                <w:p w14:paraId="75A2361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环境风险管控</w:t>
                  </w:r>
                </w:p>
              </w:tc>
              <w:tc>
                <w:tcPr>
                  <w:tcW w:w="2822" w:type="dxa"/>
                  <w:noWrap w:val="0"/>
                  <w:tcMar>
                    <w:left w:w="28" w:type="dxa"/>
                    <w:right w:w="28" w:type="dxa"/>
                  </w:tcMar>
                  <w:vAlign w:val="center"/>
                </w:tcPr>
                <w:p w14:paraId="18B6C5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eastAsia="zh-CN"/>
                    </w:rPr>
                  </w:pPr>
                  <w:r>
                    <w:rPr>
                      <w:rFonts w:hint="eastAsia"/>
                      <w:color w:val="auto"/>
                      <w:highlight w:val="none"/>
                    </w:rPr>
                    <w:t>1.完善区域环境风险防范机制，有效防范环境风险。建立和不断完善环境风险</w:t>
                  </w:r>
                  <w:r>
                    <w:rPr>
                      <w:rFonts w:hint="eastAsia"/>
                      <w:color w:val="auto"/>
                      <w:highlight w:val="none"/>
                      <w:lang w:eastAsia="zh-CN"/>
                    </w:rPr>
                    <w:t>防范</w:t>
                  </w:r>
                  <w:r>
                    <w:rPr>
                      <w:rFonts w:hint="eastAsia"/>
                      <w:color w:val="auto"/>
                      <w:highlight w:val="none"/>
                    </w:rPr>
                    <w:t>机制和应急体系，构建有效的区域环境风险联防联控机制，最大限度降低环境风险</w:t>
                  </w:r>
                  <w:r>
                    <w:rPr>
                      <w:rFonts w:hint="eastAsia"/>
                      <w:color w:val="auto"/>
                      <w:highlight w:val="none"/>
                      <w:lang w:eastAsia="zh-CN"/>
                    </w:rPr>
                    <w:t>。</w:t>
                  </w:r>
                </w:p>
                <w:p w14:paraId="3A37C48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rFonts w:hint="eastAsia"/>
                      <w:color w:val="auto"/>
                      <w:highlight w:val="none"/>
                    </w:rPr>
                    <w:t>2.园区煤化工企业推进高盐水晾晒池风险防控和监管，消除水环境风险隐患。加强高盐水晾晒池风险隐患排查，消除溃坝、溢流风险，确保晾晒池安全运行。</w:t>
                  </w:r>
                </w:p>
              </w:tc>
              <w:tc>
                <w:tcPr>
                  <w:tcW w:w="2215" w:type="dxa"/>
                  <w:noWrap w:val="0"/>
                  <w:tcMar>
                    <w:left w:w="28" w:type="dxa"/>
                    <w:right w:w="28" w:type="dxa"/>
                  </w:tcMar>
                  <w:vAlign w:val="center"/>
                </w:tcPr>
                <w:p w14:paraId="418CB0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1.评价要求项目投入运营后，及时制定环境风险应急预案，并在当地环保部门备案，同时，定期开展应急演练。</w:t>
                  </w:r>
                </w:p>
                <w:p w14:paraId="7D6462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2.本项目不涉及高盐水。</w:t>
                  </w:r>
                </w:p>
              </w:tc>
              <w:tc>
                <w:tcPr>
                  <w:tcW w:w="734" w:type="dxa"/>
                  <w:noWrap w:val="0"/>
                  <w:tcMar>
                    <w:left w:w="28" w:type="dxa"/>
                    <w:right w:w="28" w:type="dxa"/>
                  </w:tcMar>
                  <w:vAlign w:val="center"/>
                </w:tcPr>
                <w:p w14:paraId="3B1A01F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r w14:paraId="5724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4" w:hRule="atLeast"/>
                <w:jc w:val="center"/>
              </w:trPr>
              <w:tc>
                <w:tcPr>
                  <w:tcW w:w="687" w:type="dxa"/>
                  <w:noWrap w:val="0"/>
                  <w:tcMar>
                    <w:left w:w="28" w:type="dxa"/>
                    <w:right w:w="28" w:type="dxa"/>
                  </w:tcMar>
                  <w:vAlign w:val="center"/>
                </w:tcPr>
                <w:p w14:paraId="7D156A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资源利用效率要求</w:t>
                  </w:r>
                </w:p>
              </w:tc>
              <w:tc>
                <w:tcPr>
                  <w:tcW w:w="2822" w:type="dxa"/>
                  <w:noWrap w:val="0"/>
                  <w:tcMar>
                    <w:left w:w="28" w:type="dxa"/>
                    <w:right w:w="28" w:type="dxa"/>
                  </w:tcMar>
                  <w:vAlign w:val="center"/>
                </w:tcPr>
                <w:p w14:paraId="1014014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1.严格“以水定产业、以水定规模”，做好节水工作，按分质供水原则，合理进行水资源分配，优先使用疏干水、污水处理厂中水。</w:t>
                  </w:r>
                </w:p>
                <w:p w14:paraId="5647BA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2.严控地下水超采。新建、改建、扩建的高耗水工业项目，禁止擅自使用地下水。食品、制药等项目取用地下水，须经有管理权限的水行政主管部门批准。</w:t>
                  </w:r>
                </w:p>
                <w:p w14:paraId="0B209B7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3.</w:t>
                  </w:r>
                  <w:r>
                    <w:rPr>
                      <w:rFonts w:hint="eastAsia"/>
                      <w:color w:val="auto"/>
                      <w:highlight w:val="none"/>
                    </w:rPr>
                    <w:t>实施园区可再</w:t>
                  </w:r>
                  <w:r>
                    <w:rPr>
                      <w:rFonts w:hint="eastAsia"/>
                      <w:color w:val="auto"/>
                      <w:highlight w:val="none"/>
                      <w:lang w:val="en-US" w:eastAsia="zh-CN"/>
                    </w:rPr>
                    <w:t>生</w:t>
                  </w:r>
                  <w:r>
                    <w:rPr>
                      <w:rFonts w:hint="eastAsia"/>
                      <w:color w:val="auto"/>
                      <w:highlight w:val="none"/>
                    </w:rPr>
                    <w:t>能源替代行动，推动园区企业采用新能源供能方式进行电能替代，打造低碳、零碳示范园区。</w:t>
                  </w:r>
                </w:p>
              </w:tc>
              <w:tc>
                <w:tcPr>
                  <w:tcW w:w="2215" w:type="dxa"/>
                  <w:noWrap w:val="0"/>
                  <w:tcMar>
                    <w:left w:w="28" w:type="dxa"/>
                    <w:right w:w="28" w:type="dxa"/>
                  </w:tcMar>
                  <w:vAlign w:val="center"/>
                </w:tcPr>
                <w:p w14:paraId="4ED0AF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本项目</w:t>
                  </w:r>
                  <w:r>
                    <w:rPr>
                      <w:rFonts w:ascii="Times New Roman" w:hAnsi="Times New Roman" w:eastAsia="宋体" w:cs="Times New Roman"/>
                      <w:color w:val="auto"/>
                      <w:highlight w:val="none"/>
                      <w:lang w:val="pt-BR"/>
                    </w:rPr>
                    <w:t>无生产用水</w:t>
                  </w:r>
                  <w:r>
                    <w:rPr>
                      <w:rFonts w:hint="eastAsia" w:ascii="Times New Roman" w:hAnsi="Times New Roman" w:eastAsia="宋体" w:cs="Times New Roman"/>
                      <w:color w:val="auto"/>
                      <w:highlight w:val="none"/>
                      <w:lang w:val="pt-BR" w:eastAsia="zh-CN"/>
                    </w:rPr>
                    <w:t>，</w:t>
                  </w:r>
                  <w:r>
                    <w:rPr>
                      <w:rFonts w:hint="eastAsia" w:ascii="Times New Roman" w:hAnsi="Times New Roman" w:eastAsia="宋体" w:cs="Times New Roman"/>
                      <w:color w:val="auto"/>
                      <w:highlight w:val="none"/>
                      <w:lang w:val="en-US" w:eastAsia="zh-CN"/>
                    </w:rPr>
                    <w:t>生活用水为市政供水管网进行供水。</w:t>
                  </w:r>
                </w:p>
                <w:p w14:paraId="328055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2</w:t>
                  </w:r>
                  <w:r>
                    <w:rPr>
                      <w:rFonts w:hint="eastAsia"/>
                      <w:color w:val="auto"/>
                      <w:highlight w:val="none"/>
                    </w:rPr>
                    <w:t>.</w:t>
                  </w:r>
                  <w:r>
                    <w:rPr>
                      <w:color w:val="auto"/>
                      <w:highlight w:val="none"/>
                    </w:rPr>
                    <w:t>本项目不属于高耗水行业，不涉及使用地下水。</w:t>
                  </w:r>
                </w:p>
                <w:p w14:paraId="34B9A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rFonts w:hint="eastAsia"/>
                      <w:color w:val="auto"/>
                      <w:highlight w:val="none"/>
                    </w:rPr>
                    <w:t>3.本项目耗电量较少。</w:t>
                  </w:r>
                </w:p>
              </w:tc>
              <w:tc>
                <w:tcPr>
                  <w:tcW w:w="734" w:type="dxa"/>
                  <w:noWrap w:val="0"/>
                  <w:tcMar>
                    <w:left w:w="28" w:type="dxa"/>
                    <w:right w:w="28" w:type="dxa"/>
                  </w:tcMar>
                  <w:vAlign w:val="center"/>
                </w:tcPr>
                <w:p w14:paraId="386D25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auto"/>
                      <w:highlight w:val="none"/>
                    </w:rPr>
                  </w:pPr>
                  <w:r>
                    <w:rPr>
                      <w:color w:val="auto"/>
                      <w:highlight w:val="none"/>
                    </w:rPr>
                    <w:t>符合</w:t>
                  </w:r>
                </w:p>
              </w:tc>
            </w:tr>
          </w:tbl>
          <w:p w14:paraId="14BB7874">
            <w:pPr>
              <w:bidi w:val="0"/>
              <w:ind w:left="0" w:leftChars="0" w:firstLine="0" w:firstLineChars="0"/>
              <w:jc w:val="center"/>
              <w:rPr>
                <w:rFonts w:hint="default"/>
                <w:color w:val="auto"/>
                <w:highlight w:val="none"/>
                <w:lang w:val="en-US" w:eastAsia="zh-CN"/>
              </w:rPr>
            </w:pPr>
            <w:r>
              <w:rPr>
                <w:color w:val="auto"/>
                <w:highlight w:val="none"/>
              </w:rPr>
              <w:drawing>
                <wp:inline distT="0" distB="0" distL="114300" distR="114300">
                  <wp:extent cx="4133215" cy="3204845"/>
                  <wp:effectExtent l="0" t="0" r="635" b="14605"/>
                  <wp:docPr id="35"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2"/>
                          <pic:cNvPicPr>
                            <a:picLocks noChangeAspect="1"/>
                          </pic:cNvPicPr>
                        </pic:nvPicPr>
                        <pic:blipFill>
                          <a:blip r:embed="rId15"/>
                          <a:stretch>
                            <a:fillRect/>
                          </a:stretch>
                        </pic:blipFill>
                        <pic:spPr>
                          <a:xfrm>
                            <a:off x="0" y="0"/>
                            <a:ext cx="4133215" cy="3204845"/>
                          </a:xfrm>
                          <a:prstGeom prst="rect">
                            <a:avLst/>
                          </a:prstGeom>
                          <a:noFill/>
                          <a:ln>
                            <a:noFill/>
                          </a:ln>
                        </pic:spPr>
                      </pic:pic>
                    </a:graphicData>
                  </a:graphic>
                </wp:inline>
              </w:drawing>
            </w:r>
          </w:p>
          <w:p w14:paraId="79A2B7FC">
            <w:pPr>
              <w:bidi w:val="0"/>
              <w:ind w:left="0" w:leftChars="0" w:firstLine="0" w:firstLineChars="0"/>
              <w:jc w:val="center"/>
              <w:rPr>
                <w:rFonts w:hint="default"/>
                <w:b/>
                <w:bCs/>
                <w:color w:val="auto"/>
                <w:highlight w:val="none"/>
                <w:lang w:val="en-US" w:eastAsia="zh-CN"/>
              </w:rPr>
            </w:pPr>
            <w:r>
              <w:rPr>
                <w:rFonts w:hint="eastAsia"/>
                <w:b/>
                <w:bCs/>
                <w:color w:val="auto"/>
                <w:highlight w:val="none"/>
                <w:lang w:val="en-US" w:eastAsia="zh-CN"/>
              </w:rPr>
              <w:t>图1-1“三线一单”查询结果</w:t>
            </w:r>
          </w:p>
          <w:p w14:paraId="275E2B6A">
            <w:pPr>
              <w:bidi w:val="0"/>
              <w:rPr>
                <w:rFonts w:hint="default"/>
                <w:color w:val="auto"/>
                <w:highlight w:val="none"/>
                <w:lang w:val="en-US" w:eastAsia="zh-CN"/>
              </w:rPr>
            </w:pPr>
            <w:r>
              <w:rPr>
                <w:rFonts w:hint="default"/>
                <w:color w:val="auto"/>
                <w:highlight w:val="none"/>
                <w:lang w:val="en-US" w:eastAsia="zh-CN"/>
              </w:rPr>
              <w:t>综上所述，本项目符合“三线一单”要求。</w:t>
            </w:r>
          </w:p>
          <w:p w14:paraId="646BB2FF">
            <w:pPr>
              <w:bidi w:val="0"/>
              <w:rPr>
                <w:rFonts w:hint="default"/>
                <w:b/>
                <w:bCs/>
                <w:color w:val="auto"/>
                <w:highlight w:val="none"/>
                <w:lang w:val="en-US" w:eastAsia="zh-CN"/>
              </w:rPr>
            </w:pPr>
            <w:r>
              <w:rPr>
                <w:rFonts w:hint="eastAsia"/>
                <w:b/>
                <w:bCs/>
                <w:color w:val="auto"/>
                <w:highlight w:val="none"/>
                <w:lang w:val="en-US" w:eastAsia="zh-CN"/>
              </w:rPr>
              <w:t>三、</w:t>
            </w:r>
            <w:r>
              <w:rPr>
                <w:rFonts w:hint="default"/>
                <w:b/>
                <w:bCs/>
                <w:color w:val="auto"/>
                <w:highlight w:val="none"/>
                <w:lang w:val="en-US" w:eastAsia="zh-CN"/>
              </w:rPr>
              <w:t>选址合理性分析</w:t>
            </w:r>
          </w:p>
          <w:p w14:paraId="1C8A8EC8">
            <w:pPr>
              <w:bidi w:val="0"/>
              <w:rPr>
                <w:rFonts w:hint="default"/>
                <w:color w:val="auto"/>
                <w:highlight w:val="none"/>
                <w:lang w:val="en-US" w:eastAsia="zh-CN"/>
              </w:rPr>
            </w:pPr>
            <w:r>
              <w:rPr>
                <w:rFonts w:hint="default"/>
                <w:color w:val="auto"/>
                <w:highlight w:val="none"/>
                <w:lang w:val="en-US" w:eastAsia="zh-CN"/>
              </w:rPr>
              <w:t>本项目位于</w:t>
            </w:r>
            <w:r>
              <w:rPr>
                <w:rFonts w:hint="eastAsia"/>
                <w:color w:val="auto"/>
                <w:highlight w:val="none"/>
                <w:lang w:val="en-US" w:eastAsia="zh-CN"/>
              </w:rPr>
              <w:t>内蒙古自治区鄂尔多斯市伊金霍洛旗蒙苏经济开发区零碳产业园东片区</w:t>
            </w:r>
            <w:r>
              <w:rPr>
                <w:rFonts w:hint="default"/>
                <w:color w:val="auto"/>
                <w:highlight w:val="none"/>
                <w:lang w:val="en-US" w:eastAsia="zh-CN"/>
              </w:rPr>
              <w:t>，</w:t>
            </w:r>
            <w:r>
              <w:rPr>
                <w:rFonts w:hint="eastAsia"/>
                <w:color w:val="auto"/>
                <w:highlight w:val="none"/>
                <w:lang w:val="en-US" w:eastAsia="zh-CN"/>
              </w:rPr>
              <w:t>租赁鄂尔多斯市北创制造有限公司现有空闲厂房，且</w:t>
            </w:r>
            <w:r>
              <w:rPr>
                <w:rFonts w:hint="default"/>
                <w:color w:val="auto"/>
                <w:highlight w:val="none"/>
                <w:lang w:val="en-US" w:eastAsia="zh-CN"/>
              </w:rPr>
              <w:t>项目周边交通便利，基础设施完善，项目所在区域不在溶洞区或易遭受洪水、滑坡、泥石流、潮汐等影响的地区，项目评价范围内无自然保护区、文物保护单位、水源保护区等环境敏感区域；根据建设项目产排污分析，项目对区域环境影响较小，从环保角度分析，项目选址合理。</w:t>
            </w:r>
          </w:p>
          <w:p w14:paraId="37BCCE9B">
            <w:pPr>
              <w:bidi w:val="0"/>
              <w:rPr>
                <w:rFonts w:hint="default"/>
                <w:b/>
                <w:bCs/>
                <w:color w:val="auto"/>
                <w:highlight w:val="none"/>
                <w:lang w:val="en-US" w:eastAsia="zh-CN"/>
              </w:rPr>
            </w:pPr>
            <w:r>
              <w:rPr>
                <w:rFonts w:hint="eastAsia"/>
                <w:b/>
                <w:bCs/>
                <w:color w:val="auto"/>
                <w:highlight w:val="none"/>
                <w:lang w:val="en-US" w:eastAsia="zh-CN"/>
              </w:rPr>
              <w:t>四、</w:t>
            </w:r>
            <w:r>
              <w:rPr>
                <w:rFonts w:hint="default"/>
                <w:b/>
                <w:bCs/>
                <w:color w:val="auto"/>
                <w:highlight w:val="none"/>
                <w:lang w:val="en-US" w:eastAsia="zh-CN"/>
              </w:rPr>
              <w:t>项目与《低挥发性有机化合物含量涂料产品技术要求》（GB∕T38597-2020）符合性分析</w:t>
            </w:r>
          </w:p>
          <w:p w14:paraId="60BB6B4A">
            <w:pPr>
              <w:bidi w:val="0"/>
              <w:rPr>
                <w:rFonts w:hint="default"/>
                <w:color w:val="auto"/>
                <w:highlight w:val="none"/>
                <w:lang w:val="en-US" w:eastAsia="zh-CN"/>
              </w:rPr>
            </w:pPr>
            <w:r>
              <w:rPr>
                <w:rFonts w:hint="default"/>
                <w:color w:val="auto"/>
                <w:highlight w:val="none"/>
                <w:lang w:val="en-US" w:eastAsia="zh-CN"/>
              </w:rPr>
              <w:t>2020年，国家市场监督管理总局、国家标准化管理委员会发布了推荐性标准《低挥发性有机化合物含量涂料产品技术要求》（GB/T38597-2020），于2020年12月至2021年4月陆续实施。</w:t>
            </w:r>
          </w:p>
          <w:p w14:paraId="71D52EDA">
            <w:pPr>
              <w:bidi w:val="0"/>
              <w:rPr>
                <w:rFonts w:hint="default"/>
                <w:color w:val="auto"/>
                <w:highlight w:val="none"/>
                <w:lang w:val="en-US" w:eastAsia="zh-CN"/>
              </w:rPr>
            </w:pPr>
            <w:r>
              <w:rPr>
                <w:rFonts w:hint="default"/>
                <w:color w:val="auto"/>
                <w:highlight w:val="none"/>
                <w:lang w:val="en-US" w:eastAsia="zh-CN"/>
              </w:rPr>
              <w:t>本项目主要是对</w:t>
            </w:r>
            <w:r>
              <w:rPr>
                <w:rFonts w:hint="eastAsia"/>
                <w:color w:val="auto"/>
                <w:highlight w:val="none"/>
                <w:lang w:val="en-US" w:eastAsia="zh-CN"/>
              </w:rPr>
              <w:t>鄂尔多斯市北创智能装备有限公司</w:t>
            </w:r>
            <w:r>
              <w:rPr>
                <w:rFonts w:hint="default"/>
                <w:color w:val="auto"/>
                <w:highlight w:val="none"/>
                <w:lang w:val="en-US" w:eastAsia="zh-CN"/>
              </w:rPr>
              <w:t>在实际生产运行过程中需对一些小型设备、预制好的零部件、煤矿自行焊接的一些小型设备进行刷漆、喷漆，使用涂料为水性漆，</w:t>
            </w:r>
            <w:r>
              <w:rPr>
                <w:rFonts w:hint="default" w:ascii="Times New Roman" w:hAnsi="Times New Roman" w:eastAsia="宋体" w:cs="Times New Roman"/>
                <w:color w:val="auto"/>
                <w:highlight w:val="none"/>
                <w:lang w:val="en-US" w:eastAsia="zh-CN"/>
              </w:rPr>
              <w:t>水性漆年使用量</w:t>
            </w:r>
            <w:r>
              <w:rPr>
                <w:rFonts w:hint="eastAsia" w:cs="Times New Roman"/>
                <w:color w:val="auto"/>
                <w:highlight w:val="none"/>
                <w:lang w:val="en-US" w:eastAsia="zh-CN"/>
              </w:rPr>
              <w:t>15.13t/a</w:t>
            </w:r>
            <w:r>
              <w:rPr>
                <w:rFonts w:hint="default" w:ascii="Times New Roman" w:hAnsi="Times New Roman" w:eastAsia="宋体" w:cs="Times New Roman"/>
                <w:color w:val="auto"/>
                <w:highlight w:val="none"/>
                <w:lang w:val="en-US" w:eastAsia="zh-CN"/>
              </w:rPr>
              <w:t>。</w:t>
            </w:r>
          </w:p>
          <w:p w14:paraId="4EA74876">
            <w:pPr>
              <w:bidi w:val="0"/>
              <w:rPr>
                <w:rFonts w:hint="default"/>
                <w:color w:val="auto"/>
                <w:highlight w:val="none"/>
                <w:lang w:val="en-US" w:eastAsia="zh-CN"/>
              </w:rPr>
            </w:pPr>
            <w:r>
              <w:rPr>
                <w:rFonts w:hint="default"/>
                <w:color w:val="auto"/>
                <w:highlight w:val="none"/>
                <w:lang w:val="en-US" w:eastAsia="zh-CN"/>
              </w:rPr>
              <w:t>根据《低挥发性有机化合物含量涂料产品技术要求》（GB/T38597-2020）中4.要求</w:t>
            </w:r>
            <w:r>
              <w:rPr>
                <w:rFonts w:hint="eastAsia"/>
                <w:color w:val="auto"/>
                <w:highlight w:val="none"/>
                <w:lang w:val="en-US" w:eastAsia="zh-CN"/>
              </w:rPr>
              <w:t>-</w:t>
            </w:r>
            <w:r>
              <w:rPr>
                <w:rFonts w:hint="default"/>
                <w:color w:val="auto"/>
                <w:highlight w:val="none"/>
                <w:lang w:val="en-US" w:eastAsia="zh-CN"/>
              </w:rPr>
              <w:t>表1水性涂料中VOC含量的要求：工业防护涂料</w:t>
            </w:r>
            <w:r>
              <w:rPr>
                <w:rFonts w:hint="eastAsia"/>
                <w:color w:val="auto"/>
                <w:highlight w:val="none"/>
                <w:lang w:val="en-US" w:eastAsia="zh-CN"/>
              </w:rPr>
              <w:t>-</w:t>
            </w:r>
            <w:r>
              <w:rPr>
                <w:rFonts w:hint="default"/>
                <w:color w:val="auto"/>
                <w:highlight w:val="none"/>
                <w:lang w:val="en-US" w:eastAsia="zh-CN"/>
              </w:rPr>
              <w:t>机械设备涂料</w:t>
            </w:r>
            <w:r>
              <w:rPr>
                <w:rFonts w:hint="eastAsia"/>
                <w:color w:val="auto"/>
                <w:highlight w:val="none"/>
                <w:lang w:val="en-US" w:eastAsia="zh-CN"/>
              </w:rPr>
              <w:t>-</w:t>
            </w:r>
            <w:r>
              <w:rPr>
                <w:rFonts w:hint="default"/>
                <w:color w:val="auto"/>
                <w:highlight w:val="none"/>
                <w:lang w:val="en-US" w:eastAsia="zh-CN"/>
              </w:rPr>
              <w:t>工程机械和农业机械涂料</w:t>
            </w:r>
            <w:r>
              <w:rPr>
                <w:rFonts w:hint="eastAsia"/>
                <w:color w:val="auto"/>
                <w:highlight w:val="none"/>
                <w:lang w:val="en-US" w:eastAsia="zh-CN"/>
              </w:rPr>
              <w:t>（</w:t>
            </w:r>
            <w:r>
              <w:rPr>
                <w:rFonts w:hint="default"/>
                <w:color w:val="auto"/>
                <w:highlight w:val="none"/>
                <w:lang w:val="en-US" w:eastAsia="zh-CN"/>
              </w:rPr>
              <w:t>含零部件涂料</w:t>
            </w:r>
            <w:r>
              <w:rPr>
                <w:rFonts w:hint="eastAsia"/>
                <w:color w:val="auto"/>
                <w:highlight w:val="none"/>
                <w:lang w:val="en-US" w:eastAsia="zh-CN"/>
              </w:rPr>
              <w:t>）</w:t>
            </w:r>
            <w:r>
              <w:rPr>
                <w:rFonts w:hint="default"/>
                <w:color w:val="auto"/>
                <w:highlight w:val="none"/>
                <w:lang w:val="en-US" w:eastAsia="zh-CN"/>
              </w:rPr>
              <w:t>VOC含量的要求为底漆</w:t>
            </w:r>
            <w:r>
              <w:rPr>
                <w:rFonts w:hint="eastAsia"/>
                <w:color w:val="auto"/>
                <w:highlight w:val="none"/>
                <w:lang w:val="en-US" w:eastAsia="zh-CN"/>
              </w:rPr>
              <w:t>≤</w:t>
            </w:r>
            <w:r>
              <w:rPr>
                <w:rFonts w:hint="default"/>
                <w:color w:val="auto"/>
                <w:highlight w:val="none"/>
                <w:lang w:val="en-US" w:eastAsia="zh-CN"/>
              </w:rPr>
              <w:t>250g/L，面漆</w:t>
            </w:r>
            <w:r>
              <w:rPr>
                <w:rFonts w:hint="eastAsia"/>
                <w:color w:val="auto"/>
                <w:highlight w:val="none"/>
                <w:lang w:val="en-US" w:eastAsia="zh-CN"/>
              </w:rPr>
              <w:t>≤</w:t>
            </w:r>
            <w:r>
              <w:rPr>
                <w:rFonts w:hint="default"/>
                <w:color w:val="auto"/>
                <w:highlight w:val="none"/>
                <w:lang w:val="en-US" w:eastAsia="zh-CN"/>
              </w:rPr>
              <w:t>300g/L。</w:t>
            </w:r>
          </w:p>
          <w:p w14:paraId="49B4EEB5">
            <w:pPr>
              <w:bidi w:val="0"/>
              <w:rPr>
                <w:rFonts w:hint="default"/>
                <w:color w:val="auto"/>
                <w:highlight w:val="none"/>
                <w:lang w:val="en-US" w:eastAsia="zh-CN"/>
              </w:rPr>
            </w:pPr>
            <w:r>
              <w:rPr>
                <w:rFonts w:hint="default" w:ascii="Times New Roman" w:hAnsi="Times New Roman" w:eastAsia="宋体" w:cs="Times New Roman"/>
                <w:color w:val="auto"/>
                <w:highlight w:val="none"/>
                <w:lang w:val="en-US" w:eastAsia="zh-CN"/>
              </w:rPr>
              <w:t>本项目所使用水性漆挥发物含量为底漆</w:t>
            </w:r>
            <w:r>
              <w:rPr>
                <w:rFonts w:hint="default"/>
                <w:color w:val="auto"/>
                <w:highlight w:val="none"/>
                <w:lang w:val="en-US" w:eastAsia="zh-CN"/>
              </w:rPr>
              <w:t>VOC含量</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51</w:t>
            </w:r>
            <w:r>
              <w:rPr>
                <w:rFonts w:hint="default" w:ascii="Times New Roman" w:hAnsi="Times New Roman" w:eastAsia="宋体" w:cs="Times New Roman"/>
                <w:color w:val="auto"/>
                <w:highlight w:val="none"/>
                <w:lang w:val="en-US" w:eastAsia="zh-CN"/>
              </w:rPr>
              <w:t>g/L，</w:t>
            </w:r>
            <w:r>
              <w:rPr>
                <w:rFonts w:hint="default"/>
                <w:color w:val="auto"/>
                <w:highlight w:val="none"/>
                <w:lang w:val="en-US" w:eastAsia="zh-CN"/>
              </w:rPr>
              <w:t>VOC含量</w:t>
            </w:r>
            <w:r>
              <w:rPr>
                <w:rFonts w:hint="default" w:ascii="Times New Roman" w:hAnsi="Times New Roman" w:eastAsia="宋体" w:cs="Times New Roman"/>
                <w:color w:val="auto"/>
                <w:highlight w:val="none"/>
                <w:lang w:val="en-US" w:eastAsia="zh-CN"/>
              </w:rPr>
              <w:t>面漆</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73</w:t>
            </w:r>
            <w:r>
              <w:rPr>
                <w:rFonts w:hint="default" w:ascii="Times New Roman" w:hAnsi="Times New Roman" w:eastAsia="宋体" w:cs="Times New Roman"/>
                <w:color w:val="auto"/>
                <w:highlight w:val="none"/>
                <w:lang w:val="en-US" w:eastAsia="zh-CN"/>
              </w:rPr>
              <w:t>g/L。因此</w:t>
            </w:r>
            <w:r>
              <w:rPr>
                <w:rFonts w:hint="default"/>
                <w:color w:val="auto"/>
                <w:highlight w:val="none"/>
                <w:lang w:val="en-US" w:eastAsia="zh-CN"/>
              </w:rPr>
              <w:t>，本项目满足《低挥发性有机化合物含量涂料产品技术要求》（GB∕T38597-2020）水性涂料中VOC含量的要求。</w:t>
            </w:r>
          </w:p>
          <w:p w14:paraId="0637F1D2">
            <w:pPr>
              <w:bidi w:val="0"/>
              <w:rPr>
                <w:rFonts w:hint="default"/>
                <w:b/>
                <w:bCs/>
                <w:color w:val="auto"/>
                <w:highlight w:val="none"/>
                <w:lang w:val="en-US" w:eastAsia="zh-CN"/>
              </w:rPr>
            </w:pPr>
            <w:r>
              <w:rPr>
                <w:rFonts w:hint="eastAsia"/>
                <w:b/>
                <w:bCs/>
                <w:color w:val="auto"/>
                <w:highlight w:val="none"/>
                <w:lang w:val="en-US" w:eastAsia="zh-CN"/>
              </w:rPr>
              <w:t>五、《“十三五”挥发性有机物污染防治工作方案》环大气〔2017〕121号符合性分析</w:t>
            </w:r>
          </w:p>
          <w:p w14:paraId="0E7F995E">
            <w:pPr>
              <w:bidi w:val="0"/>
              <w:rPr>
                <w:rFonts w:hint="default"/>
                <w:color w:val="auto"/>
                <w:highlight w:val="none"/>
                <w:lang w:val="en-US" w:eastAsia="zh-CN"/>
              </w:rPr>
            </w:pPr>
            <w:r>
              <w:rPr>
                <w:rFonts w:hint="default"/>
                <w:color w:val="auto"/>
                <w:highlight w:val="none"/>
                <w:lang w:val="en-US" w:eastAsia="zh-CN"/>
              </w:rPr>
              <w:t>新、改、扩建涉VOCs排放项目，应从源头加强控制，使用低（无）VOCs含量的原辅材料，加强废气收集，安装高效治理设施</w:t>
            </w:r>
            <w:r>
              <w:rPr>
                <w:rFonts w:hint="eastAsia"/>
                <w:color w:val="auto"/>
                <w:highlight w:val="none"/>
                <w:lang w:val="en-US" w:eastAsia="zh-CN"/>
              </w:rPr>
              <w:t>。</w:t>
            </w:r>
          </w:p>
          <w:p w14:paraId="2FEB2267">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喷漆废气经负压收集引至干式过滤器（迷宫纸盒）+过滤棉+二级活性炭吸附装置处理后，由15m高排气筒（DA002）排放，</w:t>
            </w:r>
            <w:r>
              <w:rPr>
                <w:rFonts w:hint="default"/>
                <w:color w:val="auto"/>
                <w:highlight w:val="none"/>
                <w:lang w:val="en-US" w:eastAsia="zh-CN"/>
              </w:rPr>
              <w:t>无组织废气通过车间通风换气，能够有效减少对</w:t>
            </w:r>
            <w:r>
              <w:rPr>
                <w:rFonts w:hint="eastAsia"/>
                <w:color w:val="auto"/>
                <w:highlight w:val="none"/>
                <w:lang w:val="en-US" w:eastAsia="zh-CN"/>
              </w:rPr>
              <w:t>周围环境影响。</w:t>
            </w:r>
          </w:p>
          <w:p w14:paraId="0DBD4E43">
            <w:pPr>
              <w:bidi w:val="0"/>
              <w:rPr>
                <w:rFonts w:hint="default"/>
                <w:color w:val="auto"/>
                <w:highlight w:val="none"/>
                <w:lang w:val="en-US" w:eastAsia="zh-CN"/>
              </w:rPr>
            </w:pPr>
            <w:r>
              <w:rPr>
                <w:rFonts w:hint="default"/>
                <w:color w:val="auto"/>
                <w:highlight w:val="none"/>
                <w:lang w:val="en-US" w:eastAsia="zh-CN"/>
              </w:rPr>
              <w:t>提高VOCs排放重点行业环保准入门槛，严格控制新增污染物排放量。重点地区要严格限制石化、化工、包装印刷、工业涂装等高VOCs排放建设项目。新建涉VOCs排放的工业企业要入园区。</w:t>
            </w:r>
          </w:p>
          <w:p w14:paraId="13432DAF">
            <w:pPr>
              <w:bidi w:val="0"/>
              <w:rPr>
                <w:rFonts w:hint="eastAsia"/>
                <w:color w:val="auto"/>
                <w:highlight w:val="none"/>
                <w:lang w:val="en-US" w:eastAsia="zh-CN"/>
              </w:rPr>
            </w:pPr>
            <w:r>
              <w:rPr>
                <w:rFonts w:hint="default"/>
                <w:color w:val="auto"/>
                <w:highlight w:val="none"/>
                <w:lang w:val="en-US" w:eastAsia="zh-CN"/>
              </w:rPr>
              <w:t>根据生态环境部于2018年11月19日发布的《关于无工业园区就不能新建涉VOCs工业企业的回复》：“《“十三五”挥发性有机物污染防治工作方案》中提到“新建涉VOCs排放的工业企业要入园区”，是指全国新建涉高VOCs排放的建设项目，即石化、化工、包装印刷、工业涂装等重点行业及其他工业行业VOCs排放量大、排放强度高的新建项目，原则上要进入园区。”本项目属于重点行业，喷漆使用水性漆，不属于高VOCs排放，废气进行收集并安装了高效治理设施后可实现达标排放；项目位于</w:t>
            </w:r>
            <w:r>
              <w:rPr>
                <w:rFonts w:hint="eastAsia"/>
                <w:color w:val="auto"/>
                <w:highlight w:val="none"/>
                <w:lang w:val="en-US" w:eastAsia="zh-CN"/>
              </w:rPr>
              <w:t>内蒙古自治区鄂尔多斯市伊金霍洛旗蒙苏经济开发区零碳产业园东片区</w:t>
            </w:r>
            <w:r>
              <w:rPr>
                <w:rFonts w:hint="default"/>
                <w:color w:val="auto"/>
                <w:highlight w:val="none"/>
                <w:lang w:val="en-US" w:eastAsia="zh-CN"/>
              </w:rPr>
              <w:t>，不在重点地区</w:t>
            </w:r>
            <w:r>
              <w:rPr>
                <w:rFonts w:hint="eastAsia"/>
                <w:color w:val="auto"/>
                <w:highlight w:val="none"/>
                <w:lang w:val="en-US" w:eastAsia="zh-CN"/>
              </w:rPr>
              <w:t>。</w:t>
            </w:r>
          </w:p>
          <w:p w14:paraId="31A6A7FD">
            <w:pPr>
              <w:bidi w:val="0"/>
              <w:rPr>
                <w:rFonts w:hint="default"/>
                <w:b/>
                <w:bCs/>
                <w:color w:val="auto"/>
                <w:highlight w:val="none"/>
                <w:lang w:val="en-US" w:eastAsia="zh-CN"/>
              </w:rPr>
            </w:pPr>
            <w:r>
              <w:rPr>
                <w:rFonts w:hint="eastAsia"/>
                <w:b/>
                <w:bCs/>
                <w:color w:val="auto"/>
                <w:highlight w:val="none"/>
                <w:lang w:val="en-US" w:eastAsia="zh-CN"/>
              </w:rPr>
              <w:t>六、《挥发性有机物（VOCs）污染防治技术政策》公告2013年第31号符合性分析</w:t>
            </w:r>
          </w:p>
          <w:p w14:paraId="2F9CA74D">
            <w:pPr>
              <w:bidi w:val="0"/>
              <w:rPr>
                <w:rFonts w:hint="default"/>
                <w:color w:val="auto"/>
                <w:highlight w:val="none"/>
                <w:lang w:val="en-US" w:eastAsia="zh-CN"/>
              </w:rPr>
            </w:pPr>
            <w:r>
              <w:rPr>
                <w:rFonts w:hint="default"/>
                <w:color w:val="auto"/>
                <w:highlight w:val="none"/>
                <w:lang w:val="en-US" w:eastAsia="zh-CN"/>
              </w:rPr>
              <w:t>含VOCs产品的使用过程中，应采取废气收集措施，提高废气收集效率，减少废气的无组织排放与逸散，并对收集后的废气进行回收或处理后达标排放。</w:t>
            </w:r>
          </w:p>
          <w:p w14:paraId="721B03B0">
            <w:pPr>
              <w:bidi w:val="0"/>
              <w:rPr>
                <w:rFonts w:hint="default" w:ascii="Times New Roman" w:hAnsi="Times New Roman" w:eastAsia="宋体" w:cs="Times New Roman"/>
                <w:color w:val="auto"/>
                <w:highlight w:val="none"/>
                <w:lang w:val="en-US" w:eastAsia="zh-CN"/>
              </w:rPr>
            </w:pPr>
            <w:r>
              <w:rPr>
                <w:rFonts w:hint="default"/>
                <w:color w:val="auto"/>
                <w:highlight w:val="none"/>
                <w:lang w:val="en-US" w:eastAsia="zh-CN"/>
              </w:rPr>
              <w:t>本项目喷漆工序在全封闭喷漆房内进行，</w:t>
            </w:r>
            <w:r>
              <w:rPr>
                <w:rFonts w:hint="default" w:ascii="Times New Roman" w:hAnsi="Times New Roman" w:eastAsia="宋体" w:cs="Times New Roman"/>
                <w:color w:val="auto"/>
                <w:highlight w:val="none"/>
                <w:lang w:val="en-US" w:eastAsia="zh-CN"/>
              </w:rPr>
              <w:t>废气</w:t>
            </w:r>
            <w:r>
              <w:rPr>
                <w:rFonts w:hint="eastAsia" w:ascii="Times New Roman" w:hAnsi="Times New Roman" w:eastAsia="宋体" w:cs="Times New Roman"/>
                <w:color w:val="auto"/>
                <w:highlight w:val="none"/>
                <w:lang w:val="en-US" w:eastAsia="zh-CN"/>
              </w:rPr>
              <w:t>经通风装置引至干式过滤器（迷宫纸盒）+过滤棉+二级活性炭吸附装置处理后，由15m高排气筒（</w:t>
            </w:r>
            <w:r>
              <w:rPr>
                <w:rFonts w:hint="eastAsia" w:cs="Times New Roman"/>
                <w:color w:val="auto"/>
                <w:highlight w:val="none"/>
                <w:lang w:val="en-US" w:eastAsia="zh-CN"/>
              </w:rPr>
              <w:t>DA002</w:t>
            </w:r>
            <w:r>
              <w:rPr>
                <w:rFonts w:hint="eastAsia" w:ascii="Times New Roman" w:hAnsi="Times New Roman" w:eastAsia="宋体" w:cs="Times New Roman"/>
                <w:color w:val="auto"/>
                <w:highlight w:val="none"/>
                <w:lang w:val="en-US" w:eastAsia="zh-CN"/>
              </w:rPr>
              <w:t>）排放。</w:t>
            </w:r>
          </w:p>
          <w:p w14:paraId="2B7A8A93">
            <w:pPr>
              <w:bidi w:val="0"/>
              <w:rPr>
                <w:rFonts w:hint="default"/>
                <w:color w:val="auto"/>
                <w:highlight w:val="none"/>
                <w:lang w:val="en-US" w:eastAsia="zh-CN"/>
              </w:rPr>
            </w:pPr>
            <w:r>
              <w:rPr>
                <w:rFonts w:hint="default"/>
                <w:color w:val="auto"/>
                <w:highlight w:val="none"/>
                <w:lang w:val="en-US" w:eastAsia="zh-CN"/>
              </w:rPr>
              <w:t>对于含低浓度VOCs的废气，有回收价值时可采用吸附技术、吸收技术对有机溶剂回收后达标排放；不宜回收时，可采用吸附浓缩燃烧技术、生物技术、吸收技术、等离子体技术或紫外光高级氧化技术等净化后达标排放。</w:t>
            </w:r>
          </w:p>
          <w:p w14:paraId="0218B56D">
            <w:pPr>
              <w:bidi w:val="0"/>
              <w:rPr>
                <w:rFonts w:hint="default"/>
                <w:color w:val="auto"/>
                <w:highlight w:val="none"/>
                <w:lang w:val="en-US" w:eastAsia="zh-CN"/>
              </w:rPr>
            </w:pPr>
            <w:r>
              <w:rPr>
                <w:rFonts w:hint="default"/>
                <w:color w:val="auto"/>
                <w:highlight w:val="none"/>
                <w:lang w:val="en-US" w:eastAsia="zh-CN"/>
              </w:rPr>
              <w:t>本项目生产工艺中所产生</w:t>
            </w:r>
            <w:r>
              <w:rPr>
                <w:rFonts w:hint="eastAsia"/>
                <w:color w:val="auto"/>
                <w:highlight w:val="none"/>
                <w:lang w:val="en-US" w:eastAsia="zh-CN"/>
              </w:rPr>
              <w:t>的</w:t>
            </w:r>
            <w:r>
              <w:rPr>
                <w:rFonts w:hint="default"/>
                <w:color w:val="auto"/>
                <w:highlight w:val="none"/>
                <w:lang w:val="en-US" w:eastAsia="zh-CN"/>
              </w:rPr>
              <w:t>VOCs属于低浓度废气，</w:t>
            </w:r>
            <w:r>
              <w:rPr>
                <w:rFonts w:hint="eastAsia"/>
                <w:color w:val="auto"/>
                <w:highlight w:val="none"/>
                <w:lang w:val="en-US" w:eastAsia="zh-CN"/>
              </w:rPr>
              <w:t>喷漆废气经负压收集</w:t>
            </w:r>
            <w:r>
              <w:rPr>
                <w:rFonts w:hint="eastAsia" w:ascii="Times New Roman" w:hAnsi="Times New Roman" w:eastAsia="宋体" w:cs="Times New Roman"/>
                <w:color w:val="auto"/>
                <w:highlight w:val="none"/>
                <w:lang w:val="en-US" w:eastAsia="zh-CN"/>
              </w:rPr>
              <w:t>引至干式过滤器（迷宫纸盒）+过滤棉+二级活性炭吸附装置处理后，由15m高排气筒（</w:t>
            </w:r>
            <w:r>
              <w:rPr>
                <w:rFonts w:hint="eastAsia" w:cs="Times New Roman"/>
                <w:color w:val="auto"/>
                <w:highlight w:val="none"/>
                <w:lang w:val="en-US" w:eastAsia="zh-CN"/>
              </w:rPr>
              <w:t>DA002</w:t>
            </w:r>
            <w:r>
              <w:rPr>
                <w:rFonts w:hint="eastAsia" w:ascii="Times New Roman" w:hAnsi="Times New Roman" w:eastAsia="宋体" w:cs="Times New Roman"/>
                <w:color w:val="auto"/>
                <w:highlight w:val="none"/>
                <w:lang w:val="en-US" w:eastAsia="zh-CN"/>
              </w:rPr>
              <w:t>）排放。</w:t>
            </w:r>
            <w:r>
              <w:rPr>
                <w:rFonts w:hint="default"/>
                <w:color w:val="auto"/>
                <w:highlight w:val="none"/>
                <w:lang w:val="en-US" w:eastAsia="zh-CN"/>
              </w:rPr>
              <w:t>对于不能再生的过滤材料、吸附剂及催化剂等净化材料，应按照国家固体废物管理的相关规定处理处置。</w:t>
            </w:r>
          </w:p>
          <w:p w14:paraId="6158FDD8">
            <w:pPr>
              <w:bidi w:val="0"/>
              <w:rPr>
                <w:rFonts w:hint="default"/>
                <w:color w:val="auto"/>
                <w:highlight w:val="none"/>
                <w:lang w:val="en-US" w:eastAsia="zh-CN"/>
              </w:rPr>
            </w:pPr>
            <w:r>
              <w:rPr>
                <w:rFonts w:hint="eastAsia"/>
                <w:color w:val="auto"/>
                <w:highlight w:val="none"/>
                <w:lang w:val="en-US" w:eastAsia="zh-CN"/>
              </w:rPr>
              <w:t>本项废纸壳（含废漆渣）、废过滤棉（含废漆渣）、废活性炭、废漆桶、废机油分类收集后暂存在危险废物暂存库，定期交由有资质单位进行处置。</w:t>
            </w:r>
          </w:p>
          <w:p w14:paraId="1949AD65">
            <w:pPr>
              <w:bidi w:val="0"/>
              <w:rPr>
                <w:rFonts w:hint="default"/>
                <w:b/>
                <w:bCs/>
                <w:color w:val="auto"/>
                <w:highlight w:val="none"/>
                <w:lang w:val="en-US" w:eastAsia="zh-CN"/>
              </w:rPr>
            </w:pPr>
            <w:r>
              <w:rPr>
                <w:rFonts w:hint="eastAsia"/>
                <w:b/>
                <w:bCs/>
                <w:color w:val="auto"/>
                <w:highlight w:val="none"/>
                <w:lang w:val="en-US" w:eastAsia="zh-CN"/>
              </w:rPr>
              <w:t>七、《重点行业挥发性有机物综合治理方案》环大气〔2019〕53号符合性分析</w:t>
            </w:r>
          </w:p>
          <w:p w14:paraId="78A30883">
            <w:pPr>
              <w:bidi w:val="0"/>
              <w:rPr>
                <w:rFonts w:hint="default"/>
                <w:color w:val="auto"/>
                <w:highlight w:val="none"/>
                <w:lang w:val="en-US" w:eastAsia="zh-CN"/>
              </w:rPr>
            </w:pPr>
            <w:r>
              <w:rPr>
                <w:rFonts w:hint="default"/>
                <w:color w:val="auto"/>
                <w:highlight w:val="none"/>
                <w:lang w:val="en-US" w:eastAsia="zh-CN"/>
              </w:rPr>
              <w:t>大力推进源头替代。通过使用水性、粉末、高固体分、无溶剂、辐射固化等低VOCs含量的涂料，水性、辐射固化、植物基等低VOCs含量的油墨，水基、热熔、无溶剂、辐射固化、改性、生物降解等低VOCs含量的胶粘剂，以及低VOCs含量、低反应活性的清洗剂等，替代溶剂型涂料、油墨、胶粘剂、清洗剂等，从源头减少VOCs产生。</w:t>
            </w:r>
          </w:p>
          <w:p w14:paraId="3E807D43">
            <w:pPr>
              <w:bidi w:val="0"/>
              <w:rPr>
                <w:rFonts w:hint="eastAsia"/>
                <w:color w:val="auto"/>
                <w:highlight w:val="none"/>
                <w:lang w:val="en-US" w:eastAsia="zh-CN"/>
              </w:rPr>
            </w:pPr>
            <w:r>
              <w:rPr>
                <w:rFonts w:hint="eastAsia"/>
                <w:color w:val="auto"/>
                <w:highlight w:val="none"/>
                <w:lang w:val="en-US" w:eastAsia="zh-CN"/>
              </w:rPr>
              <w:t>本</w:t>
            </w:r>
            <w:r>
              <w:rPr>
                <w:rFonts w:hint="default"/>
                <w:color w:val="auto"/>
                <w:highlight w:val="none"/>
                <w:lang w:val="en-US" w:eastAsia="zh-CN"/>
              </w:rPr>
              <w:t>项目喷漆使用低VOCs的水性漆</w:t>
            </w:r>
            <w:r>
              <w:rPr>
                <w:rFonts w:hint="eastAsia"/>
                <w:color w:val="auto"/>
                <w:highlight w:val="none"/>
                <w:lang w:val="en-US" w:eastAsia="zh-CN"/>
              </w:rPr>
              <w:t>。</w:t>
            </w:r>
          </w:p>
          <w:p w14:paraId="181BC028">
            <w:pPr>
              <w:bidi w:val="0"/>
              <w:rPr>
                <w:rFonts w:hint="default"/>
                <w:color w:val="auto"/>
                <w:highlight w:val="none"/>
                <w:lang w:val="en-US" w:eastAsia="zh-CN"/>
              </w:rPr>
            </w:pPr>
            <w:r>
              <w:rPr>
                <w:rFonts w:hint="default"/>
                <w:color w:val="auto"/>
                <w:highlight w:val="none"/>
                <w:lang w:val="en-US" w:eastAsia="zh-CN"/>
              </w:rPr>
              <w:t>全面加强无组织排放控制。加强设备与场所密闭管理。含VOCs物料应储存于密闭容器、包装袋，高效密封储罐，封闭式储库、料仓等。含VOCs物料转移和输送，应采用密闭管道或密闭容器、罐车等。含VOCs物料生产和使用过程，应采取有效收集措施或在密闭空间中操作。</w:t>
            </w:r>
          </w:p>
          <w:p w14:paraId="2D96BB19">
            <w:pPr>
              <w:bidi w:val="0"/>
              <w:rPr>
                <w:rFonts w:hint="eastAsia"/>
                <w:color w:val="auto"/>
                <w:highlight w:val="none"/>
                <w:lang w:val="en-US" w:eastAsia="zh-CN"/>
              </w:rPr>
            </w:pPr>
            <w:r>
              <w:rPr>
                <w:rFonts w:hint="eastAsia"/>
                <w:color w:val="auto"/>
                <w:highlight w:val="none"/>
                <w:lang w:val="en-US" w:eastAsia="zh-CN"/>
              </w:rPr>
              <w:t>本</w:t>
            </w:r>
            <w:r>
              <w:rPr>
                <w:rFonts w:hint="default"/>
                <w:color w:val="auto"/>
                <w:highlight w:val="none"/>
                <w:lang w:val="en-US" w:eastAsia="zh-CN"/>
              </w:rPr>
              <w:t>项目喷漆在喷漆房进行，喷漆房密闭；水性漆储存于密闭</w:t>
            </w:r>
            <w:r>
              <w:rPr>
                <w:rFonts w:hint="eastAsia"/>
                <w:color w:val="auto"/>
                <w:highlight w:val="none"/>
                <w:lang w:val="en-US" w:eastAsia="zh-CN"/>
              </w:rPr>
              <w:t>生产车间</w:t>
            </w:r>
            <w:r>
              <w:rPr>
                <w:rFonts w:hint="default"/>
                <w:color w:val="auto"/>
                <w:highlight w:val="none"/>
                <w:lang w:val="en-US" w:eastAsia="zh-CN"/>
              </w:rPr>
              <w:t>内</w:t>
            </w:r>
            <w:r>
              <w:rPr>
                <w:rFonts w:hint="eastAsia"/>
                <w:color w:val="auto"/>
                <w:highlight w:val="none"/>
                <w:lang w:val="en-US" w:eastAsia="zh-CN"/>
              </w:rPr>
              <w:t>。</w:t>
            </w:r>
          </w:p>
          <w:p w14:paraId="40BE21B6">
            <w:pPr>
              <w:bidi w:val="0"/>
              <w:rPr>
                <w:rFonts w:hint="default"/>
                <w:color w:val="auto"/>
                <w:highlight w:val="none"/>
                <w:lang w:val="en-US" w:eastAsia="zh-CN"/>
              </w:rPr>
            </w:pPr>
            <w:r>
              <w:rPr>
                <w:rFonts w:hint="default"/>
                <w:color w:val="auto"/>
                <w:highlight w:val="none"/>
                <w:lang w:val="en-US" w:eastAsia="zh-CN"/>
              </w:rPr>
              <w:t>推进建设适宜高效的治污设施。企业新建治污设施或对现有治污设施实施改造，应依据排放废气的浓度、组分、风量，温度、湿度、压力，以及生产工况等，合理选择治理技术。</w:t>
            </w:r>
          </w:p>
          <w:p w14:paraId="71969A41">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喷漆废气经负压收集引至干式过滤器（迷宫纸盒）+过滤棉+二级活性炭吸附装置处理后，由15m高排气筒（DA002）排放。</w:t>
            </w:r>
          </w:p>
        </w:tc>
      </w:tr>
    </w:tbl>
    <w:p w14:paraId="014D798A">
      <w:pPr>
        <w:spacing w:line="360" w:lineRule="auto"/>
        <w:outlineLvl w:val="0"/>
        <w:rPr>
          <w:rFonts w:hint="default" w:ascii="Times New Roman" w:hAnsi="Times New Roman" w:eastAsia="黑体" w:cs="Times New Roman"/>
          <w:color w:val="auto"/>
          <w:sz w:val="30"/>
          <w:highlight w:val="none"/>
        </w:rPr>
        <w:sectPr>
          <w:headerReference r:id="rId8" w:type="default"/>
          <w:footerReference r:id="rId9" w:type="default"/>
          <w:pgSz w:w="11906" w:h="16838"/>
          <w:pgMar w:top="1701" w:right="1531" w:bottom="1701" w:left="1531" w:header="1191" w:footer="964" w:gutter="0"/>
          <w:pgBorders>
            <w:top w:val="none" w:sz="0" w:space="0"/>
            <w:left w:val="none" w:sz="0" w:space="0"/>
            <w:bottom w:val="none" w:sz="0" w:space="0"/>
            <w:right w:val="none" w:sz="0" w:space="0"/>
          </w:pgBorders>
          <w:pgNumType w:fmt="numberInDash" w:start="1"/>
          <w:cols w:space="720" w:num="1"/>
          <w:docGrid w:linePitch="312" w:charSpace="0"/>
        </w:sectPr>
      </w:pPr>
    </w:p>
    <w:p w14:paraId="2C951C35">
      <w:pPr>
        <w:pStyle w:val="21"/>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37"/>
        <w:gridCol w:w="6924"/>
      </w:tblGrid>
      <w:tr w14:paraId="118598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75" w:hRule="atLeast"/>
          <w:jc w:val="center"/>
        </w:trPr>
        <w:tc>
          <w:tcPr>
            <w:tcW w:w="823" w:type="dxa"/>
            <w:noWrap w:val="0"/>
            <w:vAlign w:val="center"/>
          </w:tcPr>
          <w:p w14:paraId="458C6F34">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建设内容</w:t>
            </w:r>
          </w:p>
        </w:tc>
        <w:tc>
          <w:tcPr>
            <w:tcW w:w="8161" w:type="dxa"/>
            <w:gridSpan w:val="2"/>
            <w:noWrap w:val="0"/>
            <w:vAlign w:val="top"/>
          </w:tcPr>
          <w:p w14:paraId="3D4AD0FF">
            <w:pPr>
              <w:adjustRightInd w:val="0"/>
              <w:snapToGrid w:val="0"/>
              <w:jc w:val="both"/>
              <w:rPr>
                <w:rFonts w:hint="default" w:cs="Times New Roman"/>
                <w:b/>
                <w:bCs w:val="0"/>
                <w:color w:val="auto"/>
                <w:szCs w:val="21"/>
                <w:highlight w:val="none"/>
                <w:lang w:val="en-US" w:eastAsia="zh-CN"/>
              </w:rPr>
            </w:pPr>
            <w:r>
              <w:rPr>
                <w:rFonts w:hint="eastAsia" w:cs="Times New Roman"/>
                <w:b/>
                <w:bCs w:val="0"/>
                <w:color w:val="auto"/>
                <w:szCs w:val="21"/>
                <w:highlight w:val="none"/>
                <w:lang w:val="en-US" w:eastAsia="zh-CN"/>
              </w:rPr>
              <w:t>一、项目由来</w:t>
            </w:r>
          </w:p>
          <w:p w14:paraId="056764A1">
            <w:pPr>
              <w:bidi w:val="0"/>
              <w:rPr>
                <w:rFonts w:hint="eastAsia"/>
                <w:color w:val="auto"/>
                <w:highlight w:val="none"/>
                <w:lang w:val="en-US" w:eastAsia="zh-CN"/>
              </w:rPr>
            </w:pPr>
            <w:r>
              <w:rPr>
                <w:rFonts w:hint="eastAsia" w:cs="Times New Roman"/>
                <w:color w:val="auto"/>
                <w:szCs w:val="21"/>
                <w:highlight w:val="none"/>
                <w:lang w:val="en-US" w:eastAsia="zh-CN"/>
              </w:rPr>
              <w:t>本项目拟建一座设备喷漆服务类项目，位于内蒙古自治区鄂尔多斯市伊金霍洛旗蒙苏经济开发区零碳产业园东片区</w:t>
            </w:r>
            <w:r>
              <w:rPr>
                <w:rFonts w:hint="eastAsia" w:ascii="Times New Roman" w:hAnsi="Times New Roman" w:eastAsia="宋体" w:cs="Times New Roman"/>
                <w:color w:val="auto"/>
                <w:szCs w:val="21"/>
                <w:highlight w:val="none"/>
                <w:lang w:val="en-US" w:eastAsia="zh-CN"/>
              </w:rPr>
              <w:t>，该产业园主要</w:t>
            </w:r>
            <w:r>
              <w:rPr>
                <w:rFonts w:hint="eastAsia" w:cs="Times New Roman"/>
                <w:color w:val="auto"/>
                <w:szCs w:val="21"/>
                <w:highlight w:val="none"/>
                <w:lang w:val="en-US" w:eastAsia="zh-CN"/>
              </w:rPr>
              <w:t>重点发展矿用装备、煤化工装备相关制造装备、风光电装备等的制造，在日常生产经营中，上述行业企业普遍存在产品、零部件或设备的表面喷涂、防锈、美化等需求。部分企业厂区空间有限，难以划出合规区域建设喷漆房。故鄂尔多斯市北创智能装备有限公司拟建设《鄂尔多斯市北创智能装备有限公司喷漆房建设项目》服务于周边企业设备喷涂。</w:t>
            </w:r>
            <w:r>
              <w:rPr>
                <w:rFonts w:hint="eastAsia"/>
                <w:color w:val="auto"/>
                <w:highlight w:val="none"/>
                <w:lang w:val="en-US" w:eastAsia="zh-CN"/>
              </w:rPr>
              <w:t>拟租赁</w:t>
            </w:r>
            <w:r>
              <w:rPr>
                <w:color w:val="auto"/>
                <w:sz w:val="24"/>
                <w:highlight w:val="none"/>
              </w:rPr>
              <w:t>鄂尔多斯市北创制造有限公司</w:t>
            </w:r>
            <w:r>
              <w:rPr>
                <w:rFonts w:hint="eastAsia"/>
                <w:color w:val="auto"/>
                <w:sz w:val="24"/>
                <w:highlight w:val="none"/>
                <w:lang w:val="en-US" w:eastAsia="zh-CN"/>
              </w:rPr>
              <w:t>现有空闲厂房</w:t>
            </w:r>
            <w:r>
              <w:rPr>
                <w:rFonts w:hint="eastAsia"/>
                <w:color w:val="auto"/>
                <w:highlight w:val="none"/>
                <w:lang w:val="en-US" w:eastAsia="zh-CN"/>
              </w:rPr>
              <w:t>建设</w:t>
            </w:r>
            <w:r>
              <w:rPr>
                <w:rFonts w:hint="eastAsia" w:ascii="Times New Roman" w:hAnsi="Times New Roman" w:eastAsia="宋体" w:cs="Times New Roman"/>
                <w:color w:val="auto"/>
                <w:szCs w:val="21"/>
                <w:highlight w:val="none"/>
                <w:lang w:val="en-US" w:eastAsia="zh-CN"/>
              </w:rPr>
              <w:t>全封闭</w:t>
            </w:r>
            <w:r>
              <w:rPr>
                <w:rFonts w:hint="eastAsia" w:cs="Times New Roman"/>
                <w:color w:val="auto"/>
                <w:szCs w:val="21"/>
                <w:highlight w:val="none"/>
                <w:lang w:val="en-US" w:eastAsia="zh-CN"/>
              </w:rPr>
              <w:t>生产车间，占地面积为16200㎡。</w:t>
            </w:r>
          </w:p>
          <w:p w14:paraId="7C8AD7B1">
            <w:pPr>
              <w:bidi w:val="0"/>
              <w:rPr>
                <w:rFonts w:hint="default" w:eastAsia="宋体"/>
                <w:color w:val="auto"/>
                <w:sz w:val="24"/>
                <w:highlight w:val="none"/>
                <w:lang w:val="en-US" w:eastAsia="zh-CN"/>
              </w:rPr>
            </w:pPr>
            <w:r>
              <w:rPr>
                <w:rFonts w:hint="eastAsia"/>
                <w:color w:val="auto"/>
                <w:highlight w:val="none"/>
                <w:lang w:val="en-US" w:eastAsia="zh-CN"/>
              </w:rPr>
              <w:t>出租方</w:t>
            </w:r>
            <w:r>
              <w:rPr>
                <w:color w:val="auto"/>
                <w:sz w:val="24"/>
                <w:highlight w:val="none"/>
              </w:rPr>
              <w:t>鄂尔多斯市北创制造有限公司</w:t>
            </w:r>
            <w:r>
              <w:rPr>
                <w:rFonts w:hint="eastAsia"/>
                <w:color w:val="auto"/>
                <w:sz w:val="24"/>
                <w:highlight w:val="none"/>
              </w:rPr>
              <w:t>是一家从事电线制造、电缆制造、电线经营等业务的公司，成立于2010年9月19日，公司坐落在内蒙古鄂尔多斯市伊金霍洛旗</w:t>
            </w:r>
            <w:r>
              <w:rPr>
                <w:color w:val="auto"/>
                <w:sz w:val="24"/>
                <w:highlight w:val="none"/>
              </w:rPr>
              <w:t>阿勒腾席热镇现代装备制造基地</w:t>
            </w:r>
            <w:r>
              <w:rPr>
                <w:rFonts w:hint="eastAsia"/>
                <w:color w:val="auto"/>
                <w:sz w:val="24"/>
                <w:highlight w:val="none"/>
              </w:rPr>
              <w:t>。2014年6月30日，原鄂尔多斯市环境保护局出具《关于鄂尔多斯市西北电缆有限公司特种电缆及矿用救生舱生产项目环境影响报告书的批复》（鄂环评字〔2014〕111号），于2014年9月25日，对项目进行验收，取得《鄂尔多斯市西北电缆有限公司关于特种电缆及矿用救生舱生产项目竣工环境保护验收意见的通知》（鄂环监字〔2014〕28号），项目现由鄂尔多斯市北创制造有限公司运营</w:t>
            </w:r>
            <w:r>
              <w:rPr>
                <w:rFonts w:hint="eastAsia"/>
                <w:color w:val="auto"/>
                <w:sz w:val="24"/>
                <w:highlight w:val="none"/>
                <w:lang w:eastAsia="zh-CN"/>
              </w:rPr>
              <w:t>，</w:t>
            </w:r>
            <w:r>
              <w:rPr>
                <w:rFonts w:hint="eastAsia"/>
                <w:color w:val="auto"/>
                <w:sz w:val="24"/>
                <w:highlight w:val="none"/>
                <w:lang w:val="en-US" w:eastAsia="zh-CN"/>
              </w:rPr>
              <w:t>现正处于正常运行阶段。</w:t>
            </w:r>
          </w:p>
          <w:p w14:paraId="321E59BC">
            <w:pPr>
              <w:bidi w:val="0"/>
              <w:rPr>
                <w:rFonts w:hint="eastAsia"/>
                <w:color w:val="auto"/>
                <w:highlight w:val="none"/>
                <w:lang w:val="en-US" w:eastAsia="zh-CN"/>
              </w:rPr>
            </w:pPr>
            <w:r>
              <w:rPr>
                <w:rFonts w:hint="eastAsia"/>
                <w:color w:val="auto"/>
                <w:highlight w:val="none"/>
                <w:lang w:val="en-US" w:eastAsia="zh-CN"/>
              </w:rPr>
              <w:t>根据《中华人民共和国环境保护法》、《中华人民共和国环境影响评价法》和《建设项目环境保护管理条例》等有关法律、法规的要求，该项目需开展环境影响评价工作。对照《建设项目环境影响评价分类管理名录》（2021年版）（部令2020年第16号），本项目属于其中的“三十、金属制品业；67金属表面处理及热处理加工；其他（年用非溶剂型含稀释剂涂料10吨以下的除外）”，应编制环境影响报告表。为此，鄂尔多斯市北创智能装备有限公司委托我公司承担该项目的环境影响评价工作。接受委托后，我公司立即组织人员对项目现场进行实地踏勘，通过全面深入调查、监测、分析编制完成该项目环境影响报告表。现有厂房为空闲厂房，根据《建设项目环境影响评价分类管理名录（2021年版）》中“四十四、房地产业97标准厂房”不涉及环境敏感区的无需进行环境影响评价，本项目租赁的遗留标准厂房不涉及环境敏感区，故原有厂房未进行环境影响评价。</w:t>
            </w:r>
          </w:p>
          <w:p w14:paraId="7D45AAB9">
            <w:pPr>
              <w:adjustRightInd w:val="0"/>
              <w:snapToGrid w:val="0"/>
              <w:jc w:val="both"/>
              <w:rPr>
                <w:rFonts w:hint="eastAsia" w:cs="Times New Roman"/>
                <w:b/>
                <w:bCs w:val="0"/>
                <w:color w:val="auto"/>
                <w:szCs w:val="21"/>
                <w:highlight w:val="none"/>
                <w:lang w:val="en-US" w:eastAsia="zh-CN"/>
              </w:rPr>
            </w:pPr>
            <w:r>
              <w:rPr>
                <w:rFonts w:hint="eastAsia" w:cs="Times New Roman"/>
                <w:b/>
                <w:bCs w:val="0"/>
                <w:color w:val="auto"/>
                <w:szCs w:val="21"/>
                <w:highlight w:val="none"/>
                <w:lang w:val="en-US" w:eastAsia="zh-CN"/>
              </w:rPr>
              <w:t>二、项目概况</w:t>
            </w:r>
          </w:p>
          <w:p w14:paraId="0289942C">
            <w:pPr>
              <w:bidi w:val="0"/>
              <w:rPr>
                <w:rFonts w:hint="default"/>
                <w:b/>
                <w:bCs/>
                <w:color w:val="auto"/>
                <w:highlight w:val="none"/>
                <w:lang w:val="en-US" w:eastAsia="zh-CN"/>
              </w:rPr>
            </w:pPr>
            <w:r>
              <w:rPr>
                <w:rFonts w:hint="eastAsia"/>
                <w:b/>
                <w:bCs/>
                <w:color w:val="auto"/>
                <w:highlight w:val="none"/>
                <w:lang w:val="en-US" w:eastAsia="zh-CN"/>
              </w:rPr>
              <w:t>1、项目建设基本情况</w:t>
            </w:r>
          </w:p>
          <w:p w14:paraId="0AE27844">
            <w:pPr>
              <w:bidi w:val="0"/>
              <w:rPr>
                <w:rFonts w:hint="eastAsia"/>
                <w:color w:val="auto"/>
                <w:highlight w:val="none"/>
                <w:lang w:val="en-US" w:eastAsia="zh-CN"/>
              </w:rPr>
            </w:pPr>
            <w:r>
              <w:rPr>
                <w:rFonts w:hint="eastAsia"/>
                <w:color w:val="auto"/>
                <w:highlight w:val="none"/>
                <w:lang w:val="en-US" w:eastAsia="zh-CN"/>
              </w:rPr>
              <w:t>项目名称：</w:t>
            </w:r>
            <w:r>
              <w:rPr>
                <w:rFonts w:hint="eastAsia" w:cs="Times New Roman"/>
                <w:color w:val="auto"/>
                <w:szCs w:val="21"/>
                <w:highlight w:val="none"/>
                <w:lang w:val="en-US" w:eastAsia="zh-CN"/>
              </w:rPr>
              <w:t>鄂尔多斯市北创智能装备有限公司喷漆房建设项目</w:t>
            </w:r>
          </w:p>
          <w:p w14:paraId="013DE467">
            <w:pPr>
              <w:bidi w:val="0"/>
              <w:rPr>
                <w:rFonts w:hint="eastAsia"/>
                <w:color w:val="auto"/>
                <w:highlight w:val="none"/>
                <w:lang w:val="en-US" w:eastAsia="zh-CN"/>
              </w:rPr>
            </w:pPr>
            <w:r>
              <w:rPr>
                <w:rFonts w:hint="eastAsia"/>
                <w:color w:val="auto"/>
                <w:highlight w:val="none"/>
                <w:lang w:val="en-US" w:eastAsia="zh-CN"/>
              </w:rPr>
              <w:t>建设单位：</w:t>
            </w:r>
            <w:r>
              <w:rPr>
                <w:rFonts w:hint="eastAsia" w:cs="Times New Roman"/>
                <w:color w:val="auto"/>
                <w:szCs w:val="21"/>
                <w:highlight w:val="none"/>
                <w:lang w:val="en-US" w:eastAsia="zh-CN"/>
              </w:rPr>
              <w:t>鄂尔多斯市北创智能装备有限公司</w:t>
            </w:r>
          </w:p>
          <w:p w14:paraId="1283177B">
            <w:pPr>
              <w:bidi w:val="0"/>
              <w:rPr>
                <w:rFonts w:hint="default"/>
                <w:color w:val="auto"/>
                <w:highlight w:val="none"/>
                <w:lang w:val="en-US" w:eastAsia="zh-CN"/>
              </w:rPr>
            </w:pPr>
            <w:r>
              <w:rPr>
                <w:rFonts w:hint="eastAsia"/>
                <w:color w:val="auto"/>
                <w:highlight w:val="none"/>
                <w:lang w:val="en-US" w:eastAsia="zh-CN"/>
              </w:rPr>
              <w:t>建设地点：</w:t>
            </w:r>
            <w:r>
              <w:rPr>
                <w:rFonts w:hint="eastAsia" w:cs="Times New Roman"/>
                <w:color w:val="auto"/>
                <w:szCs w:val="21"/>
                <w:highlight w:val="none"/>
                <w:lang w:val="en-US" w:eastAsia="zh-CN"/>
              </w:rPr>
              <w:t>内蒙古自治区鄂尔多斯市伊金霍洛旗蒙苏经济开发区零碳产业园东片区</w:t>
            </w:r>
            <w:r>
              <w:rPr>
                <w:rFonts w:hint="eastAsia" w:ascii="Times New Roman" w:hAnsi="Times New Roman" w:eastAsia="宋体" w:cs="Times New Roman"/>
                <w:color w:val="auto"/>
                <w:szCs w:val="21"/>
                <w:highlight w:val="none"/>
                <w:lang w:val="en-US" w:eastAsia="zh-CN"/>
              </w:rPr>
              <w:t>，</w:t>
            </w:r>
            <w:r>
              <w:rPr>
                <w:rFonts w:hint="eastAsia" w:cs="Times New Roman"/>
                <w:color w:val="auto"/>
                <w:szCs w:val="21"/>
                <w:highlight w:val="none"/>
                <w:lang w:val="en-US" w:eastAsia="zh-CN"/>
              </w:rPr>
              <w:t>鄂尔多斯市北创智能装备有限公司现有工业场地内建设</w:t>
            </w:r>
          </w:p>
          <w:p w14:paraId="581A7DE4">
            <w:pPr>
              <w:bidi w:val="0"/>
              <w:rPr>
                <w:rFonts w:hint="default"/>
                <w:color w:val="auto"/>
                <w:highlight w:val="none"/>
                <w:lang w:val="en-US" w:eastAsia="zh-CN"/>
              </w:rPr>
            </w:pPr>
            <w:r>
              <w:rPr>
                <w:rFonts w:hint="eastAsia"/>
                <w:color w:val="auto"/>
                <w:highlight w:val="none"/>
                <w:lang w:val="en-US" w:eastAsia="zh-CN"/>
              </w:rPr>
              <w:t>建设性质：新建</w:t>
            </w:r>
          </w:p>
          <w:p w14:paraId="1B2E26E4">
            <w:pPr>
              <w:bidi w:val="0"/>
              <w:rPr>
                <w:rFonts w:hint="eastAsia"/>
                <w:color w:val="auto"/>
                <w:highlight w:val="none"/>
                <w:lang w:val="en-US" w:eastAsia="zh-CN"/>
              </w:rPr>
            </w:pPr>
            <w:r>
              <w:rPr>
                <w:rFonts w:hint="eastAsia"/>
                <w:color w:val="auto"/>
                <w:highlight w:val="none"/>
                <w:lang w:val="en-US" w:eastAsia="zh-CN"/>
              </w:rPr>
              <w:t>生产规模：</w:t>
            </w:r>
            <w:r>
              <w:rPr>
                <w:rFonts w:hint="eastAsia" w:ascii="Times New Roman" w:hAnsi="Times New Roman" w:eastAsia="宋体" w:cs="Times New Roman"/>
                <w:color w:val="auto"/>
                <w:szCs w:val="21"/>
                <w:highlight w:val="none"/>
                <w:lang w:val="en-US" w:eastAsia="zh-CN"/>
              </w:rPr>
              <w:t>本项目年用水性漆</w:t>
            </w:r>
            <w:r>
              <w:rPr>
                <w:rFonts w:hint="eastAsia" w:cs="Times New Roman"/>
                <w:color w:val="auto"/>
                <w:szCs w:val="21"/>
                <w:highlight w:val="none"/>
                <w:lang w:val="en-US" w:eastAsia="zh-CN"/>
              </w:rPr>
              <w:t>15.13t</w:t>
            </w:r>
            <w:r>
              <w:rPr>
                <w:rFonts w:hint="eastAsia" w:ascii="Times New Roman" w:hAnsi="Times New Roman" w:eastAsia="宋体" w:cs="Times New Roman"/>
                <w:color w:val="auto"/>
                <w:szCs w:val="21"/>
                <w:highlight w:val="none"/>
                <w:lang w:val="en-US" w:eastAsia="zh-CN"/>
              </w:rPr>
              <w:t>（含稀释剂），</w:t>
            </w:r>
            <w:r>
              <w:rPr>
                <w:rFonts w:hint="eastAsia" w:cs="Times New Roman"/>
                <w:color w:val="auto"/>
                <w:szCs w:val="21"/>
                <w:highlight w:val="none"/>
                <w:lang w:val="en-US" w:eastAsia="zh-CN"/>
              </w:rPr>
              <w:t>服务于周边企业生产零部件、设备等进行</w:t>
            </w:r>
            <w:r>
              <w:rPr>
                <w:rFonts w:hint="eastAsia" w:ascii="Times New Roman" w:hAnsi="Times New Roman" w:eastAsia="宋体" w:cs="Times New Roman"/>
                <w:color w:val="auto"/>
                <w:szCs w:val="21"/>
                <w:highlight w:val="none"/>
                <w:lang w:val="en-US" w:eastAsia="zh-CN"/>
              </w:rPr>
              <w:t>喷漆处理，年喷漆约1200套设备。</w:t>
            </w:r>
          </w:p>
          <w:p w14:paraId="18BD57F1">
            <w:pPr>
              <w:bidi w:val="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项目投资：本项目总投资为1000万元，其中环保投资</w:t>
            </w:r>
            <w:r>
              <w:rPr>
                <w:rFonts w:hint="eastAsia" w:cs="Times New Roman"/>
                <w:color w:val="auto"/>
                <w:szCs w:val="21"/>
                <w:highlight w:val="none"/>
                <w:lang w:val="en-US" w:eastAsia="zh-CN"/>
              </w:rPr>
              <w:t>62</w:t>
            </w:r>
            <w:r>
              <w:rPr>
                <w:rFonts w:hint="eastAsia" w:ascii="Times New Roman" w:hAnsi="Times New Roman" w:eastAsia="宋体" w:cs="Times New Roman"/>
                <w:color w:val="auto"/>
                <w:szCs w:val="21"/>
                <w:highlight w:val="none"/>
                <w:lang w:val="en-US" w:eastAsia="zh-CN"/>
              </w:rPr>
              <w:t>万元，占总投资的</w:t>
            </w:r>
            <w:r>
              <w:rPr>
                <w:rFonts w:hint="eastAsia" w:cs="Times New Roman"/>
                <w:color w:val="auto"/>
                <w:szCs w:val="21"/>
                <w:highlight w:val="none"/>
                <w:lang w:val="en-US" w:eastAsia="zh-CN"/>
              </w:rPr>
              <w:t>6.2</w:t>
            </w:r>
            <w:r>
              <w:rPr>
                <w:rFonts w:hint="eastAsia" w:ascii="Times New Roman" w:hAnsi="Times New Roman" w:eastAsia="宋体" w:cs="Times New Roman"/>
                <w:color w:val="auto"/>
                <w:szCs w:val="21"/>
                <w:highlight w:val="none"/>
                <w:lang w:val="en-US" w:eastAsia="zh-CN"/>
              </w:rPr>
              <w:t>%。</w:t>
            </w:r>
          </w:p>
          <w:p w14:paraId="48BCAE37">
            <w:pPr>
              <w:bidi w:val="0"/>
              <w:rPr>
                <w:rFonts w:hint="default"/>
                <w:color w:val="auto"/>
                <w:highlight w:val="none"/>
                <w:lang w:val="en-US" w:eastAsia="zh-CN"/>
              </w:rPr>
            </w:pPr>
            <w:r>
              <w:rPr>
                <w:rFonts w:hint="eastAsia"/>
                <w:color w:val="auto"/>
                <w:highlight w:val="none"/>
                <w:lang w:val="en-US" w:eastAsia="zh-CN"/>
              </w:rPr>
              <w:t>建设周期：本项目建设周期为2个月</w:t>
            </w:r>
          </w:p>
          <w:p w14:paraId="540CEB86">
            <w:pPr>
              <w:bidi w:val="0"/>
              <w:rPr>
                <w:rFonts w:hint="eastAsia"/>
                <w:color w:val="auto"/>
                <w:highlight w:val="none"/>
                <w:lang w:val="en-US" w:eastAsia="zh-CN"/>
              </w:rPr>
            </w:pPr>
            <w:r>
              <w:rPr>
                <w:rFonts w:hint="eastAsia"/>
                <w:color w:val="auto"/>
                <w:highlight w:val="none"/>
                <w:lang w:val="en-US" w:eastAsia="zh-CN"/>
              </w:rPr>
              <w:t>建设内容：建设1座轻钢喷漆房，建筑面积16200㎡，具体建设情况见下表。</w:t>
            </w:r>
          </w:p>
          <w:p w14:paraId="76909565">
            <w:pPr>
              <w:bidi w:val="0"/>
              <w:ind w:left="0" w:leftChars="0" w:firstLine="0" w:firstLineChars="0"/>
              <w:jc w:val="center"/>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表2-1主要建设内容</w:t>
            </w:r>
          </w:p>
          <w:tbl>
            <w:tblPr>
              <w:tblStyle w:val="26"/>
              <w:tblW w:w="7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298"/>
              <w:gridCol w:w="4855"/>
              <w:gridCol w:w="950"/>
            </w:tblGrid>
            <w:tr w14:paraId="4574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840" w:type="dxa"/>
                  <w:noWrap w:val="0"/>
                  <w:vAlign w:val="center"/>
                </w:tcPr>
                <w:p w14:paraId="1D54A6B2">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b/>
                      <w:bCs/>
                      <w:color w:val="auto"/>
                      <w:szCs w:val="21"/>
                      <w:highlight w:val="none"/>
                    </w:rPr>
                  </w:pPr>
                  <w:r>
                    <w:rPr>
                      <w:b/>
                      <w:bCs/>
                      <w:color w:val="auto"/>
                      <w:szCs w:val="21"/>
                      <w:highlight w:val="none"/>
                    </w:rPr>
                    <w:t>工程类别</w:t>
                  </w:r>
                </w:p>
              </w:tc>
              <w:tc>
                <w:tcPr>
                  <w:tcW w:w="1298" w:type="dxa"/>
                  <w:noWrap w:val="0"/>
                  <w:vAlign w:val="center"/>
                </w:tcPr>
                <w:p w14:paraId="1FAE5BAF">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b/>
                      <w:bCs/>
                      <w:color w:val="auto"/>
                      <w:szCs w:val="21"/>
                      <w:highlight w:val="none"/>
                    </w:rPr>
                  </w:pPr>
                  <w:r>
                    <w:rPr>
                      <w:rFonts w:hint="eastAsia"/>
                      <w:b/>
                      <w:bCs/>
                      <w:color w:val="auto"/>
                      <w:szCs w:val="21"/>
                      <w:highlight w:val="none"/>
                    </w:rPr>
                    <w:t>主要</w:t>
                  </w:r>
                  <w:r>
                    <w:rPr>
                      <w:b/>
                      <w:bCs/>
                      <w:color w:val="auto"/>
                      <w:szCs w:val="21"/>
                      <w:highlight w:val="none"/>
                    </w:rPr>
                    <w:t>内容</w:t>
                  </w:r>
                </w:p>
              </w:tc>
              <w:tc>
                <w:tcPr>
                  <w:tcW w:w="4855" w:type="dxa"/>
                  <w:noWrap w:val="0"/>
                  <w:vAlign w:val="center"/>
                </w:tcPr>
                <w:p w14:paraId="2E1252EF">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b/>
                      <w:bCs/>
                      <w:color w:val="auto"/>
                      <w:szCs w:val="21"/>
                      <w:highlight w:val="none"/>
                    </w:rPr>
                  </w:pPr>
                  <w:r>
                    <w:rPr>
                      <w:rFonts w:hint="eastAsia"/>
                      <w:b/>
                      <w:bCs/>
                      <w:color w:val="auto"/>
                      <w:szCs w:val="21"/>
                      <w:highlight w:val="none"/>
                    </w:rPr>
                    <w:t>工程规模</w:t>
                  </w:r>
                </w:p>
              </w:tc>
              <w:tc>
                <w:tcPr>
                  <w:tcW w:w="950" w:type="dxa"/>
                  <w:noWrap w:val="0"/>
                  <w:vAlign w:val="center"/>
                </w:tcPr>
                <w:p w14:paraId="0B392A80">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b/>
                      <w:bCs/>
                      <w:color w:val="auto"/>
                      <w:szCs w:val="21"/>
                      <w:highlight w:val="none"/>
                    </w:rPr>
                  </w:pPr>
                  <w:r>
                    <w:rPr>
                      <w:b/>
                      <w:bCs/>
                      <w:color w:val="auto"/>
                      <w:szCs w:val="21"/>
                      <w:highlight w:val="none"/>
                    </w:rPr>
                    <w:t>备注</w:t>
                  </w:r>
                </w:p>
              </w:tc>
            </w:tr>
            <w:tr w14:paraId="1A43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jc w:val="center"/>
              </w:trPr>
              <w:tc>
                <w:tcPr>
                  <w:tcW w:w="840" w:type="dxa"/>
                  <w:noWrap w:val="0"/>
                  <w:vAlign w:val="center"/>
                </w:tcPr>
                <w:p w14:paraId="09A1E717">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color w:val="auto"/>
                      <w:szCs w:val="21"/>
                      <w:highlight w:val="none"/>
                    </w:rPr>
                    <w:t>主体工程</w:t>
                  </w:r>
                </w:p>
              </w:tc>
              <w:tc>
                <w:tcPr>
                  <w:tcW w:w="1298" w:type="dxa"/>
                  <w:noWrap w:val="0"/>
                  <w:vAlign w:val="center"/>
                </w:tcPr>
                <w:p w14:paraId="25826C2A">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生产车间</w:t>
                  </w:r>
                </w:p>
              </w:tc>
              <w:tc>
                <w:tcPr>
                  <w:tcW w:w="4855" w:type="dxa"/>
                  <w:noWrap w:val="0"/>
                  <w:vAlign w:val="center"/>
                </w:tcPr>
                <w:p w14:paraId="4947EFAE">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color w:val="auto"/>
                      <w:szCs w:val="21"/>
                      <w:highlight w:val="none"/>
                    </w:rPr>
                  </w:pPr>
                  <w:r>
                    <w:rPr>
                      <w:rFonts w:hint="eastAsia"/>
                      <w:color w:val="auto"/>
                      <w:szCs w:val="21"/>
                      <w:highlight w:val="none"/>
                      <w:lang w:val="en-US" w:eastAsia="zh-CN"/>
                    </w:rPr>
                    <w:t>本项目生产车间建筑面积为16200㎡</w:t>
                  </w:r>
                  <w:r>
                    <w:rPr>
                      <w:rFonts w:hint="eastAsia"/>
                      <w:color w:val="auto"/>
                      <w:szCs w:val="21"/>
                      <w:highlight w:val="none"/>
                      <w:lang w:eastAsia="zh-CN"/>
                    </w:rPr>
                    <w:t>，</w:t>
                  </w:r>
                  <w:r>
                    <w:rPr>
                      <w:rFonts w:hint="eastAsia"/>
                      <w:color w:val="auto"/>
                      <w:szCs w:val="21"/>
                      <w:highlight w:val="none"/>
                      <w:lang w:val="en-US" w:eastAsia="zh-CN"/>
                    </w:rPr>
                    <w:t>全封闭，内设抛丸区，抛丸设备2台，一用一备，占地面积为1400㎡；焊接区，占地面积为2800㎡；喷漆区，占地面积为500㎡；晾干区，占地面积为1000㎡；成品装配区，占地面积为5000㎡；位于成品区设置一座危险废物暂存库，占地面积为12㎡、设置一座10㎡的一般工业固体废物暂存间，占地面积为10㎡。</w:t>
                  </w:r>
                </w:p>
              </w:tc>
              <w:tc>
                <w:tcPr>
                  <w:tcW w:w="950" w:type="dxa"/>
                  <w:noWrap w:val="0"/>
                  <w:vAlign w:val="center"/>
                </w:tcPr>
                <w:p w14:paraId="3344E280">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both"/>
                    <w:textAlignment w:val="auto"/>
                    <w:rPr>
                      <w:rFonts w:hint="default" w:eastAsia="宋体"/>
                      <w:color w:val="auto"/>
                      <w:szCs w:val="21"/>
                      <w:highlight w:val="none"/>
                      <w:lang w:val="en-US" w:eastAsia="zh-CN"/>
                    </w:rPr>
                  </w:pPr>
                  <w:r>
                    <w:rPr>
                      <w:rFonts w:hint="eastAsia"/>
                      <w:color w:val="auto"/>
                      <w:szCs w:val="21"/>
                      <w:highlight w:val="none"/>
                      <w:lang w:val="en-US" w:eastAsia="zh-CN"/>
                    </w:rPr>
                    <w:t>生产车间依托，内部为新建</w:t>
                  </w:r>
                </w:p>
              </w:tc>
            </w:tr>
            <w:tr w14:paraId="14F3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40" w:type="dxa"/>
                  <w:vMerge w:val="restart"/>
                  <w:noWrap w:val="0"/>
                  <w:vAlign w:val="center"/>
                </w:tcPr>
                <w:p w14:paraId="66D8EFC2">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lang w:val="en-US" w:eastAsia="zh-CN"/>
                    </w:rPr>
                    <w:t>公辅工程</w:t>
                  </w:r>
                </w:p>
              </w:tc>
              <w:tc>
                <w:tcPr>
                  <w:tcW w:w="1298" w:type="dxa"/>
                  <w:noWrap w:val="0"/>
                  <w:vAlign w:val="center"/>
                </w:tcPr>
                <w:p w14:paraId="5AAC783B">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油漆暂存区</w:t>
                  </w:r>
                </w:p>
              </w:tc>
              <w:tc>
                <w:tcPr>
                  <w:tcW w:w="4855" w:type="dxa"/>
                  <w:noWrap w:val="0"/>
                  <w:vAlign w:val="center"/>
                </w:tcPr>
                <w:p w14:paraId="12967D6D">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eastAsia="宋体"/>
                      <w:color w:val="auto"/>
                      <w:szCs w:val="21"/>
                      <w:highlight w:val="none"/>
                      <w:lang w:eastAsia="zh-CN"/>
                    </w:rPr>
                  </w:pPr>
                  <w:r>
                    <w:rPr>
                      <w:rFonts w:hint="eastAsia" w:ascii="Times New Roman" w:hAnsi="Times New Roman" w:eastAsia="宋体" w:cs="Times New Roman"/>
                      <w:color w:val="auto"/>
                      <w:szCs w:val="21"/>
                      <w:highlight w:val="none"/>
                      <w:lang w:val="en-US" w:eastAsia="zh-CN"/>
                    </w:rPr>
                    <w:t>位于喷漆房内划分20㎡设置桶装油漆暂存区。</w:t>
                  </w:r>
                </w:p>
              </w:tc>
              <w:tc>
                <w:tcPr>
                  <w:tcW w:w="950" w:type="dxa"/>
                  <w:noWrap w:val="0"/>
                  <w:vAlign w:val="center"/>
                </w:tcPr>
                <w:p w14:paraId="34890692">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lang w:val="en-US" w:eastAsia="zh-CN"/>
                    </w:rPr>
                    <w:t>新建</w:t>
                  </w:r>
                </w:p>
              </w:tc>
            </w:tr>
            <w:tr w14:paraId="24B2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40" w:type="dxa"/>
                  <w:vMerge w:val="continue"/>
                  <w:noWrap w:val="0"/>
                  <w:vAlign w:val="center"/>
                </w:tcPr>
                <w:p w14:paraId="33293D62">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59D296B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eastAsia" w:eastAsia="宋体"/>
                      <w:color w:val="auto"/>
                      <w:szCs w:val="21"/>
                      <w:highlight w:val="none"/>
                      <w:lang w:eastAsia="zh-CN"/>
                    </w:rPr>
                  </w:pPr>
                  <w:r>
                    <w:rPr>
                      <w:rFonts w:hint="eastAsia"/>
                      <w:color w:val="auto"/>
                      <w:szCs w:val="21"/>
                      <w:highlight w:val="none"/>
                      <w:lang w:eastAsia="zh-CN"/>
                    </w:rPr>
                    <w:t>危险废物暂存库</w:t>
                  </w:r>
                </w:p>
              </w:tc>
              <w:tc>
                <w:tcPr>
                  <w:tcW w:w="4855" w:type="dxa"/>
                  <w:noWrap w:val="0"/>
                  <w:vAlign w:val="center"/>
                </w:tcPr>
                <w:p w14:paraId="3D84EED7">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位于生产车间内设置一座12</w:t>
                  </w:r>
                  <w:r>
                    <w:rPr>
                      <w:color w:val="auto"/>
                      <w:szCs w:val="21"/>
                      <w:highlight w:val="none"/>
                    </w:rPr>
                    <w:t>m</w:t>
                  </w:r>
                  <w:r>
                    <w:rPr>
                      <w:rFonts w:hint="eastAsia"/>
                      <w:color w:val="auto"/>
                      <w:szCs w:val="21"/>
                      <w:highlight w:val="none"/>
                    </w:rPr>
                    <w:t>²的</w:t>
                  </w:r>
                  <w:r>
                    <w:rPr>
                      <w:rFonts w:hint="eastAsia"/>
                      <w:color w:val="auto"/>
                      <w:szCs w:val="21"/>
                      <w:highlight w:val="none"/>
                      <w:lang w:val="en-US" w:eastAsia="zh-CN"/>
                    </w:rPr>
                    <w:t>全封闭</w:t>
                  </w:r>
                  <w:r>
                    <w:rPr>
                      <w:rFonts w:hint="eastAsia"/>
                      <w:color w:val="auto"/>
                      <w:szCs w:val="21"/>
                      <w:highlight w:val="none"/>
                      <w:lang w:eastAsia="zh-CN"/>
                    </w:rPr>
                    <w:t>危险废物暂存库，</w:t>
                  </w:r>
                  <w:r>
                    <w:rPr>
                      <w:rFonts w:hint="eastAsia"/>
                      <w:color w:val="auto"/>
                      <w:szCs w:val="21"/>
                      <w:highlight w:val="none"/>
                      <w:lang w:val="en-US" w:eastAsia="zh-CN"/>
                    </w:rPr>
                    <w:t>用于本项目产生的危险废物暂存。</w:t>
                  </w:r>
                </w:p>
              </w:tc>
              <w:tc>
                <w:tcPr>
                  <w:tcW w:w="950" w:type="dxa"/>
                  <w:noWrap w:val="0"/>
                  <w:vAlign w:val="center"/>
                </w:tcPr>
                <w:p w14:paraId="528927BD">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eastAsia" w:eastAsia="宋体"/>
                      <w:color w:val="auto"/>
                      <w:szCs w:val="21"/>
                      <w:highlight w:val="none"/>
                      <w:lang w:eastAsia="zh-CN"/>
                    </w:rPr>
                  </w:pPr>
                  <w:r>
                    <w:rPr>
                      <w:rFonts w:hint="eastAsia"/>
                      <w:color w:val="auto"/>
                      <w:szCs w:val="21"/>
                      <w:highlight w:val="none"/>
                      <w:lang w:val="en-US" w:eastAsia="zh-CN"/>
                    </w:rPr>
                    <w:t>新建</w:t>
                  </w:r>
                </w:p>
              </w:tc>
            </w:tr>
            <w:tr w14:paraId="2731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40" w:type="dxa"/>
                  <w:vMerge w:val="continue"/>
                  <w:noWrap w:val="0"/>
                  <w:vAlign w:val="center"/>
                </w:tcPr>
                <w:p w14:paraId="6AA0D3C8">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1834C995">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color w:val="auto"/>
                      <w:szCs w:val="21"/>
                      <w:highlight w:val="none"/>
                      <w:lang w:val="en-US" w:eastAsia="zh-CN"/>
                    </w:rPr>
                  </w:pPr>
                  <w:r>
                    <w:rPr>
                      <w:rFonts w:hint="eastAsia"/>
                      <w:color w:val="auto"/>
                      <w:szCs w:val="21"/>
                      <w:highlight w:val="none"/>
                      <w:lang w:val="en-US" w:eastAsia="zh-CN"/>
                    </w:rPr>
                    <w:t>一般工业固体废物暂存间</w:t>
                  </w:r>
                </w:p>
              </w:tc>
              <w:tc>
                <w:tcPr>
                  <w:tcW w:w="4855" w:type="dxa"/>
                  <w:noWrap w:val="0"/>
                  <w:vAlign w:val="center"/>
                </w:tcPr>
                <w:p w14:paraId="26D33C3F">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color w:val="auto"/>
                      <w:szCs w:val="21"/>
                      <w:highlight w:val="none"/>
                      <w:lang w:val="en-US" w:eastAsia="zh-CN"/>
                    </w:rPr>
                  </w:pPr>
                  <w:r>
                    <w:rPr>
                      <w:rFonts w:hint="eastAsia"/>
                      <w:color w:val="auto"/>
                      <w:szCs w:val="21"/>
                      <w:highlight w:val="none"/>
                      <w:lang w:val="en-US" w:eastAsia="zh-CN"/>
                    </w:rPr>
                    <w:t>位于生产车间的成品储存区域设置10㎡的一般工业固体废物暂存间，用于本项目产生的一般工业固体废物暂存。</w:t>
                  </w:r>
                </w:p>
              </w:tc>
              <w:tc>
                <w:tcPr>
                  <w:tcW w:w="950" w:type="dxa"/>
                  <w:noWrap w:val="0"/>
                  <w:vAlign w:val="center"/>
                </w:tcPr>
                <w:p w14:paraId="74231AA9">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color w:val="auto"/>
                      <w:szCs w:val="21"/>
                      <w:highlight w:val="none"/>
                      <w:lang w:val="en-US" w:eastAsia="zh-CN"/>
                    </w:rPr>
                  </w:pPr>
                  <w:r>
                    <w:rPr>
                      <w:rFonts w:hint="eastAsia"/>
                      <w:color w:val="auto"/>
                      <w:szCs w:val="21"/>
                      <w:highlight w:val="none"/>
                      <w:lang w:val="en-US" w:eastAsia="zh-CN"/>
                    </w:rPr>
                    <w:t>新建</w:t>
                  </w:r>
                </w:p>
              </w:tc>
            </w:tr>
            <w:tr w14:paraId="0FD5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40" w:type="dxa"/>
                  <w:vMerge w:val="continue"/>
                  <w:noWrap w:val="0"/>
                  <w:vAlign w:val="center"/>
                </w:tcPr>
                <w:p w14:paraId="7B8F121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7B7B32DD">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color w:val="auto"/>
                      <w:szCs w:val="21"/>
                      <w:highlight w:val="none"/>
                      <w:lang w:val="en-US" w:eastAsia="zh-CN"/>
                    </w:rPr>
                  </w:pPr>
                  <w:r>
                    <w:rPr>
                      <w:rFonts w:hint="eastAsia"/>
                      <w:color w:val="auto"/>
                      <w:szCs w:val="21"/>
                      <w:highlight w:val="none"/>
                      <w:lang w:val="en-US" w:eastAsia="zh-CN"/>
                    </w:rPr>
                    <w:t>生活办公区</w:t>
                  </w:r>
                </w:p>
              </w:tc>
              <w:tc>
                <w:tcPr>
                  <w:tcW w:w="4855" w:type="dxa"/>
                  <w:noWrap w:val="0"/>
                  <w:vAlign w:val="center"/>
                </w:tcPr>
                <w:p w14:paraId="40E880E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color w:val="auto"/>
                      <w:szCs w:val="21"/>
                      <w:highlight w:val="none"/>
                      <w:lang w:val="en-US" w:eastAsia="zh-CN"/>
                    </w:rPr>
                  </w:pPr>
                  <w:r>
                    <w:rPr>
                      <w:rFonts w:hint="eastAsia"/>
                      <w:color w:val="auto"/>
                      <w:szCs w:val="21"/>
                      <w:highlight w:val="none"/>
                      <w:lang w:val="en-US" w:eastAsia="zh-CN"/>
                    </w:rPr>
                    <w:t>本项目新建1座生活办公区，建筑面积540㎡，用于日常的职工生活办公使用。</w:t>
                  </w:r>
                </w:p>
              </w:tc>
              <w:tc>
                <w:tcPr>
                  <w:tcW w:w="950" w:type="dxa"/>
                  <w:noWrap w:val="0"/>
                  <w:vAlign w:val="center"/>
                </w:tcPr>
                <w:p w14:paraId="3F865A44">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default"/>
                      <w:color w:val="auto"/>
                      <w:szCs w:val="21"/>
                      <w:highlight w:val="none"/>
                      <w:lang w:val="en-US" w:eastAsia="zh-CN"/>
                    </w:rPr>
                  </w:pPr>
                  <w:r>
                    <w:rPr>
                      <w:rFonts w:hint="eastAsia"/>
                      <w:color w:val="auto"/>
                      <w:szCs w:val="21"/>
                      <w:highlight w:val="none"/>
                      <w:lang w:val="en-US" w:eastAsia="zh-CN"/>
                    </w:rPr>
                    <w:t>新建</w:t>
                  </w:r>
                </w:p>
              </w:tc>
            </w:tr>
            <w:tr w14:paraId="22D8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0" w:type="dxa"/>
                  <w:vMerge w:val="restart"/>
                  <w:noWrap w:val="0"/>
                  <w:vAlign w:val="center"/>
                </w:tcPr>
                <w:p w14:paraId="32AFBECB">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color w:val="auto"/>
                      <w:szCs w:val="21"/>
                      <w:highlight w:val="none"/>
                    </w:rPr>
                    <w:t>公用工程</w:t>
                  </w:r>
                </w:p>
              </w:tc>
              <w:tc>
                <w:tcPr>
                  <w:tcW w:w="1298" w:type="dxa"/>
                  <w:noWrap w:val="0"/>
                  <w:vAlign w:val="center"/>
                </w:tcPr>
                <w:p w14:paraId="793F192C">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供电</w:t>
                  </w:r>
                </w:p>
              </w:tc>
              <w:tc>
                <w:tcPr>
                  <w:tcW w:w="4855" w:type="dxa"/>
                  <w:noWrap w:val="0"/>
                  <w:vAlign w:val="center"/>
                </w:tcPr>
                <w:p w14:paraId="3FADF456">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eastAsia="宋体"/>
                      <w:color w:val="auto"/>
                      <w:szCs w:val="21"/>
                      <w:highlight w:val="none"/>
                      <w:lang w:eastAsia="zh-CN"/>
                    </w:rPr>
                  </w:pPr>
                  <w:r>
                    <w:rPr>
                      <w:rFonts w:hint="eastAsia"/>
                      <w:color w:val="auto"/>
                      <w:highlight w:val="none"/>
                      <w:lang w:val="en-US" w:eastAsia="zh-CN"/>
                    </w:rPr>
                    <w:t>本项目供电采用园区供电系统进行统一供电。</w:t>
                  </w:r>
                </w:p>
              </w:tc>
              <w:tc>
                <w:tcPr>
                  <w:tcW w:w="950" w:type="dxa"/>
                  <w:noWrap w:val="0"/>
                  <w:vAlign w:val="center"/>
                </w:tcPr>
                <w:p w14:paraId="5807E6D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eastAsia"/>
                      <w:color w:val="auto"/>
                      <w:szCs w:val="21"/>
                      <w:highlight w:val="none"/>
                    </w:rPr>
                  </w:pPr>
                  <w:r>
                    <w:rPr>
                      <w:rFonts w:hint="eastAsia"/>
                      <w:color w:val="auto"/>
                      <w:szCs w:val="21"/>
                      <w:highlight w:val="none"/>
                    </w:rPr>
                    <w:t>依托</w:t>
                  </w:r>
                </w:p>
              </w:tc>
            </w:tr>
            <w:tr w14:paraId="1939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vMerge w:val="continue"/>
                  <w:noWrap w:val="0"/>
                  <w:vAlign w:val="center"/>
                </w:tcPr>
                <w:p w14:paraId="1A0998A7">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4AFE4F2E">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供水</w:t>
                  </w:r>
                </w:p>
              </w:tc>
              <w:tc>
                <w:tcPr>
                  <w:tcW w:w="4855" w:type="dxa"/>
                  <w:noWrap w:val="0"/>
                  <w:vAlign w:val="center"/>
                </w:tcPr>
                <w:p w14:paraId="730141CD">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由市政供水管网进行提供。</w:t>
                  </w:r>
                </w:p>
              </w:tc>
              <w:tc>
                <w:tcPr>
                  <w:tcW w:w="950" w:type="dxa"/>
                  <w:noWrap w:val="0"/>
                  <w:vAlign w:val="center"/>
                </w:tcPr>
                <w:p w14:paraId="1460D509">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eastAsia"/>
                      <w:color w:val="auto"/>
                      <w:szCs w:val="21"/>
                      <w:highlight w:val="none"/>
                    </w:rPr>
                  </w:pPr>
                  <w:r>
                    <w:rPr>
                      <w:rFonts w:hint="eastAsia"/>
                      <w:color w:val="auto"/>
                      <w:szCs w:val="21"/>
                      <w:highlight w:val="none"/>
                    </w:rPr>
                    <w:t>依托</w:t>
                  </w:r>
                </w:p>
              </w:tc>
            </w:tr>
            <w:tr w14:paraId="7210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840" w:type="dxa"/>
                  <w:vMerge w:val="continue"/>
                  <w:noWrap w:val="0"/>
                  <w:vAlign w:val="center"/>
                </w:tcPr>
                <w:p w14:paraId="43BDC69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3072832B">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排水</w:t>
                  </w:r>
                </w:p>
              </w:tc>
              <w:tc>
                <w:tcPr>
                  <w:tcW w:w="4855" w:type="dxa"/>
                  <w:noWrap w:val="0"/>
                  <w:vAlign w:val="center"/>
                </w:tcPr>
                <w:p w14:paraId="62DDAEC7">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本项目生活污水直接排入市政污水管网进行处理。</w:t>
                  </w:r>
                </w:p>
              </w:tc>
              <w:tc>
                <w:tcPr>
                  <w:tcW w:w="950" w:type="dxa"/>
                  <w:noWrap w:val="0"/>
                  <w:vAlign w:val="center"/>
                </w:tcPr>
                <w:p w14:paraId="7C553FAD">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eastAsia"/>
                      <w:color w:val="auto"/>
                      <w:szCs w:val="21"/>
                      <w:highlight w:val="none"/>
                    </w:rPr>
                  </w:pPr>
                  <w:r>
                    <w:rPr>
                      <w:rFonts w:hint="eastAsia"/>
                      <w:color w:val="auto"/>
                      <w:szCs w:val="21"/>
                      <w:highlight w:val="none"/>
                    </w:rPr>
                    <w:t>依托</w:t>
                  </w:r>
                </w:p>
              </w:tc>
            </w:tr>
            <w:tr w14:paraId="49E8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40" w:type="dxa"/>
                  <w:vMerge w:val="continue"/>
                  <w:noWrap w:val="0"/>
                  <w:vAlign w:val="center"/>
                </w:tcPr>
                <w:p w14:paraId="45860B6C">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3C0806B4">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供暖</w:t>
                  </w:r>
                </w:p>
              </w:tc>
              <w:tc>
                <w:tcPr>
                  <w:tcW w:w="4855" w:type="dxa"/>
                  <w:noWrap w:val="0"/>
                  <w:vAlign w:val="center"/>
                </w:tcPr>
                <w:p w14:paraId="2F361C35">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eastAsia="宋体"/>
                      <w:color w:val="auto"/>
                      <w:szCs w:val="21"/>
                      <w:highlight w:val="none"/>
                      <w:u w:val="single"/>
                      <w:lang w:val="en-US" w:eastAsia="zh-CN"/>
                    </w:rPr>
                  </w:pPr>
                  <w:r>
                    <w:rPr>
                      <w:rFonts w:hint="eastAsia" w:ascii="Times New Roman" w:hAnsi="Times New Roman" w:eastAsia="宋体" w:cs="Times New Roman"/>
                      <w:color w:val="auto"/>
                      <w:szCs w:val="21"/>
                      <w:highlight w:val="none"/>
                    </w:rPr>
                    <w:t>本项目喷漆房无需供热。</w:t>
                  </w:r>
                  <w:r>
                    <w:rPr>
                      <w:rFonts w:hint="eastAsia" w:cs="Times New Roman"/>
                      <w:color w:val="auto"/>
                      <w:szCs w:val="21"/>
                      <w:highlight w:val="none"/>
                      <w:lang w:val="en-US" w:eastAsia="zh-CN"/>
                    </w:rPr>
                    <w:t>生活办公区供暖采用市政集中供暖。</w:t>
                  </w:r>
                </w:p>
              </w:tc>
              <w:tc>
                <w:tcPr>
                  <w:tcW w:w="950" w:type="dxa"/>
                  <w:noWrap w:val="0"/>
                  <w:vAlign w:val="center"/>
                </w:tcPr>
                <w:p w14:paraId="4346481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eastAsia"/>
                      <w:color w:val="auto"/>
                      <w:szCs w:val="21"/>
                      <w:highlight w:val="none"/>
                    </w:rPr>
                  </w:pPr>
                  <w:r>
                    <w:rPr>
                      <w:rFonts w:hint="eastAsia"/>
                      <w:color w:val="auto"/>
                      <w:szCs w:val="21"/>
                      <w:highlight w:val="none"/>
                    </w:rPr>
                    <w:t>依托</w:t>
                  </w:r>
                </w:p>
              </w:tc>
            </w:tr>
            <w:tr w14:paraId="293F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840" w:type="dxa"/>
                  <w:vMerge w:val="restart"/>
                  <w:noWrap w:val="0"/>
                  <w:vAlign w:val="center"/>
                </w:tcPr>
                <w:p w14:paraId="30331606">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color w:val="auto"/>
                      <w:szCs w:val="21"/>
                      <w:highlight w:val="none"/>
                    </w:rPr>
                    <w:t>环保工程</w:t>
                  </w:r>
                </w:p>
              </w:tc>
              <w:tc>
                <w:tcPr>
                  <w:tcW w:w="1298" w:type="dxa"/>
                  <w:vMerge w:val="restart"/>
                  <w:noWrap w:val="0"/>
                  <w:vAlign w:val="center"/>
                </w:tcPr>
                <w:p w14:paraId="258D430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废气治理</w:t>
                  </w:r>
                </w:p>
              </w:tc>
              <w:tc>
                <w:tcPr>
                  <w:tcW w:w="4855" w:type="dxa"/>
                  <w:noWrap w:val="0"/>
                  <w:vAlign w:val="center"/>
                </w:tcPr>
                <w:p w14:paraId="57A18640">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color w:val="auto"/>
                      <w:highlight w:val="none"/>
                    </w:rPr>
                  </w:pPr>
                  <w:r>
                    <w:rPr>
                      <w:rFonts w:hint="eastAsia" w:ascii="Times New Roman" w:hAnsi="Times New Roman" w:eastAsia="宋体" w:cs="Times New Roman"/>
                      <w:color w:val="auto"/>
                      <w:szCs w:val="21"/>
                      <w:highlight w:val="none"/>
                      <w:lang w:val="en-US" w:eastAsia="zh-CN"/>
                    </w:rPr>
                    <w:t>抛丸废气：抛丸清理过程中的废气采用集气罩收集后，经袋式除尘器处理后，</w:t>
                  </w:r>
                  <w:r>
                    <w:rPr>
                      <w:rFonts w:hint="eastAsia" w:cs="Times New Roman"/>
                      <w:color w:val="auto"/>
                      <w:szCs w:val="21"/>
                      <w:highlight w:val="none"/>
                      <w:lang w:val="en-US" w:eastAsia="zh-CN"/>
                    </w:rPr>
                    <w:t>加装</w:t>
                  </w:r>
                  <w:r>
                    <w:rPr>
                      <w:rFonts w:hint="eastAsia" w:ascii="Times New Roman" w:hAnsi="Times New Roman" w:eastAsia="宋体" w:cs="Times New Roman"/>
                      <w:color w:val="auto"/>
                      <w:szCs w:val="21"/>
                      <w:highlight w:val="none"/>
                      <w:lang w:val="en-US" w:eastAsia="zh-CN"/>
                    </w:rPr>
                    <w:t>1根15m高的排气筒（DA001）排放。</w:t>
                  </w:r>
                </w:p>
              </w:tc>
              <w:tc>
                <w:tcPr>
                  <w:tcW w:w="950" w:type="dxa"/>
                  <w:vMerge w:val="restart"/>
                  <w:noWrap w:val="0"/>
                  <w:vAlign w:val="center"/>
                </w:tcPr>
                <w:p w14:paraId="104A4EC0">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新建</w:t>
                  </w:r>
                </w:p>
              </w:tc>
            </w:tr>
            <w:tr w14:paraId="1D40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840" w:type="dxa"/>
                  <w:vMerge w:val="continue"/>
                  <w:noWrap w:val="0"/>
                  <w:vAlign w:val="center"/>
                </w:tcPr>
                <w:p w14:paraId="4E96EDFB">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color w:val="auto"/>
                      <w:highlight w:val="none"/>
                    </w:rPr>
                  </w:pPr>
                </w:p>
              </w:tc>
              <w:tc>
                <w:tcPr>
                  <w:tcW w:w="1298" w:type="dxa"/>
                  <w:vMerge w:val="continue"/>
                  <w:noWrap w:val="0"/>
                  <w:vAlign w:val="center"/>
                </w:tcPr>
                <w:p w14:paraId="45408A7E">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color w:val="auto"/>
                      <w:highlight w:val="none"/>
                    </w:rPr>
                  </w:pPr>
                </w:p>
              </w:tc>
              <w:tc>
                <w:tcPr>
                  <w:tcW w:w="4855" w:type="dxa"/>
                  <w:noWrap w:val="0"/>
                  <w:vAlign w:val="center"/>
                </w:tcPr>
                <w:p w14:paraId="25345AB8">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焊接废气：</w:t>
                  </w:r>
                  <w:r>
                    <w:rPr>
                      <w:rFonts w:hint="eastAsia"/>
                      <w:color w:val="auto"/>
                      <w:highlight w:val="none"/>
                      <w:lang w:val="en-US" w:eastAsia="zh-CN"/>
                    </w:rPr>
                    <w:t>经移动式焊接烟尘净化器净化处理后无组织排放。</w:t>
                  </w:r>
                </w:p>
              </w:tc>
              <w:tc>
                <w:tcPr>
                  <w:tcW w:w="950" w:type="dxa"/>
                  <w:vMerge w:val="continue"/>
                  <w:noWrap w:val="0"/>
                  <w:vAlign w:val="center"/>
                </w:tcPr>
                <w:p w14:paraId="26B9601D">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p>
              </w:tc>
            </w:tr>
            <w:tr w14:paraId="5868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840" w:type="dxa"/>
                  <w:vMerge w:val="continue"/>
                  <w:noWrap w:val="0"/>
                  <w:vAlign w:val="center"/>
                </w:tcPr>
                <w:p w14:paraId="67F80E3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p>
              </w:tc>
              <w:tc>
                <w:tcPr>
                  <w:tcW w:w="1298" w:type="dxa"/>
                  <w:vMerge w:val="continue"/>
                  <w:noWrap w:val="0"/>
                  <w:vAlign w:val="center"/>
                </w:tcPr>
                <w:p w14:paraId="38E1FD6E">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p>
              </w:tc>
              <w:tc>
                <w:tcPr>
                  <w:tcW w:w="4855" w:type="dxa"/>
                  <w:noWrap w:val="0"/>
                  <w:vAlign w:val="center"/>
                </w:tcPr>
                <w:p w14:paraId="72FA159B">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喷漆废气：喷漆过程于专用封闭喷漆房内进行，</w:t>
                  </w:r>
                  <w:r>
                    <w:rPr>
                      <w:rFonts w:hint="eastAsia" w:cs="Times New Roman"/>
                      <w:color w:val="auto"/>
                      <w:szCs w:val="21"/>
                      <w:highlight w:val="none"/>
                      <w:lang w:val="en-US" w:eastAsia="zh-CN"/>
                    </w:rPr>
                    <w:t>喷漆废气经负压收集</w:t>
                  </w:r>
                  <w:r>
                    <w:rPr>
                      <w:rFonts w:hint="eastAsia" w:ascii="Times New Roman" w:hAnsi="Times New Roman" w:eastAsia="宋体" w:cs="Times New Roman"/>
                      <w:color w:val="auto"/>
                      <w:szCs w:val="21"/>
                      <w:highlight w:val="none"/>
                      <w:lang w:val="en-US" w:eastAsia="zh-CN"/>
                    </w:rPr>
                    <w:t>引至干式过滤器（迷宫纸盒）+过滤棉+二级活性炭吸附装置处理后，</w:t>
                  </w:r>
                  <w:r>
                    <w:rPr>
                      <w:rFonts w:hint="eastAsia" w:cs="Times New Roman"/>
                      <w:color w:val="auto"/>
                      <w:szCs w:val="21"/>
                      <w:highlight w:val="none"/>
                      <w:lang w:val="en-US" w:eastAsia="zh-CN"/>
                    </w:rPr>
                    <w:t>加装1根</w:t>
                  </w:r>
                  <w:r>
                    <w:rPr>
                      <w:rFonts w:hint="eastAsia" w:ascii="Times New Roman" w:hAnsi="Times New Roman" w:eastAsia="宋体" w:cs="Times New Roman"/>
                      <w:color w:val="auto"/>
                      <w:szCs w:val="21"/>
                      <w:highlight w:val="none"/>
                      <w:lang w:val="en-US" w:eastAsia="zh-CN"/>
                    </w:rPr>
                    <w:t>15m高排气筒（DA00</w:t>
                  </w:r>
                  <w:r>
                    <w:rPr>
                      <w:rFonts w:hint="eastAsia" w:cs="Times New Roman"/>
                      <w:color w:val="auto"/>
                      <w:szCs w:val="21"/>
                      <w:highlight w:val="none"/>
                      <w:lang w:val="en-US" w:eastAsia="zh-CN"/>
                    </w:rPr>
                    <w:t>2</w:t>
                  </w:r>
                  <w:r>
                    <w:rPr>
                      <w:rFonts w:hint="eastAsia" w:ascii="Times New Roman" w:hAnsi="Times New Roman" w:eastAsia="宋体" w:cs="Times New Roman"/>
                      <w:color w:val="auto"/>
                      <w:szCs w:val="21"/>
                      <w:highlight w:val="none"/>
                      <w:lang w:val="en-US" w:eastAsia="zh-CN"/>
                    </w:rPr>
                    <w:t>）排放。</w:t>
                  </w:r>
                </w:p>
              </w:tc>
              <w:tc>
                <w:tcPr>
                  <w:tcW w:w="950" w:type="dxa"/>
                  <w:vMerge w:val="continue"/>
                  <w:noWrap w:val="0"/>
                  <w:vAlign w:val="center"/>
                </w:tcPr>
                <w:p w14:paraId="6B75ED8F">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p>
              </w:tc>
            </w:tr>
            <w:tr w14:paraId="069B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840" w:type="dxa"/>
                  <w:vMerge w:val="continue"/>
                  <w:noWrap w:val="0"/>
                  <w:vAlign w:val="center"/>
                </w:tcPr>
                <w:p w14:paraId="53C2CF0C">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54C0628C">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废水治理</w:t>
                  </w:r>
                </w:p>
              </w:tc>
              <w:tc>
                <w:tcPr>
                  <w:tcW w:w="4855" w:type="dxa"/>
                  <w:noWrap w:val="0"/>
                  <w:vAlign w:val="center"/>
                </w:tcPr>
                <w:p w14:paraId="623764D6">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eastAsia="宋体"/>
                      <w:color w:val="auto"/>
                      <w:szCs w:val="21"/>
                      <w:highlight w:val="none"/>
                      <w:u w:val="single"/>
                      <w:lang w:val="en-US" w:eastAsia="zh-CN"/>
                    </w:rPr>
                  </w:pPr>
                  <w:r>
                    <w:rPr>
                      <w:rFonts w:hint="eastAsia"/>
                      <w:color w:val="auto"/>
                      <w:szCs w:val="21"/>
                      <w:highlight w:val="none"/>
                      <w:u w:val="none"/>
                      <w:lang w:val="en-US" w:eastAsia="zh-CN"/>
                    </w:rPr>
                    <w:t>生活污水直接排入市政污水管网处理，不外排，无生产废水。</w:t>
                  </w:r>
                </w:p>
              </w:tc>
              <w:tc>
                <w:tcPr>
                  <w:tcW w:w="950" w:type="dxa"/>
                  <w:noWrap w:val="0"/>
                  <w:vAlign w:val="center"/>
                </w:tcPr>
                <w:p w14:paraId="660543FD">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rFonts w:hint="eastAsia" w:eastAsia="宋体"/>
                      <w:color w:val="auto"/>
                      <w:szCs w:val="21"/>
                      <w:highlight w:val="none"/>
                      <w:lang w:eastAsia="zh-CN"/>
                    </w:rPr>
                  </w:pPr>
                  <w:r>
                    <w:rPr>
                      <w:rFonts w:hint="eastAsia"/>
                      <w:color w:val="auto"/>
                      <w:szCs w:val="21"/>
                      <w:highlight w:val="none"/>
                      <w:lang w:val="en-US" w:eastAsia="zh-CN"/>
                    </w:rPr>
                    <w:t>/</w:t>
                  </w:r>
                </w:p>
              </w:tc>
            </w:tr>
            <w:tr w14:paraId="5D74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40" w:type="dxa"/>
                  <w:vMerge w:val="continue"/>
                  <w:noWrap w:val="0"/>
                  <w:vAlign w:val="center"/>
                </w:tcPr>
                <w:p w14:paraId="4130FC33">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74418A45">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噪声治理</w:t>
                  </w:r>
                </w:p>
              </w:tc>
              <w:tc>
                <w:tcPr>
                  <w:tcW w:w="4855" w:type="dxa"/>
                  <w:noWrap w:val="0"/>
                  <w:vAlign w:val="center"/>
                </w:tcPr>
                <w:p w14:paraId="78F3E0B7">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eastAsia="宋体"/>
                      <w:color w:val="auto"/>
                      <w:szCs w:val="21"/>
                      <w:highlight w:val="none"/>
                      <w:lang w:eastAsia="zh-CN"/>
                    </w:rPr>
                  </w:pPr>
                  <w:r>
                    <w:rPr>
                      <w:rFonts w:hint="default" w:eastAsia="宋体"/>
                      <w:color w:val="auto"/>
                      <w:highlight w:val="none"/>
                      <w:lang w:val="en-US" w:eastAsia="zh-CN"/>
                    </w:rPr>
                    <w:t>采用低噪设备、减振基础、厂房隔声</w:t>
                  </w:r>
                  <w:r>
                    <w:rPr>
                      <w:rFonts w:hint="eastAsia"/>
                      <w:color w:val="auto"/>
                      <w:szCs w:val="21"/>
                      <w:highlight w:val="none"/>
                      <w:lang w:eastAsia="zh-CN"/>
                    </w:rPr>
                    <w:t>。</w:t>
                  </w:r>
                </w:p>
              </w:tc>
              <w:tc>
                <w:tcPr>
                  <w:tcW w:w="950" w:type="dxa"/>
                  <w:noWrap w:val="0"/>
                  <w:vAlign w:val="center"/>
                </w:tcPr>
                <w:p w14:paraId="0B358859">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新建</w:t>
                  </w:r>
                </w:p>
              </w:tc>
            </w:tr>
            <w:tr w14:paraId="43C9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40" w:type="dxa"/>
                  <w:vMerge w:val="continue"/>
                  <w:noWrap w:val="0"/>
                  <w:vAlign w:val="center"/>
                </w:tcPr>
                <w:p w14:paraId="2EF22861">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31208B95">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固体治理</w:t>
                  </w:r>
                </w:p>
              </w:tc>
              <w:tc>
                <w:tcPr>
                  <w:tcW w:w="4855" w:type="dxa"/>
                  <w:noWrap w:val="0"/>
                  <w:vAlign w:val="center"/>
                </w:tcPr>
                <w:p w14:paraId="712C9B0C">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一般工业固体废物：袋式除尘器产生的除尘灰，暂存于一般工业固体废物暂存间，定期外售综合利用。</w:t>
                  </w:r>
                </w:p>
                <w:p w14:paraId="7037AE66">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危险废物：</w:t>
                  </w:r>
                  <w:r>
                    <w:rPr>
                      <w:rFonts w:hint="eastAsia" w:ascii="Times New Roman" w:hAnsi="Times New Roman" w:eastAsia="宋体" w:cs="Times New Roman"/>
                      <w:color w:val="auto"/>
                      <w:szCs w:val="21"/>
                      <w:highlight w:val="none"/>
                      <w:lang w:val="en-US" w:eastAsia="zh-CN"/>
                    </w:rPr>
                    <w:t>废纸壳（含废漆渣）、废过滤棉（含废漆渣）、废活性炭、</w:t>
                  </w:r>
                  <w:r>
                    <w:rPr>
                      <w:rFonts w:hint="eastAsia" w:cs="Times New Roman"/>
                      <w:color w:val="auto"/>
                      <w:szCs w:val="21"/>
                      <w:highlight w:val="none"/>
                      <w:lang w:val="en-US" w:eastAsia="zh-CN"/>
                    </w:rPr>
                    <w:t>废漆渣、</w:t>
                  </w:r>
                  <w:r>
                    <w:rPr>
                      <w:rFonts w:hint="eastAsia" w:ascii="Times New Roman" w:hAnsi="Times New Roman" w:eastAsia="宋体" w:cs="Times New Roman"/>
                      <w:color w:val="auto"/>
                      <w:szCs w:val="21"/>
                      <w:highlight w:val="none"/>
                      <w:lang w:val="en-US" w:eastAsia="zh-CN"/>
                    </w:rPr>
                    <w:t>废漆桶、废机油</w:t>
                  </w:r>
                  <w:r>
                    <w:rPr>
                      <w:rFonts w:hint="eastAsia" w:cs="Times New Roman"/>
                      <w:color w:val="auto"/>
                      <w:szCs w:val="21"/>
                      <w:highlight w:val="none"/>
                      <w:lang w:val="en-US" w:eastAsia="zh-CN"/>
                    </w:rPr>
                    <w:t>、废油桶</w:t>
                  </w:r>
                  <w:r>
                    <w:rPr>
                      <w:rFonts w:hint="eastAsia" w:ascii="Times New Roman" w:hAnsi="Times New Roman" w:eastAsia="宋体" w:cs="Times New Roman"/>
                      <w:color w:val="auto"/>
                      <w:szCs w:val="21"/>
                      <w:highlight w:val="none"/>
                      <w:lang w:val="en-US" w:eastAsia="zh-CN"/>
                    </w:rPr>
                    <w:t>分类收集后暂存在危险废物暂存库，定期交由有资质单位进行处置。</w:t>
                  </w:r>
                </w:p>
                <w:p w14:paraId="4D2AE544">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生活垃圾</w:t>
                  </w:r>
                  <w:r>
                    <w:rPr>
                      <w:rFonts w:hint="eastAsia" w:cs="Times New Roman"/>
                      <w:color w:val="auto"/>
                      <w:szCs w:val="21"/>
                      <w:highlight w:val="none"/>
                      <w:lang w:val="en-US" w:eastAsia="zh-CN"/>
                    </w:rPr>
                    <w:t>：生活垃圾</w:t>
                  </w:r>
                  <w:r>
                    <w:rPr>
                      <w:rFonts w:hint="eastAsia" w:ascii="Times New Roman" w:hAnsi="Times New Roman" w:eastAsia="宋体" w:cs="Times New Roman"/>
                      <w:color w:val="auto"/>
                      <w:szCs w:val="21"/>
                      <w:highlight w:val="none"/>
                      <w:lang w:val="en-US" w:eastAsia="zh-CN"/>
                    </w:rPr>
                    <w:t>由厂区内的垃圾桶统一收集后，定期交由环卫部门统一处理。</w:t>
                  </w:r>
                </w:p>
              </w:tc>
              <w:tc>
                <w:tcPr>
                  <w:tcW w:w="950" w:type="dxa"/>
                  <w:noWrap w:val="0"/>
                  <w:vAlign w:val="center"/>
                </w:tcPr>
                <w:p w14:paraId="7593E61B">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新建</w:t>
                  </w:r>
                </w:p>
              </w:tc>
            </w:tr>
            <w:tr w14:paraId="6135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vMerge w:val="continue"/>
                  <w:noWrap w:val="0"/>
                  <w:vAlign w:val="center"/>
                </w:tcPr>
                <w:p w14:paraId="775994B7">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p>
              </w:tc>
              <w:tc>
                <w:tcPr>
                  <w:tcW w:w="1298" w:type="dxa"/>
                  <w:noWrap w:val="0"/>
                  <w:vAlign w:val="center"/>
                </w:tcPr>
                <w:p w14:paraId="56C8BD20">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防渗</w:t>
                  </w:r>
                </w:p>
              </w:tc>
              <w:tc>
                <w:tcPr>
                  <w:tcW w:w="4855" w:type="dxa"/>
                  <w:noWrap w:val="0"/>
                  <w:vAlign w:val="center"/>
                </w:tcPr>
                <w:p w14:paraId="1C47C9D7">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重要防渗区：</w:t>
                  </w:r>
                  <w:r>
                    <w:rPr>
                      <w:rFonts w:hint="eastAsia" w:cs="Times New Roman"/>
                      <w:color w:val="auto"/>
                      <w:szCs w:val="21"/>
                      <w:highlight w:val="none"/>
                      <w:lang w:val="en-US" w:eastAsia="zh-CN"/>
                    </w:rPr>
                    <w:t>喷漆区、</w:t>
                  </w:r>
                  <w:r>
                    <w:rPr>
                      <w:rFonts w:hint="eastAsia" w:ascii="Times New Roman" w:hAnsi="Times New Roman" w:eastAsia="宋体" w:cs="Times New Roman"/>
                      <w:color w:val="auto"/>
                      <w:szCs w:val="21"/>
                      <w:highlight w:val="none"/>
                    </w:rPr>
                    <w:t>油漆暂存区、</w:t>
                  </w:r>
                  <w:r>
                    <w:rPr>
                      <w:rFonts w:hint="eastAsia" w:ascii="Times New Roman" w:hAnsi="Times New Roman" w:eastAsia="宋体" w:cs="Times New Roman"/>
                      <w:color w:val="auto"/>
                      <w:szCs w:val="21"/>
                      <w:highlight w:val="none"/>
                      <w:lang w:eastAsia="zh-CN"/>
                    </w:rPr>
                    <w:t>危险废物暂存库</w:t>
                  </w:r>
                  <w:r>
                    <w:rPr>
                      <w:rFonts w:hint="eastAsia" w:ascii="Times New Roman" w:hAnsi="Times New Roman" w:eastAsia="宋体" w:cs="Times New Roman"/>
                      <w:color w:val="auto"/>
                      <w:szCs w:val="21"/>
                      <w:highlight w:val="none"/>
                    </w:rPr>
                    <w:t>属于重点防渗区域，</w:t>
                  </w:r>
                  <w:r>
                    <w:rPr>
                      <w:rFonts w:hint="eastAsia" w:ascii="Times New Roman" w:hAnsi="Times New Roman" w:eastAsia="宋体" w:cs="Times New Roman"/>
                      <w:color w:val="auto"/>
                      <w:szCs w:val="21"/>
                      <w:highlight w:val="none"/>
                      <w:lang w:val="en-US" w:eastAsia="zh-CN"/>
                    </w:rPr>
                    <w:t>防渗层为至少1m厚黏土层（渗透系数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w:t>
                  </w:r>
                  <w:r>
                    <w:rPr>
                      <w:rFonts w:hint="eastAsia" w:ascii="Times New Roman" w:hAnsi="Times New Roman" w:eastAsia="宋体" w:cs="Times New Roman"/>
                      <w:color w:val="auto"/>
                      <w:szCs w:val="21"/>
                      <w:highlight w:val="none"/>
                      <w:vertAlign w:val="superscript"/>
                      <w:lang w:val="en-US" w:eastAsia="zh-CN"/>
                    </w:rPr>
                    <w:t>-7</w:t>
                  </w:r>
                  <w:r>
                    <w:rPr>
                      <w:rFonts w:hint="eastAsia" w:ascii="Times New Roman" w:hAnsi="Times New Roman" w:eastAsia="宋体" w:cs="Times New Roman"/>
                      <w:color w:val="auto"/>
                      <w:szCs w:val="21"/>
                      <w:highlight w:val="none"/>
                      <w:lang w:val="en-US" w:eastAsia="zh-CN"/>
                    </w:rPr>
                    <w:t>cm/s）或至少2mm厚高密度聚乙烯膜等人工防渗材料（渗透系数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w:t>
                  </w:r>
                  <w:r>
                    <w:rPr>
                      <w:rFonts w:hint="eastAsia" w:ascii="Times New Roman" w:hAnsi="Times New Roman" w:eastAsia="宋体" w:cs="Times New Roman"/>
                      <w:color w:val="auto"/>
                      <w:szCs w:val="21"/>
                      <w:highlight w:val="none"/>
                      <w:vertAlign w:val="superscript"/>
                      <w:lang w:val="en-US" w:eastAsia="zh-CN"/>
                    </w:rPr>
                    <w:t>-10</w:t>
                  </w:r>
                  <w:r>
                    <w:rPr>
                      <w:rFonts w:hint="eastAsia" w:ascii="Times New Roman" w:hAnsi="Times New Roman" w:eastAsia="宋体" w:cs="Times New Roman"/>
                      <w:color w:val="auto"/>
                      <w:szCs w:val="21"/>
                      <w:highlight w:val="none"/>
                      <w:lang w:val="en-US" w:eastAsia="zh-CN"/>
                    </w:rPr>
                    <w:t>cm/s），或其他防渗性能等效的材料，并</w:t>
                  </w:r>
                  <w:r>
                    <w:rPr>
                      <w:rFonts w:hint="eastAsia" w:ascii="Times New Roman" w:hAnsi="Times New Roman" w:eastAsia="宋体" w:cs="Times New Roman"/>
                      <w:color w:val="auto"/>
                      <w:szCs w:val="21"/>
                      <w:highlight w:val="none"/>
                    </w:rPr>
                    <w:t>涂刷环氧树脂地坪漆</w:t>
                  </w:r>
                  <w:r>
                    <w:rPr>
                      <w:rFonts w:hint="eastAsia" w:ascii="Times New Roman" w:hAnsi="Times New Roman" w:eastAsia="宋体" w:cs="Times New Roman"/>
                      <w:color w:val="auto"/>
                      <w:szCs w:val="21"/>
                      <w:highlight w:val="none"/>
                      <w:lang w:eastAsia="zh-CN"/>
                    </w:rPr>
                    <w:t>。</w:t>
                  </w:r>
                </w:p>
                <w:p w14:paraId="4DACCF1A">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一般防渗区：</w:t>
                  </w:r>
                  <w:r>
                    <w:rPr>
                      <w:rFonts w:hint="eastAsia" w:cs="Times New Roman"/>
                      <w:color w:val="auto"/>
                      <w:szCs w:val="21"/>
                      <w:highlight w:val="none"/>
                      <w:lang w:val="en-US" w:eastAsia="zh-CN"/>
                    </w:rPr>
                    <w:t>生产车间除去喷漆区、危险废物暂存库其他位置采用一般防渗，防渗措施</w:t>
                  </w:r>
                  <w:r>
                    <w:rPr>
                      <w:rFonts w:hint="eastAsia" w:ascii="Times New Roman" w:hAnsi="Times New Roman" w:eastAsia="宋体" w:cs="Times New Roman"/>
                      <w:color w:val="auto"/>
                      <w:szCs w:val="21"/>
                      <w:highlight w:val="none"/>
                      <w:lang w:val="en-US" w:eastAsia="zh-CN"/>
                    </w:rPr>
                    <w:t>采取混凝土硬化+HDPE膜防渗措施，防渗性能均满足一般防渗要求（等效黏土防渗层Mb</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1.5m，渗透系数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1.0×10</w:t>
                  </w:r>
                  <w:r>
                    <w:rPr>
                      <w:rFonts w:hint="eastAsia" w:ascii="Times New Roman" w:hAnsi="Times New Roman" w:eastAsia="宋体" w:cs="Times New Roman"/>
                      <w:color w:val="auto"/>
                      <w:szCs w:val="21"/>
                      <w:highlight w:val="none"/>
                      <w:vertAlign w:val="superscript"/>
                      <w:lang w:val="en-US" w:eastAsia="zh-CN"/>
                    </w:rPr>
                    <w:t>-7</w:t>
                  </w:r>
                  <w:r>
                    <w:rPr>
                      <w:rFonts w:hint="eastAsia" w:ascii="Times New Roman" w:hAnsi="Times New Roman" w:eastAsia="宋体" w:cs="Times New Roman"/>
                      <w:color w:val="auto"/>
                      <w:szCs w:val="21"/>
                      <w:highlight w:val="none"/>
                      <w:lang w:val="en-US" w:eastAsia="zh-CN"/>
                    </w:rPr>
                    <w:t>cm/s）。</w:t>
                  </w:r>
                </w:p>
                <w:p w14:paraId="5C2C01C2">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color w:val="auto"/>
                      <w:szCs w:val="21"/>
                      <w:highlight w:val="none"/>
                      <w:lang w:val="en-US"/>
                    </w:rPr>
                  </w:pPr>
                  <w:r>
                    <w:rPr>
                      <w:rFonts w:hint="eastAsia" w:ascii="Times New Roman" w:hAnsi="Times New Roman" w:eastAsia="宋体" w:cs="Times New Roman"/>
                      <w:color w:val="auto"/>
                      <w:szCs w:val="21"/>
                      <w:highlight w:val="none"/>
                      <w:lang w:val="en-US" w:eastAsia="zh-CN"/>
                    </w:rPr>
                    <w:t>简单防渗区：生活办公区采用简单防渗，地面采用水泥硬化处理。</w:t>
                  </w:r>
                </w:p>
              </w:tc>
              <w:tc>
                <w:tcPr>
                  <w:tcW w:w="950" w:type="dxa"/>
                  <w:noWrap w:val="0"/>
                  <w:vAlign w:val="center"/>
                </w:tcPr>
                <w:p w14:paraId="19E8CF4F">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center"/>
                    <w:textAlignment w:val="auto"/>
                    <w:rPr>
                      <w:color w:val="auto"/>
                      <w:szCs w:val="21"/>
                      <w:highlight w:val="none"/>
                    </w:rPr>
                  </w:pPr>
                  <w:r>
                    <w:rPr>
                      <w:rFonts w:hint="eastAsia"/>
                      <w:color w:val="auto"/>
                      <w:szCs w:val="21"/>
                      <w:highlight w:val="none"/>
                    </w:rPr>
                    <w:t>新建</w:t>
                  </w:r>
                </w:p>
              </w:tc>
            </w:tr>
          </w:tbl>
          <w:p w14:paraId="71EC0045">
            <w:pPr>
              <w:bidi w:val="0"/>
              <w:rPr>
                <w:rFonts w:hint="eastAsia"/>
                <w:b/>
                <w:bCs/>
                <w:color w:val="auto"/>
                <w:highlight w:val="none"/>
                <w:lang w:val="en-US" w:eastAsia="zh-CN"/>
              </w:rPr>
            </w:pPr>
            <w:r>
              <w:rPr>
                <w:rFonts w:hint="eastAsia"/>
                <w:b/>
                <w:bCs/>
                <w:color w:val="auto"/>
                <w:highlight w:val="none"/>
                <w:lang w:val="en-US" w:eastAsia="zh-CN"/>
              </w:rPr>
              <w:t>2、主要设备</w:t>
            </w:r>
          </w:p>
          <w:p w14:paraId="399866E6">
            <w:pPr>
              <w:bidi w:val="0"/>
              <w:rPr>
                <w:rFonts w:hint="eastAsia"/>
                <w:color w:val="auto"/>
                <w:highlight w:val="none"/>
                <w:lang w:val="en-US" w:eastAsia="zh-CN"/>
              </w:rPr>
            </w:pPr>
            <w:r>
              <w:rPr>
                <w:rFonts w:hint="eastAsia"/>
                <w:color w:val="auto"/>
                <w:highlight w:val="none"/>
                <w:lang w:val="en-US" w:eastAsia="zh-CN"/>
              </w:rPr>
              <w:t>本项目主要机械设备如下：</w:t>
            </w:r>
          </w:p>
          <w:p w14:paraId="747A9287">
            <w:pPr>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表2-2设备一览表</w:t>
            </w:r>
          </w:p>
          <w:tbl>
            <w:tblPr>
              <w:tblStyle w:val="26"/>
              <w:tblW w:w="7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787"/>
              <w:gridCol w:w="2277"/>
              <w:gridCol w:w="686"/>
              <w:gridCol w:w="715"/>
              <w:gridCol w:w="715"/>
            </w:tblGrid>
            <w:tr w14:paraId="7917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blHeader/>
                <w:jc w:val="center"/>
              </w:trPr>
              <w:tc>
                <w:tcPr>
                  <w:tcW w:w="816" w:type="dxa"/>
                  <w:noWrap w:val="0"/>
                  <w:vAlign w:val="center"/>
                </w:tcPr>
                <w:p w14:paraId="05E0AD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序号</w:t>
                  </w:r>
                </w:p>
              </w:tc>
              <w:tc>
                <w:tcPr>
                  <w:tcW w:w="2787" w:type="dxa"/>
                  <w:noWrap w:val="0"/>
                  <w:vAlign w:val="center"/>
                </w:tcPr>
                <w:p w14:paraId="467DFD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设备名称</w:t>
                  </w:r>
                </w:p>
              </w:tc>
              <w:tc>
                <w:tcPr>
                  <w:tcW w:w="2277" w:type="dxa"/>
                  <w:noWrap w:val="0"/>
                  <w:vAlign w:val="center"/>
                </w:tcPr>
                <w:p w14:paraId="50EBD0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规格型号</w:t>
                  </w:r>
                </w:p>
              </w:tc>
              <w:tc>
                <w:tcPr>
                  <w:tcW w:w="686" w:type="dxa"/>
                  <w:noWrap w:val="0"/>
                  <w:vAlign w:val="center"/>
                </w:tcPr>
                <w:p w14:paraId="60FD9E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数量</w:t>
                  </w:r>
                </w:p>
              </w:tc>
              <w:tc>
                <w:tcPr>
                  <w:tcW w:w="715" w:type="dxa"/>
                  <w:noWrap w:val="0"/>
                  <w:vAlign w:val="center"/>
                </w:tcPr>
                <w:p w14:paraId="00FBE8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单位</w:t>
                  </w:r>
                </w:p>
              </w:tc>
              <w:tc>
                <w:tcPr>
                  <w:tcW w:w="715" w:type="dxa"/>
                  <w:noWrap w:val="0"/>
                  <w:vAlign w:val="center"/>
                </w:tcPr>
                <w:p w14:paraId="12D76D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备注</w:t>
                  </w:r>
                </w:p>
              </w:tc>
            </w:tr>
            <w:tr w14:paraId="300C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4509C8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2787" w:type="dxa"/>
                  <w:noWrap w:val="0"/>
                  <w:vAlign w:val="center"/>
                </w:tcPr>
                <w:p w14:paraId="0CAC41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举升机</w:t>
                  </w:r>
                </w:p>
              </w:tc>
              <w:tc>
                <w:tcPr>
                  <w:tcW w:w="2277" w:type="dxa"/>
                  <w:noWrap w:val="0"/>
                  <w:vAlign w:val="center"/>
                </w:tcPr>
                <w:p w14:paraId="010C81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QD-150/40T</w:t>
                  </w:r>
                </w:p>
              </w:tc>
              <w:tc>
                <w:tcPr>
                  <w:tcW w:w="686" w:type="dxa"/>
                  <w:noWrap w:val="0"/>
                  <w:vAlign w:val="center"/>
                </w:tcPr>
                <w:p w14:paraId="59AD1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5" w:type="dxa"/>
                  <w:noWrap w:val="0"/>
                  <w:vAlign w:val="center"/>
                </w:tcPr>
                <w:p w14:paraId="790C77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15" w:type="dxa"/>
                  <w:noWrap w:val="0"/>
                  <w:vAlign w:val="center"/>
                </w:tcPr>
                <w:p w14:paraId="6E84EA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3AA8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717D0C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w:t>
                  </w:r>
                </w:p>
              </w:tc>
              <w:tc>
                <w:tcPr>
                  <w:tcW w:w="2787" w:type="dxa"/>
                  <w:noWrap w:val="0"/>
                  <w:vAlign w:val="center"/>
                </w:tcPr>
                <w:p w14:paraId="590232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空压机</w:t>
                  </w:r>
                </w:p>
              </w:tc>
              <w:tc>
                <w:tcPr>
                  <w:tcW w:w="2277" w:type="dxa"/>
                  <w:noWrap w:val="0"/>
                  <w:vAlign w:val="center"/>
                </w:tcPr>
                <w:p w14:paraId="626253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MM110ROTARY</w:t>
                  </w:r>
                </w:p>
              </w:tc>
              <w:tc>
                <w:tcPr>
                  <w:tcW w:w="686" w:type="dxa"/>
                  <w:noWrap w:val="0"/>
                  <w:vAlign w:val="center"/>
                </w:tcPr>
                <w:p w14:paraId="289061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5" w:type="dxa"/>
                  <w:noWrap w:val="0"/>
                  <w:vAlign w:val="center"/>
                </w:tcPr>
                <w:p w14:paraId="1CA97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15" w:type="dxa"/>
                  <w:noWrap w:val="0"/>
                  <w:vAlign w:val="center"/>
                </w:tcPr>
                <w:p w14:paraId="53917A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3CEC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76C43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w:t>
                  </w:r>
                </w:p>
              </w:tc>
              <w:tc>
                <w:tcPr>
                  <w:tcW w:w="2787" w:type="dxa"/>
                  <w:noWrap w:val="0"/>
                  <w:vAlign w:val="center"/>
                </w:tcPr>
                <w:p w14:paraId="5287CA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抛丸机</w:t>
                  </w:r>
                </w:p>
              </w:tc>
              <w:tc>
                <w:tcPr>
                  <w:tcW w:w="2277" w:type="dxa"/>
                  <w:noWrap w:val="0"/>
                  <w:vAlign w:val="center"/>
                </w:tcPr>
                <w:p w14:paraId="0AC01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Q37100/Q3220</w:t>
                  </w:r>
                </w:p>
              </w:tc>
              <w:tc>
                <w:tcPr>
                  <w:tcW w:w="686" w:type="dxa"/>
                  <w:noWrap w:val="0"/>
                  <w:vAlign w:val="center"/>
                </w:tcPr>
                <w:p w14:paraId="46F796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2</w:t>
                  </w:r>
                </w:p>
              </w:tc>
              <w:tc>
                <w:tcPr>
                  <w:tcW w:w="715" w:type="dxa"/>
                  <w:noWrap w:val="0"/>
                  <w:vAlign w:val="center"/>
                </w:tcPr>
                <w:p w14:paraId="372415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15" w:type="dxa"/>
                  <w:noWrap w:val="0"/>
                  <w:vAlign w:val="center"/>
                </w:tcPr>
                <w:p w14:paraId="7EE23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一用一备</w:t>
                  </w:r>
                </w:p>
              </w:tc>
            </w:tr>
            <w:tr w14:paraId="28B1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76E8F6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4</w:t>
                  </w:r>
                </w:p>
              </w:tc>
              <w:tc>
                <w:tcPr>
                  <w:tcW w:w="2787" w:type="dxa"/>
                  <w:noWrap w:val="0"/>
                  <w:vAlign w:val="center"/>
                </w:tcPr>
                <w:p w14:paraId="50973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袋式除尘器</w:t>
                  </w:r>
                </w:p>
              </w:tc>
              <w:tc>
                <w:tcPr>
                  <w:tcW w:w="2277" w:type="dxa"/>
                  <w:noWrap w:val="0"/>
                  <w:vAlign w:val="center"/>
                </w:tcPr>
                <w:p w14:paraId="18D968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LCM-D/G型</w:t>
                  </w:r>
                </w:p>
              </w:tc>
              <w:tc>
                <w:tcPr>
                  <w:tcW w:w="686" w:type="dxa"/>
                  <w:noWrap w:val="0"/>
                  <w:vAlign w:val="center"/>
                </w:tcPr>
                <w:p w14:paraId="289E93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w:t>
                  </w:r>
                </w:p>
              </w:tc>
              <w:tc>
                <w:tcPr>
                  <w:tcW w:w="715" w:type="dxa"/>
                  <w:noWrap w:val="0"/>
                  <w:vAlign w:val="center"/>
                </w:tcPr>
                <w:p w14:paraId="23F20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台</w:t>
                  </w:r>
                </w:p>
              </w:tc>
              <w:tc>
                <w:tcPr>
                  <w:tcW w:w="715" w:type="dxa"/>
                  <w:noWrap w:val="0"/>
                  <w:vAlign w:val="center"/>
                </w:tcPr>
                <w:p w14:paraId="1CBF82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6163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756D3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w:t>
                  </w:r>
                </w:p>
              </w:tc>
              <w:tc>
                <w:tcPr>
                  <w:tcW w:w="2787" w:type="dxa"/>
                  <w:noWrap w:val="0"/>
                  <w:vAlign w:val="center"/>
                </w:tcPr>
                <w:p w14:paraId="4639FA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手持喷枪</w:t>
                  </w:r>
                </w:p>
              </w:tc>
              <w:tc>
                <w:tcPr>
                  <w:tcW w:w="2277" w:type="dxa"/>
                  <w:noWrap w:val="0"/>
                  <w:vAlign w:val="center"/>
                </w:tcPr>
                <w:p w14:paraId="19681C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HBCY-SES</w:t>
                  </w:r>
                </w:p>
              </w:tc>
              <w:tc>
                <w:tcPr>
                  <w:tcW w:w="686" w:type="dxa"/>
                  <w:noWrap w:val="0"/>
                  <w:vAlign w:val="center"/>
                </w:tcPr>
                <w:p w14:paraId="53717C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2</w:t>
                  </w:r>
                </w:p>
              </w:tc>
              <w:tc>
                <w:tcPr>
                  <w:tcW w:w="715" w:type="dxa"/>
                  <w:noWrap w:val="0"/>
                  <w:vAlign w:val="center"/>
                </w:tcPr>
                <w:p w14:paraId="0AB7DE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台</w:t>
                  </w:r>
                </w:p>
              </w:tc>
              <w:tc>
                <w:tcPr>
                  <w:tcW w:w="715" w:type="dxa"/>
                  <w:noWrap w:val="0"/>
                  <w:vAlign w:val="center"/>
                </w:tcPr>
                <w:p w14:paraId="441F5A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0810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blHeader/>
                <w:jc w:val="center"/>
              </w:trPr>
              <w:tc>
                <w:tcPr>
                  <w:tcW w:w="816" w:type="dxa"/>
                  <w:noWrap w:val="0"/>
                  <w:vAlign w:val="center"/>
                </w:tcPr>
                <w:p w14:paraId="7F7AD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w:t>
                  </w:r>
                </w:p>
              </w:tc>
              <w:tc>
                <w:tcPr>
                  <w:tcW w:w="2787" w:type="dxa"/>
                  <w:noWrap w:val="0"/>
                  <w:vAlign w:val="center"/>
                </w:tcPr>
                <w:p w14:paraId="7C9395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移动式焊接烟尘净化器</w:t>
                  </w:r>
                </w:p>
              </w:tc>
              <w:tc>
                <w:tcPr>
                  <w:tcW w:w="2277" w:type="dxa"/>
                  <w:noWrap w:val="0"/>
                  <w:vAlign w:val="center"/>
                </w:tcPr>
                <w:p w14:paraId="60301B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YH-HJ</w:t>
                  </w:r>
                </w:p>
              </w:tc>
              <w:tc>
                <w:tcPr>
                  <w:tcW w:w="686" w:type="dxa"/>
                  <w:noWrap w:val="0"/>
                  <w:vAlign w:val="center"/>
                </w:tcPr>
                <w:p w14:paraId="4E32D4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w:t>
                  </w:r>
                </w:p>
              </w:tc>
              <w:tc>
                <w:tcPr>
                  <w:tcW w:w="715" w:type="dxa"/>
                  <w:noWrap w:val="0"/>
                  <w:vAlign w:val="center"/>
                </w:tcPr>
                <w:p w14:paraId="10A279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套</w:t>
                  </w:r>
                </w:p>
              </w:tc>
              <w:tc>
                <w:tcPr>
                  <w:tcW w:w="715" w:type="dxa"/>
                  <w:noWrap w:val="0"/>
                  <w:vAlign w:val="center"/>
                </w:tcPr>
                <w:p w14:paraId="31125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7759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3743FA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w:t>
                  </w:r>
                </w:p>
              </w:tc>
              <w:tc>
                <w:tcPr>
                  <w:tcW w:w="2787" w:type="dxa"/>
                  <w:noWrap w:val="0"/>
                  <w:vAlign w:val="center"/>
                </w:tcPr>
                <w:p w14:paraId="2F36D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高压油漆喷涂机</w:t>
                  </w:r>
                </w:p>
              </w:tc>
              <w:tc>
                <w:tcPr>
                  <w:tcW w:w="2277" w:type="dxa"/>
                  <w:noWrap w:val="0"/>
                  <w:vAlign w:val="center"/>
                </w:tcPr>
                <w:p w14:paraId="2E975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ASM</w:t>
                  </w:r>
                </w:p>
              </w:tc>
              <w:tc>
                <w:tcPr>
                  <w:tcW w:w="686" w:type="dxa"/>
                  <w:noWrap w:val="0"/>
                  <w:vAlign w:val="center"/>
                </w:tcPr>
                <w:p w14:paraId="598F09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5" w:type="dxa"/>
                  <w:noWrap w:val="0"/>
                  <w:vAlign w:val="center"/>
                </w:tcPr>
                <w:p w14:paraId="1182AA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15" w:type="dxa"/>
                  <w:noWrap w:val="0"/>
                  <w:vAlign w:val="center"/>
                </w:tcPr>
                <w:p w14:paraId="1BFC3E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1E00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36470E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8</w:t>
                  </w:r>
                </w:p>
              </w:tc>
              <w:tc>
                <w:tcPr>
                  <w:tcW w:w="2787" w:type="dxa"/>
                  <w:noWrap w:val="0"/>
                  <w:vAlign w:val="center"/>
                </w:tcPr>
                <w:p w14:paraId="62186E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干式过滤器</w:t>
                  </w:r>
                </w:p>
              </w:tc>
              <w:tc>
                <w:tcPr>
                  <w:tcW w:w="2277" w:type="dxa"/>
                  <w:noWrap w:val="0"/>
                  <w:vAlign w:val="center"/>
                </w:tcPr>
                <w:p w14:paraId="5B0358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SJ-000314</w:t>
                  </w:r>
                </w:p>
              </w:tc>
              <w:tc>
                <w:tcPr>
                  <w:tcW w:w="686" w:type="dxa"/>
                  <w:noWrap w:val="0"/>
                  <w:vAlign w:val="center"/>
                </w:tcPr>
                <w:p w14:paraId="3CD750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w:t>
                  </w:r>
                </w:p>
              </w:tc>
              <w:tc>
                <w:tcPr>
                  <w:tcW w:w="715" w:type="dxa"/>
                  <w:noWrap w:val="0"/>
                  <w:vAlign w:val="center"/>
                </w:tcPr>
                <w:p w14:paraId="764AC3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15" w:type="dxa"/>
                  <w:noWrap w:val="0"/>
                  <w:vAlign w:val="center"/>
                </w:tcPr>
                <w:p w14:paraId="1A17C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1F3F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1177E2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9</w:t>
                  </w:r>
                </w:p>
              </w:tc>
              <w:tc>
                <w:tcPr>
                  <w:tcW w:w="2787" w:type="dxa"/>
                  <w:noWrap w:val="0"/>
                  <w:vAlign w:val="center"/>
                </w:tcPr>
                <w:p w14:paraId="7CB05B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过滤棉</w:t>
                  </w:r>
                </w:p>
              </w:tc>
              <w:tc>
                <w:tcPr>
                  <w:tcW w:w="2277" w:type="dxa"/>
                  <w:noWrap w:val="0"/>
                  <w:vAlign w:val="center"/>
                </w:tcPr>
                <w:p w14:paraId="4E4C4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w:t>
                  </w:r>
                </w:p>
              </w:tc>
              <w:tc>
                <w:tcPr>
                  <w:tcW w:w="686" w:type="dxa"/>
                  <w:noWrap w:val="0"/>
                  <w:vAlign w:val="center"/>
                </w:tcPr>
                <w:p w14:paraId="228950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5" w:type="dxa"/>
                  <w:noWrap w:val="0"/>
                  <w:vAlign w:val="center"/>
                </w:tcPr>
                <w:p w14:paraId="4FFAFD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15" w:type="dxa"/>
                  <w:noWrap w:val="0"/>
                  <w:vAlign w:val="center"/>
                </w:tcPr>
                <w:p w14:paraId="364536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5086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776498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10</w:t>
                  </w:r>
                </w:p>
              </w:tc>
              <w:tc>
                <w:tcPr>
                  <w:tcW w:w="2787" w:type="dxa"/>
                  <w:noWrap w:val="0"/>
                  <w:vAlign w:val="center"/>
                </w:tcPr>
                <w:p w14:paraId="1003D3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二级活性炭吸附箱</w:t>
                  </w:r>
                </w:p>
              </w:tc>
              <w:tc>
                <w:tcPr>
                  <w:tcW w:w="2277" w:type="dxa"/>
                  <w:noWrap w:val="0"/>
                  <w:vAlign w:val="center"/>
                </w:tcPr>
                <w:p w14:paraId="6100E2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3500×1700×2200mm</w:t>
                  </w:r>
                </w:p>
              </w:tc>
              <w:tc>
                <w:tcPr>
                  <w:tcW w:w="686" w:type="dxa"/>
                  <w:noWrap w:val="0"/>
                  <w:vAlign w:val="center"/>
                </w:tcPr>
                <w:p w14:paraId="1B8ADB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5" w:type="dxa"/>
                  <w:noWrap w:val="0"/>
                  <w:vAlign w:val="center"/>
                </w:tcPr>
                <w:p w14:paraId="32C1C9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15" w:type="dxa"/>
                  <w:noWrap w:val="0"/>
                  <w:vAlign w:val="center"/>
                </w:tcPr>
                <w:p w14:paraId="625218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4945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jc w:val="center"/>
              </w:trPr>
              <w:tc>
                <w:tcPr>
                  <w:tcW w:w="816" w:type="dxa"/>
                  <w:noWrap w:val="0"/>
                  <w:vAlign w:val="center"/>
                </w:tcPr>
                <w:p w14:paraId="594460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11</w:t>
                  </w:r>
                </w:p>
              </w:tc>
              <w:tc>
                <w:tcPr>
                  <w:tcW w:w="2787" w:type="dxa"/>
                  <w:noWrap w:val="0"/>
                  <w:vAlign w:val="center"/>
                </w:tcPr>
                <w:p w14:paraId="52E76F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风机</w:t>
                  </w:r>
                </w:p>
              </w:tc>
              <w:tc>
                <w:tcPr>
                  <w:tcW w:w="2277" w:type="dxa"/>
                  <w:noWrap w:val="0"/>
                  <w:vAlign w:val="center"/>
                </w:tcPr>
                <w:p w14:paraId="6C5DC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5000m³/h</w:t>
                  </w:r>
                </w:p>
              </w:tc>
              <w:tc>
                <w:tcPr>
                  <w:tcW w:w="686" w:type="dxa"/>
                  <w:noWrap w:val="0"/>
                  <w:vAlign w:val="center"/>
                </w:tcPr>
                <w:p w14:paraId="29C063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5" w:type="dxa"/>
                  <w:noWrap w:val="0"/>
                  <w:vAlign w:val="center"/>
                </w:tcPr>
                <w:p w14:paraId="14B559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15" w:type="dxa"/>
                  <w:noWrap w:val="0"/>
                  <w:vAlign w:val="center"/>
                </w:tcPr>
                <w:p w14:paraId="57DD26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6FEA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blHeader/>
                <w:jc w:val="center"/>
              </w:trPr>
              <w:tc>
                <w:tcPr>
                  <w:tcW w:w="816" w:type="dxa"/>
                  <w:noWrap w:val="0"/>
                  <w:vAlign w:val="center"/>
                </w:tcPr>
                <w:p w14:paraId="534B78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12</w:t>
                  </w:r>
                </w:p>
              </w:tc>
              <w:tc>
                <w:tcPr>
                  <w:tcW w:w="2787" w:type="dxa"/>
                  <w:noWrap w:val="0"/>
                  <w:vAlign w:val="center"/>
                </w:tcPr>
                <w:p w14:paraId="3E3DDC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测膜仪</w:t>
                  </w:r>
                </w:p>
              </w:tc>
              <w:tc>
                <w:tcPr>
                  <w:tcW w:w="2277" w:type="dxa"/>
                  <w:noWrap w:val="0"/>
                  <w:vAlign w:val="center"/>
                </w:tcPr>
                <w:p w14:paraId="1E2852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F3-S980</w:t>
                  </w:r>
                </w:p>
              </w:tc>
              <w:tc>
                <w:tcPr>
                  <w:tcW w:w="686" w:type="dxa"/>
                  <w:noWrap w:val="0"/>
                  <w:vAlign w:val="center"/>
                </w:tcPr>
                <w:p w14:paraId="7BCF88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5" w:type="dxa"/>
                  <w:noWrap w:val="0"/>
                  <w:vAlign w:val="center"/>
                </w:tcPr>
                <w:p w14:paraId="7E8F5A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15" w:type="dxa"/>
                  <w:noWrap w:val="0"/>
                  <w:vAlign w:val="center"/>
                </w:tcPr>
                <w:p w14:paraId="04CFCF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bl>
          <w:p w14:paraId="4D538BCA">
            <w:pPr>
              <w:bidi w:val="0"/>
              <w:rPr>
                <w:rFonts w:hint="default"/>
                <w:b/>
                <w:bCs/>
                <w:color w:val="auto"/>
                <w:highlight w:val="none"/>
                <w:lang w:val="en-US" w:eastAsia="zh-CN"/>
              </w:rPr>
            </w:pPr>
            <w:r>
              <w:rPr>
                <w:rFonts w:hint="eastAsia"/>
                <w:b/>
                <w:bCs/>
                <w:color w:val="auto"/>
                <w:highlight w:val="none"/>
                <w:lang w:val="en-US" w:eastAsia="zh-CN"/>
              </w:rPr>
              <w:t>3、原辅材料</w:t>
            </w:r>
          </w:p>
          <w:p w14:paraId="064F108C">
            <w:pPr>
              <w:bidi w:val="0"/>
              <w:rPr>
                <w:rFonts w:hint="eastAsia"/>
                <w:b/>
                <w:bCs/>
                <w:color w:val="auto"/>
                <w:highlight w:val="none"/>
              </w:rPr>
            </w:pPr>
            <w:r>
              <w:rPr>
                <w:rFonts w:hint="eastAsia"/>
                <w:b/>
                <w:bCs/>
                <w:color w:val="auto"/>
                <w:highlight w:val="none"/>
              </w:rPr>
              <w:t>（1）水性防锈漆用量计算</w:t>
            </w:r>
          </w:p>
          <w:p w14:paraId="6B9D942E">
            <w:pPr>
              <w:bidi w:val="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水性防锈漆用量计算采用以下公式计算：</w:t>
            </w:r>
          </w:p>
          <w:p w14:paraId="23E78A7A">
            <w:pPr>
              <w:bidi w:val="0"/>
              <w:rPr>
                <w:color w:val="auto"/>
                <w:highlight w:val="none"/>
              </w:rPr>
            </w:pPr>
            <w:r>
              <w:rPr>
                <w:rFonts w:hint="default"/>
                <w:color w:val="auto"/>
                <w:highlight w:val="none"/>
                <w:lang w:val="en-US" w:eastAsia="zh-CN"/>
              </w:rPr>
              <w:t>M=ρδsη×10</w:t>
            </w:r>
            <w:r>
              <w:rPr>
                <w:rFonts w:hint="default"/>
                <w:color w:val="auto"/>
                <w:highlight w:val="none"/>
                <w:vertAlign w:val="superscript"/>
                <w:lang w:val="en-US" w:eastAsia="zh-CN"/>
              </w:rPr>
              <w:t>-6</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NV·ε</w:t>
            </w:r>
            <w:r>
              <w:rPr>
                <w:rFonts w:hint="eastAsia"/>
                <w:color w:val="auto"/>
                <w:highlight w:val="none"/>
                <w:lang w:val="en-US" w:eastAsia="zh-CN"/>
              </w:rPr>
              <w:t>）</w:t>
            </w:r>
          </w:p>
          <w:p w14:paraId="0C5CDF80">
            <w:pPr>
              <w:bidi w:val="0"/>
              <w:rPr>
                <w:color w:val="auto"/>
                <w:highlight w:val="none"/>
              </w:rPr>
            </w:pPr>
            <w:r>
              <w:rPr>
                <w:rFonts w:hint="eastAsia"/>
                <w:color w:val="auto"/>
                <w:highlight w:val="none"/>
              </w:rPr>
              <w:t>其中：</w:t>
            </w:r>
            <w:r>
              <w:rPr>
                <w:rFonts w:hint="eastAsia"/>
                <w:color w:val="auto"/>
                <w:highlight w:val="none"/>
                <w:lang w:val="en-US" w:eastAsia="zh-CN"/>
              </w:rPr>
              <w:t>M</w:t>
            </w:r>
            <w:r>
              <w:rPr>
                <w:rFonts w:hint="eastAsia"/>
                <w:color w:val="auto"/>
                <w:highlight w:val="none"/>
              </w:rPr>
              <w:t>－漆总用量（t/a）；</w:t>
            </w:r>
          </w:p>
          <w:p w14:paraId="3F1C950C">
            <w:pPr>
              <w:bidi w:val="0"/>
              <w:rPr>
                <w:color w:val="auto"/>
                <w:highlight w:val="none"/>
              </w:rPr>
            </w:pPr>
            <w:r>
              <w:rPr>
                <w:color w:val="auto"/>
                <w:highlight w:val="none"/>
              </w:rPr>
              <w:t>ρ－</w:t>
            </w:r>
            <w:r>
              <w:rPr>
                <w:rFonts w:hint="eastAsia"/>
                <w:color w:val="auto"/>
                <w:highlight w:val="none"/>
              </w:rPr>
              <w:t>密度（g/c</w:t>
            </w:r>
            <w:r>
              <w:rPr>
                <w:rFonts w:hint="eastAsia"/>
                <w:color w:val="auto"/>
                <w:highlight w:val="none"/>
                <w:lang w:val="en-US" w:eastAsia="zh-CN"/>
              </w:rPr>
              <w:t>m³</w:t>
            </w:r>
            <w:r>
              <w:rPr>
                <w:rFonts w:hint="eastAsia"/>
                <w:color w:val="auto"/>
                <w:highlight w:val="none"/>
              </w:rPr>
              <w:t>）；</w:t>
            </w:r>
          </w:p>
          <w:p w14:paraId="1983E386">
            <w:pPr>
              <w:bidi w:val="0"/>
              <w:rPr>
                <w:rFonts w:hint="eastAsia"/>
                <w:color w:val="auto"/>
                <w:highlight w:val="none"/>
              </w:rPr>
            </w:pPr>
            <w:r>
              <w:rPr>
                <w:rFonts w:hint="default"/>
                <w:color w:val="auto"/>
                <w:highlight w:val="none"/>
                <w:lang w:val="en-US" w:eastAsia="zh-CN"/>
              </w:rPr>
              <w:t>δ</w:t>
            </w:r>
            <w:r>
              <w:rPr>
                <w:color w:val="auto"/>
                <w:highlight w:val="none"/>
              </w:rPr>
              <w:t>－</w:t>
            </w:r>
            <w:r>
              <w:rPr>
                <w:rFonts w:hint="eastAsia"/>
                <w:color w:val="auto"/>
                <w:highlight w:val="none"/>
              </w:rPr>
              <w:t>涂层厚度（</w:t>
            </w:r>
            <w:r>
              <w:rPr>
                <w:rFonts w:hint="eastAsia"/>
                <w:color w:val="auto"/>
                <w:highlight w:val="none"/>
                <w:lang w:val="en-US" w:eastAsia="zh-CN"/>
              </w:rPr>
              <w:t>μ</w:t>
            </w:r>
            <w:r>
              <w:rPr>
                <w:rFonts w:hint="eastAsia"/>
                <w:color w:val="auto"/>
                <w:highlight w:val="none"/>
              </w:rPr>
              <w:t>m）；</w:t>
            </w:r>
          </w:p>
          <w:p w14:paraId="574B6889">
            <w:pPr>
              <w:bidi w:val="0"/>
              <w:rPr>
                <w:rFonts w:hint="eastAsia"/>
                <w:color w:val="auto"/>
                <w:highlight w:val="none"/>
              </w:rPr>
            </w:pPr>
            <w:r>
              <w:rPr>
                <w:rFonts w:hint="eastAsia"/>
                <w:color w:val="auto"/>
                <w:highlight w:val="none"/>
              </w:rPr>
              <w:t>s</w:t>
            </w:r>
            <w:r>
              <w:rPr>
                <w:color w:val="auto"/>
                <w:highlight w:val="none"/>
              </w:rPr>
              <w:t>－</w:t>
            </w:r>
            <w:r>
              <w:rPr>
                <w:rFonts w:hint="eastAsia"/>
                <w:color w:val="auto"/>
                <w:highlight w:val="none"/>
              </w:rPr>
              <w:t>涂装总面积（</w:t>
            </w:r>
            <w:r>
              <w:rPr>
                <w:rFonts w:hint="eastAsia"/>
                <w:color w:val="auto"/>
                <w:highlight w:val="none"/>
                <w:lang w:val="en-US" w:eastAsia="zh-CN"/>
              </w:rPr>
              <w:t>㎡</w:t>
            </w:r>
            <w:r>
              <w:rPr>
                <w:rFonts w:hint="eastAsia"/>
                <w:color w:val="auto"/>
                <w:highlight w:val="none"/>
              </w:rPr>
              <w:t>/a）；</w:t>
            </w:r>
          </w:p>
          <w:p w14:paraId="37E0CC42">
            <w:pPr>
              <w:bidi w:val="0"/>
              <w:rPr>
                <w:rFonts w:hint="eastAsia"/>
                <w:color w:val="auto"/>
                <w:highlight w:val="none"/>
              </w:rPr>
            </w:pPr>
            <w:r>
              <w:rPr>
                <w:rFonts w:hint="eastAsia"/>
                <w:color w:val="auto"/>
                <w:highlight w:val="none"/>
                <w:lang w:val="en-US" w:eastAsia="zh-CN"/>
              </w:rPr>
              <w:t>η</w:t>
            </w:r>
            <w:r>
              <w:rPr>
                <w:rFonts w:hint="eastAsia"/>
                <w:color w:val="auto"/>
                <w:highlight w:val="none"/>
              </w:rPr>
              <w:t>－</w:t>
            </w:r>
            <w:r>
              <w:rPr>
                <w:rFonts w:hint="eastAsia"/>
                <w:color w:val="auto"/>
                <w:highlight w:val="none"/>
                <w:lang w:val="en-US" w:eastAsia="zh-CN"/>
              </w:rPr>
              <w:t>漆组分所占总漆比例（</w:t>
            </w:r>
            <w:r>
              <w:rPr>
                <w:rFonts w:hint="default"/>
                <w:color w:val="auto"/>
                <w:highlight w:val="none"/>
                <w:lang w:val="en-US" w:eastAsia="zh-CN"/>
              </w:rPr>
              <w:t>%</w:t>
            </w:r>
            <w:r>
              <w:rPr>
                <w:rFonts w:hint="eastAsia"/>
                <w:color w:val="auto"/>
                <w:highlight w:val="none"/>
                <w:lang w:val="en-US" w:eastAsia="zh-CN"/>
              </w:rPr>
              <w:t>）；</w:t>
            </w:r>
          </w:p>
          <w:p w14:paraId="1906F301">
            <w:pPr>
              <w:bidi w:val="0"/>
              <w:rPr>
                <w:color w:val="auto"/>
                <w:highlight w:val="none"/>
              </w:rPr>
            </w:pPr>
            <w:r>
              <w:rPr>
                <w:rFonts w:hint="eastAsia"/>
                <w:color w:val="auto"/>
                <w:highlight w:val="none"/>
              </w:rPr>
              <w:t>NV</w:t>
            </w:r>
            <w:r>
              <w:rPr>
                <w:color w:val="auto"/>
                <w:highlight w:val="none"/>
              </w:rPr>
              <w:t>－</w:t>
            </w:r>
            <w:r>
              <w:rPr>
                <w:rFonts w:hint="eastAsia"/>
                <w:color w:val="auto"/>
                <w:highlight w:val="none"/>
                <w:lang w:val="en-US" w:eastAsia="zh-CN"/>
              </w:rPr>
              <w:t>原漆中</w:t>
            </w:r>
            <w:r>
              <w:rPr>
                <w:rFonts w:hint="eastAsia"/>
                <w:color w:val="auto"/>
                <w:highlight w:val="none"/>
              </w:rPr>
              <w:t>的体积固体份（%）；</w:t>
            </w:r>
          </w:p>
          <w:p w14:paraId="07BAAA52">
            <w:pPr>
              <w:bidi w:val="0"/>
              <w:rPr>
                <w:color w:val="auto"/>
                <w:highlight w:val="none"/>
              </w:rPr>
            </w:pPr>
            <w:r>
              <w:rPr>
                <w:rFonts w:hint="default"/>
                <w:color w:val="auto"/>
                <w:highlight w:val="none"/>
                <w:lang w:val="en-US" w:eastAsia="zh-CN"/>
              </w:rPr>
              <w:t>ε</w:t>
            </w:r>
            <w:r>
              <w:rPr>
                <w:rFonts w:hint="eastAsia"/>
                <w:color w:val="auto"/>
                <w:highlight w:val="none"/>
              </w:rPr>
              <w:t>－上漆率。</w:t>
            </w:r>
          </w:p>
          <w:p w14:paraId="2B2D4F52">
            <w:pPr>
              <w:bidi w:val="0"/>
              <w:rPr>
                <w:rFonts w:hint="eastAsia"/>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参数选定</w:t>
            </w:r>
          </w:p>
          <w:p w14:paraId="16BE6EEF">
            <w:pPr>
              <w:bidi w:val="0"/>
              <w:rPr>
                <w:color w:val="auto"/>
                <w:highlight w:val="none"/>
              </w:rPr>
            </w:pPr>
            <w:r>
              <w:rPr>
                <w:rFonts w:hint="eastAsia"/>
                <w:color w:val="auto"/>
                <w:highlight w:val="none"/>
              </w:rPr>
              <w:t>项目所用水性防锈漆参数如下。</w:t>
            </w:r>
          </w:p>
          <w:p w14:paraId="52BE4082">
            <w:pPr>
              <w:bidi w:val="0"/>
              <w:jc w:val="center"/>
              <w:rPr>
                <w:rFonts w:hint="eastAsia"/>
                <w:b/>
                <w:bCs/>
                <w:color w:val="auto"/>
                <w:highlight w:val="none"/>
              </w:rPr>
            </w:pPr>
            <w:r>
              <w:rPr>
                <w:b/>
                <w:bCs/>
                <w:color w:val="auto"/>
                <w:highlight w:val="none"/>
              </w:rPr>
              <w:t>表</w:t>
            </w:r>
            <w:r>
              <w:rPr>
                <w:rFonts w:hint="eastAsia"/>
                <w:b/>
                <w:bCs/>
                <w:color w:val="auto"/>
                <w:highlight w:val="none"/>
              </w:rPr>
              <w:t>2-</w:t>
            </w:r>
            <w:r>
              <w:rPr>
                <w:rFonts w:hint="eastAsia"/>
                <w:b/>
                <w:bCs/>
                <w:color w:val="auto"/>
                <w:highlight w:val="none"/>
                <w:lang w:val="en-US" w:eastAsia="zh-CN"/>
              </w:rPr>
              <w:t>3</w:t>
            </w:r>
            <w:r>
              <w:rPr>
                <w:rFonts w:hint="eastAsia"/>
                <w:b/>
                <w:bCs/>
                <w:color w:val="auto"/>
                <w:highlight w:val="none"/>
              </w:rPr>
              <w:t>本项目水性漆组分质量一览表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895"/>
              <w:gridCol w:w="1823"/>
              <w:gridCol w:w="1754"/>
              <w:gridCol w:w="1175"/>
            </w:tblGrid>
            <w:tr w14:paraId="1ECE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noWrap w:val="0"/>
                  <w:vAlign w:val="center"/>
                </w:tcPr>
                <w:p w14:paraId="7C3D2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rPr>
                    <w:t>类型</w:t>
                  </w:r>
                </w:p>
              </w:tc>
              <w:tc>
                <w:tcPr>
                  <w:tcW w:w="1895" w:type="dxa"/>
                  <w:noWrap w:val="0"/>
                  <w:vAlign w:val="center"/>
                </w:tcPr>
                <w:p w14:paraId="300729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highlight w:val="none"/>
                      <w:lang w:eastAsia="zh-CN"/>
                    </w:rPr>
                  </w:pPr>
                  <w:r>
                    <w:rPr>
                      <w:rFonts w:hint="eastAsia"/>
                      <w:color w:val="auto"/>
                      <w:highlight w:val="none"/>
                    </w:rPr>
                    <w:t>油漆密度g/c</w:t>
                  </w:r>
                  <w:r>
                    <w:rPr>
                      <w:rFonts w:hint="eastAsia"/>
                      <w:color w:val="auto"/>
                      <w:highlight w:val="none"/>
                      <w:lang w:val="en-US" w:eastAsia="zh-CN"/>
                    </w:rPr>
                    <w:t>m³</w:t>
                  </w:r>
                </w:p>
              </w:tc>
              <w:tc>
                <w:tcPr>
                  <w:tcW w:w="1823" w:type="dxa"/>
                  <w:noWrap w:val="0"/>
                  <w:vAlign w:val="center"/>
                </w:tcPr>
                <w:p w14:paraId="6B8BD8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涂层厚度</w:t>
                  </w:r>
                  <w:r>
                    <w:rPr>
                      <w:rFonts w:hint="eastAsia"/>
                      <w:color w:val="auto"/>
                      <w:highlight w:val="none"/>
                      <w:lang w:val="en-US" w:eastAsia="zh-CN"/>
                    </w:rPr>
                    <w:t>μ</w:t>
                  </w:r>
                  <w:r>
                    <w:rPr>
                      <w:rFonts w:hint="eastAsia"/>
                      <w:color w:val="auto"/>
                      <w:highlight w:val="none"/>
                    </w:rPr>
                    <w:t>m</w:t>
                  </w:r>
                </w:p>
              </w:tc>
              <w:tc>
                <w:tcPr>
                  <w:tcW w:w="1754" w:type="dxa"/>
                  <w:noWrap w:val="0"/>
                  <w:vAlign w:val="center"/>
                </w:tcPr>
                <w:p w14:paraId="74DD6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NV油漆中体积固体份%</w:t>
                  </w:r>
                </w:p>
              </w:tc>
              <w:tc>
                <w:tcPr>
                  <w:tcW w:w="1175" w:type="dxa"/>
                  <w:noWrap w:val="0"/>
                  <w:vAlign w:val="center"/>
                </w:tcPr>
                <w:p w14:paraId="484BC6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lang w:val="en-US" w:eastAsia="zh-CN"/>
                    </w:rPr>
                    <w:t>ε</w:t>
                  </w:r>
                  <w:r>
                    <w:rPr>
                      <w:rFonts w:hint="eastAsia"/>
                      <w:color w:val="auto"/>
                      <w:highlight w:val="none"/>
                    </w:rPr>
                    <w:t>上漆率%</w:t>
                  </w:r>
                </w:p>
              </w:tc>
            </w:tr>
            <w:tr w14:paraId="5BB1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5" w:type="dxa"/>
                  <w:noWrap w:val="0"/>
                  <w:vAlign w:val="center"/>
                </w:tcPr>
                <w:p w14:paraId="515BE0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rPr>
                    <w:t>水性</w:t>
                  </w:r>
                  <w:r>
                    <w:rPr>
                      <w:rFonts w:hint="eastAsia"/>
                      <w:color w:val="auto"/>
                      <w:highlight w:val="none"/>
                      <w:lang w:val="en-US" w:eastAsia="zh-CN"/>
                    </w:rPr>
                    <w:t>面</w:t>
                  </w:r>
                  <w:r>
                    <w:rPr>
                      <w:rFonts w:hint="eastAsia"/>
                      <w:color w:val="auto"/>
                      <w:highlight w:val="none"/>
                    </w:rPr>
                    <w:t>漆</w:t>
                  </w:r>
                </w:p>
              </w:tc>
              <w:tc>
                <w:tcPr>
                  <w:tcW w:w="1895" w:type="dxa"/>
                  <w:noWrap w:val="0"/>
                  <w:vAlign w:val="center"/>
                </w:tcPr>
                <w:p w14:paraId="26F29F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1.10</w:t>
                  </w:r>
                </w:p>
              </w:tc>
              <w:tc>
                <w:tcPr>
                  <w:tcW w:w="1823" w:type="dxa"/>
                  <w:noWrap w:val="0"/>
                  <w:vAlign w:val="center"/>
                </w:tcPr>
                <w:p w14:paraId="218221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100</w:t>
                  </w:r>
                </w:p>
              </w:tc>
              <w:tc>
                <w:tcPr>
                  <w:tcW w:w="1754" w:type="dxa"/>
                  <w:noWrap w:val="0"/>
                  <w:vAlign w:val="center"/>
                </w:tcPr>
                <w:p w14:paraId="7C9912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75</w:t>
                  </w:r>
                </w:p>
              </w:tc>
              <w:tc>
                <w:tcPr>
                  <w:tcW w:w="1175" w:type="dxa"/>
                  <w:noWrap w:val="0"/>
                  <w:vAlign w:val="center"/>
                </w:tcPr>
                <w:p w14:paraId="5C78F0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65</w:t>
                  </w:r>
                </w:p>
              </w:tc>
            </w:tr>
            <w:tr w14:paraId="1BC0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noWrap w:val="0"/>
                  <w:vAlign w:val="center"/>
                </w:tcPr>
                <w:p w14:paraId="79745B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水性底漆</w:t>
                  </w:r>
                </w:p>
              </w:tc>
              <w:tc>
                <w:tcPr>
                  <w:tcW w:w="1895" w:type="dxa"/>
                  <w:noWrap w:val="0"/>
                  <w:vAlign w:val="center"/>
                </w:tcPr>
                <w:p w14:paraId="5B7A09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1.50</w:t>
                  </w:r>
                </w:p>
              </w:tc>
              <w:tc>
                <w:tcPr>
                  <w:tcW w:w="1823" w:type="dxa"/>
                  <w:noWrap w:val="0"/>
                  <w:vAlign w:val="center"/>
                </w:tcPr>
                <w:p w14:paraId="2D38D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50</w:t>
                  </w:r>
                </w:p>
              </w:tc>
              <w:tc>
                <w:tcPr>
                  <w:tcW w:w="1754" w:type="dxa"/>
                  <w:noWrap w:val="0"/>
                  <w:vAlign w:val="center"/>
                </w:tcPr>
                <w:p w14:paraId="250E8C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70</w:t>
                  </w:r>
                </w:p>
              </w:tc>
              <w:tc>
                <w:tcPr>
                  <w:tcW w:w="1175" w:type="dxa"/>
                  <w:noWrap w:val="0"/>
                  <w:vAlign w:val="center"/>
                </w:tcPr>
                <w:p w14:paraId="421004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65</w:t>
                  </w:r>
                </w:p>
              </w:tc>
            </w:tr>
          </w:tbl>
          <w:p w14:paraId="3D3DA429">
            <w:pPr>
              <w:bidi w:val="0"/>
              <w:jc w:val="center"/>
              <w:rPr>
                <w:rFonts w:hint="eastAsia"/>
                <w:b/>
                <w:bCs/>
                <w:color w:val="auto"/>
                <w:highlight w:val="none"/>
              </w:rPr>
            </w:pPr>
            <w:r>
              <w:rPr>
                <w:b/>
                <w:bCs/>
                <w:color w:val="auto"/>
                <w:highlight w:val="none"/>
              </w:rPr>
              <w:t>表</w:t>
            </w:r>
            <w:r>
              <w:rPr>
                <w:rFonts w:hint="eastAsia"/>
                <w:b/>
                <w:bCs/>
                <w:color w:val="auto"/>
                <w:highlight w:val="none"/>
              </w:rPr>
              <w:t>2-</w:t>
            </w:r>
            <w:r>
              <w:rPr>
                <w:rFonts w:hint="eastAsia"/>
                <w:b/>
                <w:bCs/>
                <w:color w:val="auto"/>
                <w:highlight w:val="none"/>
                <w:lang w:val="en-US" w:eastAsia="zh-CN"/>
              </w:rPr>
              <w:t>4</w:t>
            </w:r>
            <w:r>
              <w:rPr>
                <w:rFonts w:hint="eastAsia"/>
                <w:b/>
                <w:bCs/>
                <w:color w:val="auto"/>
                <w:highlight w:val="none"/>
              </w:rPr>
              <w:t>本项目水性漆组分质量一览表</w:t>
            </w:r>
          </w:p>
          <w:tbl>
            <w:tblPr>
              <w:tblStyle w:val="26"/>
              <w:tblW w:w="8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710"/>
              <w:gridCol w:w="986"/>
              <w:gridCol w:w="924"/>
              <w:gridCol w:w="1051"/>
              <w:gridCol w:w="1243"/>
              <w:gridCol w:w="880"/>
              <w:gridCol w:w="1069"/>
              <w:gridCol w:w="778"/>
            </w:tblGrid>
            <w:tr w14:paraId="7F1EB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4" w:hRule="atLeast"/>
                <w:jc w:val="center"/>
              </w:trPr>
              <w:tc>
                <w:tcPr>
                  <w:tcW w:w="1126" w:type="dxa"/>
                  <w:gridSpan w:val="2"/>
                  <w:noWrap w:val="0"/>
                  <w:vAlign w:val="center"/>
                </w:tcPr>
                <w:p w14:paraId="3270A4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rPr>
                    <w:t>类型</w:t>
                  </w:r>
                </w:p>
              </w:tc>
              <w:tc>
                <w:tcPr>
                  <w:tcW w:w="986" w:type="dxa"/>
                  <w:noWrap w:val="0"/>
                  <w:vAlign w:val="center"/>
                </w:tcPr>
                <w:p w14:paraId="3FCA56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lang w:val="en-US" w:eastAsia="zh-CN"/>
                    </w:rPr>
                    <w:t>工件数量（台/套/a）</w:t>
                  </w:r>
                </w:p>
              </w:tc>
              <w:tc>
                <w:tcPr>
                  <w:tcW w:w="924" w:type="dxa"/>
                  <w:noWrap w:val="0"/>
                  <w:vAlign w:val="center"/>
                </w:tcPr>
                <w:p w14:paraId="5044D8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单个面积（㎡）</w:t>
                  </w:r>
                </w:p>
              </w:tc>
              <w:tc>
                <w:tcPr>
                  <w:tcW w:w="1051" w:type="dxa"/>
                  <w:noWrap w:val="0"/>
                  <w:vAlign w:val="center"/>
                </w:tcPr>
                <w:p w14:paraId="7EDD81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default"/>
                      <w:color w:val="auto"/>
                      <w:highlight w:val="none"/>
                      <w:lang w:val="en-US" w:eastAsia="zh-CN"/>
                    </w:rPr>
                    <w:t>s</w:t>
                  </w:r>
                  <w:r>
                    <w:rPr>
                      <w:rFonts w:hint="eastAsia"/>
                      <w:color w:val="auto"/>
                      <w:highlight w:val="none"/>
                      <w:lang w:val="en-US" w:eastAsia="zh-CN"/>
                    </w:rPr>
                    <w:t>总面积（㎡/a）</w:t>
                  </w:r>
                </w:p>
              </w:tc>
              <w:tc>
                <w:tcPr>
                  <w:tcW w:w="1243" w:type="dxa"/>
                  <w:noWrap w:val="0"/>
                  <w:vAlign w:val="center"/>
                </w:tcPr>
                <w:p w14:paraId="1FA6C2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highlight w:val="none"/>
                      <w:lang w:eastAsia="zh-CN"/>
                    </w:rPr>
                  </w:pPr>
                  <w:r>
                    <w:rPr>
                      <w:rFonts w:hint="default"/>
                      <w:color w:val="auto"/>
                      <w:highlight w:val="none"/>
                      <w:lang w:val="en-US" w:eastAsia="zh-CN"/>
                    </w:rPr>
                    <w:t>ρ</w:t>
                  </w:r>
                  <w:r>
                    <w:rPr>
                      <w:rFonts w:hint="eastAsia"/>
                      <w:color w:val="auto"/>
                      <w:highlight w:val="none"/>
                    </w:rPr>
                    <w:t>油漆密度g/c</w:t>
                  </w:r>
                  <w:r>
                    <w:rPr>
                      <w:rFonts w:hint="eastAsia"/>
                      <w:color w:val="auto"/>
                      <w:highlight w:val="none"/>
                      <w:lang w:val="en-US" w:eastAsia="zh-CN"/>
                    </w:rPr>
                    <w:t>m³</w:t>
                  </w:r>
                </w:p>
              </w:tc>
              <w:tc>
                <w:tcPr>
                  <w:tcW w:w="880" w:type="dxa"/>
                  <w:noWrap w:val="0"/>
                  <w:vAlign w:val="center"/>
                </w:tcPr>
                <w:p w14:paraId="5C5576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default"/>
                      <w:color w:val="auto"/>
                      <w:highlight w:val="none"/>
                      <w:lang w:val="en-US" w:eastAsia="zh-CN"/>
                    </w:rPr>
                    <w:t>δ</w:t>
                  </w:r>
                  <w:r>
                    <w:rPr>
                      <w:rFonts w:hint="eastAsia"/>
                      <w:color w:val="auto"/>
                      <w:highlight w:val="none"/>
                    </w:rPr>
                    <w:t>涂层厚度</w:t>
                  </w:r>
                </w:p>
                <w:p w14:paraId="6A5C8F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lang w:val="en-US" w:eastAsia="zh-CN"/>
                    </w:rPr>
                    <w:t>μ</w:t>
                  </w:r>
                  <w:r>
                    <w:rPr>
                      <w:rFonts w:hint="eastAsia"/>
                      <w:color w:val="auto"/>
                      <w:highlight w:val="none"/>
                    </w:rPr>
                    <w:t>m</w:t>
                  </w:r>
                </w:p>
              </w:tc>
              <w:tc>
                <w:tcPr>
                  <w:tcW w:w="1069" w:type="dxa"/>
                  <w:noWrap w:val="0"/>
                  <w:vAlign w:val="center"/>
                </w:tcPr>
                <w:p w14:paraId="0582EA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油漆中体积固体份NV%</w:t>
                  </w:r>
                </w:p>
              </w:tc>
              <w:tc>
                <w:tcPr>
                  <w:tcW w:w="778" w:type="dxa"/>
                  <w:noWrap w:val="0"/>
                  <w:vAlign w:val="center"/>
                </w:tcPr>
                <w:p w14:paraId="01B750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lang w:val="en-US" w:eastAsia="zh-CN"/>
                    </w:rPr>
                    <w:t>ε</w:t>
                  </w:r>
                  <w:r>
                    <w:rPr>
                      <w:rFonts w:hint="eastAsia"/>
                      <w:color w:val="auto"/>
                      <w:highlight w:val="none"/>
                    </w:rPr>
                    <w:t>上漆率%</w:t>
                  </w:r>
                </w:p>
              </w:tc>
            </w:tr>
            <w:tr w14:paraId="6631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416" w:type="dxa"/>
                  <w:vMerge w:val="restart"/>
                  <w:noWrap w:val="0"/>
                  <w:vAlign w:val="center"/>
                </w:tcPr>
                <w:p w14:paraId="2EC059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rPr>
                    <w:t>水性</w:t>
                  </w:r>
                  <w:r>
                    <w:rPr>
                      <w:rFonts w:hint="eastAsia"/>
                      <w:color w:val="auto"/>
                      <w:highlight w:val="none"/>
                      <w:lang w:val="en-US" w:eastAsia="zh-CN"/>
                    </w:rPr>
                    <w:t>面</w:t>
                  </w:r>
                  <w:r>
                    <w:rPr>
                      <w:rFonts w:hint="eastAsia"/>
                      <w:color w:val="auto"/>
                      <w:highlight w:val="none"/>
                    </w:rPr>
                    <w:t>漆</w:t>
                  </w:r>
                </w:p>
              </w:tc>
              <w:tc>
                <w:tcPr>
                  <w:tcW w:w="710" w:type="dxa"/>
                  <w:noWrap w:val="0"/>
                  <w:vAlign w:val="center"/>
                </w:tcPr>
                <w:p w14:paraId="1928B3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lang w:val="en-US" w:eastAsia="zh-CN"/>
                    </w:rPr>
                    <w:t>液压支架</w:t>
                  </w:r>
                </w:p>
              </w:tc>
              <w:tc>
                <w:tcPr>
                  <w:tcW w:w="986" w:type="dxa"/>
                  <w:noWrap w:val="0"/>
                  <w:vAlign w:val="center"/>
                </w:tcPr>
                <w:p w14:paraId="38B81D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300</w:t>
                  </w:r>
                </w:p>
              </w:tc>
              <w:tc>
                <w:tcPr>
                  <w:tcW w:w="924" w:type="dxa"/>
                  <w:noWrap w:val="0"/>
                  <w:vAlign w:val="center"/>
                </w:tcPr>
                <w:p w14:paraId="799DFE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35</w:t>
                  </w:r>
                </w:p>
              </w:tc>
              <w:tc>
                <w:tcPr>
                  <w:tcW w:w="1051" w:type="dxa"/>
                  <w:noWrap w:val="0"/>
                  <w:vAlign w:val="center"/>
                </w:tcPr>
                <w:p w14:paraId="14518B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10500</w:t>
                  </w:r>
                </w:p>
              </w:tc>
              <w:tc>
                <w:tcPr>
                  <w:tcW w:w="1243" w:type="dxa"/>
                  <w:noWrap w:val="0"/>
                  <w:vAlign w:val="center"/>
                </w:tcPr>
                <w:p w14:paraId="17D081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1.10</w:t>
                  </w:r>
                </w:p>
              </w:tc>
              <w:tc>
                <w:tcPr>
                  <w:tcW w:w="880" w:type="dxa"/>
                  <w:noWrap w:val="0"/>
                  <w:vAlign w:val="center"/>
                </w:tcPr>
                <w:p w14:paraId="653995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100</w:t>
                  </w:r>
                </w:p>
              </w:tc>
              <w:tc>
                <w:tcPr>
                  <w:tcW w:w="1069" w:type="dxa"/>
                  <w:noWrap w:val="0"/>
                  <w:vAlign w:val="center"/>
                </w:tcPr>
                <w:p w14:paraId="4DE7B3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75</w:t>
                  </w:r>
                </w:p>
              </w:tc>
              <w:tc>
                <w:tcPr>
                  <w:tcW w:w="778" w:type="dxa"/>
                  <w:noWrap w:val="0"/>
                  <w:vAlign w:val="center"/>
                </w:tcPr>
                <w:p w14:paraId="03AAC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65</w:t>
                  </w:r>
                </w:p>
              </w:tc>
            </w:tr>
            <w:tr w14:paraId="06FC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04B1D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p>
              </w:tc>
              <w:tc>
                <w:tcPr>
                  <w:tcW w:w="710" w:type="dxa"/>
                  <w:noWrap w:val="0"/>
                  <w:vAlign w:val="center"/>
                </w:tcPr>
                <w:p w14:paraId="181911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lang w:val="en-US" w:eastAsia="zh-CN"/>
                    </w:rPr>
                    <w:t>刮板机</w:t>
                  </w:r>
                </w:p>
              </w:tc>
              <w:tc>
                <w:tcPr>
                  <w:tcW w:w="986" w:type="dxa"/>
                  <w:noWrap w:val="0"/>
                  <w:vAlign w:val="center"/>
                </w:tcPr>
                <w:p w14:paraId="1FE668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200</w:t>
                  </w:r>
                </w:p>
              </w:tc>
              <w:tc>
                <w:tcPr>
                  <w:tcW w:w="924" w:type="dxa"/>
                  <w:noWrap w:val="0"/>
                  <w:vAlign w:val="center"/>
                </w:tcPr>
                <w:p w14:paraId="7273FE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30</w:t>
                  </w:r>
                </w:p>
              </w:tc>
              <w:tc>
                <w:tcPr>
                  <w:tcW w:w="1051" w:type="dxa"/>
                  <w:noWrap w:val="0"/>
                  <w:vAlign w:val="center"/>
                </w:tcPr>
                <w:p w14:paraId="3E934E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6000</w:t>
                  </w:r>
                </w:p>
              </w:tc>
              <w:tc>
                <w:tcPr>
                  <w:tcW w:w="1243" w:type="dxa"/>
                  <w:noWrap w:val="0"/>
                  <w:vAlign w:val="center"/>
                </w:tcPr>
                <w:p w14:paraId="645F78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1.10</w:t>
                  </w:r>
                </w:p>
              </w:tc>
              <w:tc>
                <w:tcPr>
                  <w:tcW w:w="880" w:type="dxa"/>
                  <w:noWrap w:val="0"/>
                  <w:vAlign w:val="center"/>
                </w:tcPr>
                <w:p w14:paraId="1EC3F4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100</w:t>
                  </w:r>
                </w:p>
              </w:tc>
              <w:tc>
                <w:tcPr>
                  <w:tcW w:w="1069" w:type="dxa"/>
                  <w:noWrap w:val="0"/>
                  <w:vAlign w:val="center"/>
                </w:tcPr>
                <w:p w14:paraId="23BBA8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778" w:type="dxa"/>
                  <w:noWrap w:val="0"/>
                  <w:vAlign w:val="center"/>
                </w:tcPr>
                <w:p w14:paraId="4227A8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7A86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77DCA3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p>
              </w:tc>
              <w:tc>
                <w:tcPr>
                  <w:tcW w:w="710" w:type="dxa"/>
                  <w:noWrap w:val="0"/>
                  <w:vAlign w:val="center"/>
                </w:tcPr>
                <w:p w14:paraId="2B2B9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lang w:val="en-US" w:eastAsia="zh-CN"/>
                    </w:rPr>
                    <w:t>破碎机</w:t>
                  </w:r>
                </w:p>
              </w:tc>
              <w:tc>
                <w:tcPr>
                  <w:tcW w:w="986" w:type="dxa"/>
                  <w:noWrap w:val="0"/>
                  <w:vAlign w:val="center"/>
                </w:tcPr>
                <w:p w14:paraId="4A7FD0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150</w:t>
                  </w:r>
                </w:p>
              </w:tc>
              <w:tc>
                <w:tcPr>
                  <w:tcW w:w="924" w:type="dxa"/>
                  <w:noWrap w:val="0"/>
                  <w:vAlign w:val="center"/>
                </w:tcPr>
                <w:p w14:paraId="36CEF0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30</w:t>
                  </w:r>
                </w:p>
              </w:tc>
              <w:tc>
                <w:tcPr>
                  <w:tcW w:w="1051" w:type="dxa"/>
                  <w:noWrap w:val="0"/>
                  <w:vAlign w:val="center"/>
                </w:tcPr>
                <w:p w14:paraId="51BF01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4500</w:t>
                  </w:r>
                </w:p>
              </w:tc>
              <w:tc>
                <w:tcPr>
                  <w:tcW w:w="1243" w:type="dxa"/>
                  <w:noWrap w:val="0"/>
                  <w:vAlign w:val="center"/>
                </w:tcPr>
                <w:p w14:paraId="7D1AC1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1.10</w:t>
                  </w:r>
                </w:p>
              </w:tc>
              <w:tc>
                <w:tcPr>
                  <w:tcW w:w="880" w:type="dxa"/>
                  <w:noWrap w:val="0"/>
                  <w:vAlign w:val="center"/>
                </w:tcPr>
                <w:p w14:paraId="3759F3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100</w:t>
                  </w:r>
                </w:p>
              </w:tc>
              <w:tc>
                <w:tcPr>
                  <w:tcW w:w="1069" w:type="dxa"/>
                  <w:noWrap w:val="0"/>
                  <w:vAlign w:val="center"/>
                </w:tcPr>
                <w:p w14:paraId="3564D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778" w:type="dxa"/>
                  <w:noWrap w:val="0"/>
                  <w:vAlign w:val="center"/>
                </w:tcPr>
                <w:p w14:paraId="049110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79F5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2BE03E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p>
              </w:tc>
              <w:tc>
                <w:tcPr>
                  <w:tcW w:w="710" w:type="dxa"/>
                  <w:noWrap w:val="0"/>
                  <w:vAlign w:val="center"/>
                </w:tcPr>
                <w:p w14:paraId="5A1F6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lang w:val="en-US" w:eastAsia="zh-CN"/>
                    </w:rPr>
                    <w:t>立柱</w:t>
                  </w:r>
                </w:p>
              </w:tc>
              <w:tc>
                <w:tcPr>
                  <w:tcW w:w="986" w:type="dxa"/>
                  <w:noWrap w:val="0"/>
                  <w:vAlign w:val="center"/>
                </w:tcPr>
                <w:p w14:paraId="02B5F3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250</w:t>
                  </w:r>
                </w:p>
              </w:tc>
              <w:tc>
                <w:tcPr>
                  <w:tcW w:w="924" w:type="dxa"/>
                  <w:noWrap w:val="0"/>
                  <w:vAlign w:val="center"/>
                </w:tcPr>
                <w:p w14:paraId="6F5B3C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35</w:t>
                  </w:r>
                </w:p>
              </w:tc>
              <w:tc>
                <w:tcPr>
                  <w:tcW w:w="1051" w:type="dxa"/>
                  <w:noWrap w:val="0"/>
                  <w:vAlign w:val="center"/>
                </w:tcPr>
                <w:p w14:paraId="43D56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8750</w:t>
                  </w:r>
                </w:p>
              </w:tc>
              <w:tc>
                <w:tcPr>
                  <w:tcW w:w="1243" w:type="dxa"/>
                  <w:noWrap w:val="0"/>
                  <w:vAlign w:val="center"/>
                </w:tcPr>
                <w:p w14:paraId="07493B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1.10</w:t>
                  </w:r>
                </w:p>
              </w:tc>
              <w:tc>
                <w:tcPr>
                  <w:tcW w:w="880" w:type="dxa"/>
                  <w:noWrap w:val="0"/>
                  <w:vAlign w:val="center"/>
                </w:tcPr>
                <w:p w14:paraId="56A979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100</w:t>
                  </w:r>
                </w:p>
              </w:tc>
              <w:tc>
                <w:tcPr>
                  <w:tcW w:w="1069" w:type="dxa"/>
                  <w:noWrap w:val="0"/>
                  <w:vAlign w:val="center"/>
                </w:tcPr>
                <w:p w14:paraId="7F9034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778" w:type="dxa"/>
                  <w:noWrap w:val="0"/>
                  <w:vAlign w:val="center"/>
                </w:tcPr>
                <w:p w14:paraId="450744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2841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027E0A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p>
              </w:tc>
              <w:tc>
                <w:tcPr>
                  <w:tcW w:w="710" w:type="dxa"/>
                  <w:noWrap w:val="0"/>
                  <w:vAlign w:val="center"/>
                </w:tcPr>
                <w:p w14:paraId="407363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lang w:val="en-US" w:eastAsia="zh-CN"/>
                    </w:rPr>
                    <w:t>千斤</w:t>
                  </w:r>
                  <w:r>
                    <w:rPr>
                      <w:rFonts w:hint="eastAsia" w:ascii="Times New Roman" w:hAnsi="Times New Roman" w:eastAsia="宋体" w:cs="Times New Roman"/>
                      <w:color w:val="auto"/>
                      <w:highlight w:val="none"/>
                      <w:lang w:val="en-US" w:eastAsia="zh-CN"/>
                    </w:rPr>
                    <w:t>顶</w:t>
                  </w:r>
                </w:p>
              </w:tc>
              <w:tc>
                <w:tcPr>
                  <w:tcW w:w="986" w:type="dxa"/>
                  <w:noWrap w:val="0"/>
                  <w:vAlign w:val="center"/>
                </w:tcPr>
                <w:p w14:paraId="71ABC0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300</w:t>
                  </w:r>
                </w:p>
              </w:tc>
              <w:tc>
                <w:tcPr>
                  <w:tcW w:w="924" w:type="dxa"/>
                  <w:noWrap w:val="0"/>
                  <w:vAlign w:val="center"/>
                </w:tcPr>
                <w:p w14:paraId="40239A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30</w:t>
                  </w:r>
                </w:p>
              </w:tc>
              <w:tc>
                <w:tcPr>
                  <w:tcW w:w="1051" w:type="dxa"/>
                  <w:noWrap w:val="0"/>
                  <w:vAlign w:val="center"/>
                </w:tcPr>
                <w:p w14:paraId="17FEC9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9000</w:t>
                  </w:r>
                </w:p>
              </w:tc>
              <w:tc>
                <w:tcPr>
                  <w:tcW w:w="1243" w:type="dxa"/>
                  <w:noWrap w:val="0"/>
                  <w:vAlign w:val="center"/>
                </w:tcPr>
                <w:p w14:paraId="328C2D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1.10</w:t>
                  </w:r>
                </w:p>
              </w:tc>
              <w:tc>
                <w:tcPr>
                  <w:tcW w:w="880" w:type="dxa"/>
                  <w:noWrap w:val="0"/>
                  <w:vAlign w:val="center"/>
                </w:tcPr>
                <w:p w14:paraId="2E91A1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100</w:t>
                  </w:r>
                </w:p>
              </w:tc>
              <w:tc>
                <w:tcPr>
                  <w:tcW w:w="1069" w:type="dxa"/>
                  <w:noWrap w:val="0"/>
                  <w:vAlign w:val="center"/>
                </w:tcPr>
                <w:p w14:paraId="2B4840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778" w:type="dxa"/>
                  <w:noWrap w:val="0"/>
                  <w:vAlign w:val="center"/>
                </w:tcPr>
                <w:p w14:paraId="292BC5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4799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restart"/>
                  <w:noWrap w:val="0"/>
                  <w:vAlign w:val="center"/>
                </w:tcPr>
                <w:p w14:paraId="57BBBA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水性底漆</w:t>
                  </w:r>
                </w:p>
              </w:tc>
              <w:tc>
                <w:tcPr>
                  <w:tcW w:w="710" w:type="dxa"/>
                  <w:noWrap w:val="0"/>
                  <w:vAlign w:val="center"/>
                </w:tcPr>
                <w:p w14:paraId="396072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液压支架</w:t>
                  </w:r>
                </w:p>
              </w:tc>
              <w:tc>
                <w:tcPr>
                  <w:tcW w:w="986" w:type="dxa"/>
                  <w:noWrap w:val="0"/>
                  <w:vAlign w:val="center"/>
                </w:tcPr>
                <w:p w14:paraId="09A627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300</w:t>
                  </w:r>
                </w:p>
              </w:tc>
              <w:tc>
                <w:tcPr>
                  <w:tcW w:w="924" w:type="dxa"/>
                  <w:noWrap w:val="0"/>
                  <w:vAlign w:val="center"/>
                </w:tcPr>
                <w:p w14:paraId="394DDA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35</w:t>
                  </w:r>
                </w:p>
              </w:tc>
              <w:tc>
                <w:tcPr>
                  <w:tcW w:w="1051" w:type="dxa"/>
                  <w:noWrap w:val="0"/>
                  <w:vAlign w:val="center"/>
                </w:tcPr>
                <w:p w14:paraId="367A24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10500</w:t>
                  </w:r>
                </w:p>
              </w:tc>
              <w:tc>
                <w:tcPr>
                  <w:tcW w:w="1243" w:type="dxa"/>
                  <w:noWrap w:val="0"/>
                  <w:vAlign w:val="center"/>
                </w:tcPr>
                <w:p w14:paraId="357E2D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1.50</w:t>
                  </w:r>
                </w:p>
              </w:tc>
              <w:tc>
                <w:tcPr>
                  <w:tcW w:w="880" w:type="dxa"/>
                  <w:noWrap w:val="0"/>
                  <w:vAlign w:val="center"/>
                </w:tcPr>
                <w:p w14:paraId="36A89D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50</w:t>
                  </w:r>
                </w:p>
              </w:tc>
              <w:tc>
                <w:tcPr>
                  <w:tcW w:w="1069" w:type="dxa"/>
                  <w:noWrap w:val="0"/>
                  <w:vAlign w:val="center"/>
                </w:tcPr>
                <w:p w14:paraId="155F39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70</w:t>
                  </w:r>
                </w:p>
              </w:tc>
              <w:tc>
                <w:tcPr>
                  <w:tcW w:w="778" w:type="dxa"/>
                  <w:noWrap w:val="0"/>
                  <w:vAlign w:val="center"/>
                </w:tcPr>
                <w:p w14:paraId="75272C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65</w:t>
                  </w:r>
                </w:p>
              </w:tc>
            </w:tr>
            <w:tr w14:paraId="20F0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734D09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710" w:type="dxa"/>
                  <w:noWrap w:val="0"/>
                  <w:vAlign w:val="center"/>
                </w:tcPr>
                <w:p w14:paraId="779019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刮板机</w:t>
                  </w:r>
                </w:p>
              </w:tc>
              <w:tc>
                <w:tcPr>
                  <w:tcW w:w="986" w:type="dxa"/>
                  <w:noWrap w:val="0"/>
                  <w:vAlign w:val="center"/>
                </w:tcPr>
                <w:p w14:paraId="1F3583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w:t>
                  </w:r>
                </w:p>
              </w:tc>
              <w:tc>
                <w:tcPr>
                  <w:tcW w:w="924" w:type="dxa"/>
                  <w:noWrap w:val="0"/>
                  <w:vAlign w:val="center"/>
                </w:tcPr>
                <w:p w14:paraId="508186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30</w:t>
                  </w:r>
                </w:p>
              </w:tc>
              <w:tc>
                <w:tcPr>
                  <w:tcW w:w="1051" w:type="dxa"/>
                  <w:noWrap w:val="0"/>
                  <w:vAlign w:val="center"/>
                </w:tcPr>
                <w:p w14:paraId="30F1F9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6000</w:t>
                  </w:r>
                </w:p>
              </w:tc>
              <w:tc>
                <w:tcPr>
                  <w:tcW w:w="1243" w:type="dxa"/>
                  <w:noWrap w:val="0"/>
                  <w:vAlign w:val="center"/>
                </w:tcPr>
                <w:p w14:paraId="71A481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1.50</w:t>
                  </w:r>
                </w:p>
              </w:tc>
              <w:tc>
                <w:tcPr>
                  <w:tcW w:w="880" w:type="dxa"/>
                  <w:noWrap w:val="0"/>
                  <w:vAlign w:val="center"/>
                </w:tcPr>
                <w:p w14:paraId="1735DE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50</w:t>
                  </w:r>
                </w:p>
              </w:tc>
              <w:tc>
                <w:tcPr>
                  <w:tcW w:w="1069" w:type="dxa"/>
                  <w:noWrap w:val="0"/>
                  <w:vAlign w:val="center"/>
                </w:tcPr>
                <w:p w14:paraId="65D25B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70</w:t>
                  </w:r>
                </w:p>
              </w:tc>
              <w:tc>
                <w:tcPr>
                  <w:tcW w:w="778" w:type="dxa"/>
                  <w:noWrap w:val="0"/>
                  <w:vAlign w:val="center"/>
                </w:tcPr>
                <w:p w14:paraId="0B4CD9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1DEF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56DA16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710" w:type="dxa"/>
                  <w:noWrap w:val="0"/>
                  <w:vAlign w:val="center"/>
                </w:tcPr>
                <w:p w14:paraId="0318CA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破碎机</w:t>
                  </w:r>
                </w:p>
              </w:tc>
              <w:tc>
                <w:tcPr>
                  <w:tcW w:w="986" w:type="dxa"/>
                  <w:noWrap w:val="0"/>
                  <w:vAlign w:val="center"/>
                </w:tcPr>
                <w:p w14:paraId="56A7F6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150</w:t>
                  </w:r>
                </w:p>
              </w:tc>
              <w:tc>
                <w:tcPr>
                  <w:tcW w:w="924" w:type="dxa"/>
                  <w:noWrap w:val="0"/>
                  <w:vAlign w:val="center"/>
                </w:tcPr>
                <w:p w14:paraId="784309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30</w:t>
                  </w:r>
                </w:p>
              </w:tc>
              <w:tc>
                <w:tcPr>
                  <w:tcW w:w="1051" w:type="dxa"/>
                  <w:noWrap w:val="0"/>
                  <w:vAlign w:val="center"/>
                </w:tcPr>
                <w:p w14:paraId="0E8F58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4500</w:t>
                  </w:r>
                </w:p>
              </w:tc>
              <w:tc>
                <w:tcPr>
                  <w:tcW w:w="1243" w:type="dxa"/>
                  <w:noWrap w:val="0"/>
                  <w:vAlign w:val="center"/>
                </w:tcPr>
                <w:p w14:paraId="1AC355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1.50</w:t>
                  </w:r>
                </w:p>
              </w:tc>
              <w:tc>
                <w:tcPr>
                  <w:tcW w:w="880" w:type="dxa"/>
                  <w:noWrap w:val="0"/>
                  <w:vAlign w:val="center"/>
                </w:tcPr>
                <w:p w14:paraId="0B8B9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50</w:t>
                  </w:r>
                </w:p>
              </w:tc>
              <w:tc>
                <w:tcPr>
                  <w:tcW w:w="1069" w:type="dxa"/>
                  <w:noWrap w:val="0"/>
                  <w:vAlign w:val="center"/>
                </w:tcPr>
                <w:p w14:paraId="239D34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70</w:t>
                  </w:r>
                </w:p>
              </w:tc>
              <w:tc>
                <w:tcPr>
                  <w:tcW w:w="778" w:type="dxa"/>
                  <w:noWrap w:val="0"/>
                  <w:vAlign w:val="center"/>
                </w:tcPr>
                <w:p w14:paraId="6C8ACA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2CEE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16" w:type="dxa"/>
                  <w:vMerge w:val="continue"/>
                  <w:noWrap w:val="0"/>
                  <w:vAlign w:val="center"/>
                </w:tcPr>
                <w:p w14:paraId="112AA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710" w:type="dxa"/>
                  <w:noWrap w:val="0"/>
                  <w:vAlign w:val="center"/>
                </w:tcPr>
                <w:p w14:paraId="3384D1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立柱</w:t>
                  </w:r>
                </w:p>
              </w:tc>
              <w:tc>
                <w:tcPr>
                  <w:tcW w:w="986" w:type="dxa"/>
                  <w:noWrap w:val="0"/>
                  <w:vAlign w:val="center"/>
                </w:tcPr>
                <w:p w14:paraId="3F8BF1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250</w:t>
                  </w:r>
                </w:p>
              </w:tc>
              <w:tc>
                <w:tcPr>
                  <w:tcW w:w="924" w:type="dxa"/>
                  <w:noWrap w:val="0"/>
                  <w:vAlign w:val="center"/>
                </w:tcPr>
                <w:p w14:paraId="3BCF6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35</w:t>
                  </w:r>
                </w:p>
              </w:tc>
              <w:tc>
                <w:tcPr>
                  <w:tcW w:w="1051" w:type="dxa"/>
                  <w:noWrap w:val="0"/>
                  <w:vAlign w:val="center"/>
                </w:tcPr>
                <w:p w14:paraId="17A638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8750</w:t>
                  </w:r>
                </w:p>
              </w:tc>
              <w:tc>
                <w:tcPr>
                  <w:tcW w:w="1243" w:type="dxa"/>
                  <w:noWrap w:val="0"/>
                  <w:vAlign w:val="center"/>
                </w:tcPr>
                <w:p w14:paraId="7743C0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1.50</w:t>
                  </w:r>
                </w:p>
              </w:tc>
              <w:tc>
                <w:tcPr>
                  <w:tcW w:w="880" w:type="dxa"/>
                  <w:noWrap w:val="0"/>
                  <w:vAlign w:val="center"/>
                </w:tcPr>
                <w:p w14:paraId="11846D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50</w:t>
                  </w:r>
                </w:p>
              </w:tc>
              <w:tc>
                <w:tcPr>
                  <w:tcW w:w="1069" w:type="dxa"/>
                  <w:noWrap w:val="0"/>
                  <w:vAlign w:val="center"/>
                </w:tcPr>
                <w:p w14:paraId="23E4FB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70</w:t>
                  </w:r>
                </w:p>
              </w:tc>
              <w:tc>
                <w:tcPr>
                  <w:tcW w:w="778" w:type="dxa"/>
                  <w:noWrap w:val="0"/>
                  <w:vAlign w:val="center"/>
                </w:tcPr>
                <w:p w14:paraId="770EB5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29FE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040AAC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710" w:type="dxa"/>
                  <w:noWrap w:val="0"/>
                  <w:vAlign w:val="center"/>
                </w:tcPr>
                <w:p w14:paraId="6D091B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千斤</w:t>
                  </w:r>
                  <w:r>
                    <w:rPr>
                      <w:rFonts w:hint="eastAsia" w:ascii="Times New Roman" w:hAnsi="Times New Roman" w:eastAsia="宋体" w:cs="Times New Roman"/>
                      <w:color w:val="auto"/>
                      <w:highlight w:val="none"/>
                      <w:lang w:val="en-US" w:eastAsia="zh-CN"/>
                    </w:rPr>
                    <w:t>顶</w:t>
                  </w:r>
                </w:p>
              </w:tc>
              <w:tc>
                <w:tcPr>
                  <w:tcW w:w="986" w:type="dxa"/>
                  <w:noWrap w:val="0"/>
                  <w:vAlign w:val="center"/>
                </w:tcPr>
                <w:p w14:paraId="0647BA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300</w:t>
                  </w:r>
                </w:p>
              </w:tc>
              <w:tc>
                <w:tcPr>
                  <w:tcW w:w="924" w:type="dxa"/>
                  <w:noWrap w:val="0"/>
                  <w:vAlign w:val="center"/>
                </w:tcPr>
                <w:p w14:paraId="794660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35</w:t>
                  </w:r>
                </w:p>
              </w:tc>
              <w:tc>
                <w:tcPr>
                  <w:tcW w:w="1051" w:type="dxa"/>
                  <w:noWrap w:val="0"/>
                  <w:vAlign w:val="center"/>
                </w:tcPr>
                <w:p w14:paraId="3B498A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9000</w:t>
                  </w:r>
                </w:p>
              </w:tc>
              <w:tc>
                <w:tcPr>
                  <w:tcW w:w="1243" w:type="dxa"/>
                  <w:noWrap w:val="0"/>
                  <w:vAlign w:val="center"/>
                </w:tcPr>
                <w:p w14:paraId="485FEF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1.50</w:t>
                  </w:r>
                </w:p>
              </w:tc>
              <w:tc>
                <w:tcPr>
                  <w:tcW w:w="880" w:type="dxa"/>
                  <w:noWrap w:val="0"/>
                  <w:vAlign w:val="center"/>
                </w:tcPr>
                <w:p w14:paraId="32F009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50</w:t>
                  </w:r>
                </w:p>
              </w:tc>
              <w:tc>
                <w:tcPr>
                  <w:tcW w:w="1069" w:type="dxa"/>
                  <w:noWrap w:val="0"/>
                  <w:vAlign w:val="center"/>
                </w:tcPr>
                <w:p w14:paraId="18C8D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70</w:t>
                  </w:r>
                </w:p>
              </w:tc>
              <w:tc>
                <w:tcPr>
                  <w:tcW w:w="778" w:type="dxa"/>
                  <w:noWrap w:val="0"/>
                  <w:vAlign w:val="center"/>
                </w:tcPr>
                <w:p w14:paraId="748945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42A7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vMerge w:val="continue"/>
                  <w:noWrap w:val="0"/>
                  <w:vAlign w:val="center"/>
                </w:tcPr>
                <w:p w14:paraId="12F6EC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710" w:type="dxa"/>
                  <w:noWrap w:val="0"/>
                  <w:vAlign w:val="center"/>
                </w:tcPr>
                <w:p w14:paraId="150A1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液压支架</w:t>
                  </w:r>
                </w:p>
              </w:tc>
              <w:tc>
                <w:tcPr>
                  <w:tcW w:w="986" w:type="dxa"/>
                  <w:noWrap w:val="0"/>
                  <w:vAlign w:val="center"/>
                </w:tcPr>
                <w:p w14:paraId="3793BF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300</w:t>
                  </w:r>
                </w:p>
              </w:tc>
              <w:tc>
                <w:tcPr>
                  <w:tcW w:w="924" w:type="dxa"/>
                  <w:noWrap w:val="0"/>
                  <w:vAlign w:val="center"/>
                </w:tcPr>
                <w:p w14:paraId="26BF23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w:t>
                  </w:r>
                </w:p>
              </w:tc>
              <w:tc>
                <w:tcPr>
                  <w:tcW w:w="1051" w:type="dxa"/>
                  <w:noWrap w:val="0"/>
                  <w:vAlign w:val="center"/>
                </w:tcPr>
                <w:p w14:paraId="339460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9000</w:t>
                  </w:r>
                </w:p>
              </w:tc>
              <w:tc>
                <w:tcPr>
                  <w:tcW w:w="1243" w:type="dxa"/>
                  <w:noWrap w:val="0"/>
                  <w:vAlign w:val="center"/>
                </w:tcPr>
                <w:p w14:paraId="0C0B26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1.50</w:t>
                  </w:r>
                </w:p>
              </w:tc>
              <w:tc>
                <w:tcPr>
                  <w:tcW w:w="880" w:type="dxa"/>
                  <w:noWrap w:val="0"/>
                  <w:vAlign w:val="center"/>
                </w:tcPr>
                <w:p w14:paraId="2AB854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50</w:t>
                  </w:r>
                </w:p>
              </w:tc>
              <w:tc>
                <w:tcPr>
                  <w:tcW w:w="1069" w:type="dxa"/>
                  <w:noWrap w:val="0"/>
                  <w:vAlign w:val="center"/>
                </w:tcPr>
                <w:p w14:paraId="787E5E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70</w:t>
                  </w:r>
                </w:p>
              </w:tc>
              <w:tc>
                <w:tcPr>
                  <w:tcW w:w="778" w:type="dxa"/>
                  <w:noWrap w:val="0"/>
                  <w:vAlign w:val="center"/>
                </w:tcPr>
                <w:p w14:paraId="6D5003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bl>
          <w:p w14:paraId="0EECF953">
            <w:pPr>
              <w:bidi w:val="0"/>
              <w:rPr>
                <w:color w:val="auto"/>
                <w:highlight w:val="none"/>
              </w:rPr>
            </w:pPr>
            <w:r>
              <w:rPr>
                <w:rFonts w:hint="eastAsia"/>
                <w:color w:val="auto"/>
                <w:highlight w:val="none"/>
                <w:lang w:val="en-US" w:eastAsia="zh-CN"/>
              </w:rPr>
              <w:t>根据建设单位提供资料，根据上述公式计算如下：</w:t>
            </w:r>
          </w:p>
          <w:p w14:paraId="22577D39">
            <w:pPr>
              <w:bidi w:val="0"/>
              <w:rPr>
                <w:rFonts w:hint="eastAsia"/>
                <w:b/>
                <w:bCs/>
                <w:color w:val="auto"/>
                <w:highlight w:val="none"/>
                <w:lang w:val="en-US" w:eastAsia="zh-CN"/>
              </w:rPr>
            </w:pPr>
            <w:r>
              <w:rPr>
                <w:rFonts w:hint="eastAsia"/>
                <w:b/>
                <w:bCs/>
                <w:color w:val="auto"/>
                <w:highlight w:val="none"/>
                <w:lang w:val="en-US" w:eastAsia="zh-CN"/>
              </w:rPr>
              <w:t>水性底漆：</w:t>
            </w:r>
          </w:p>
          <w:p w14:paraId="5550A7B7">
            <w:pPr>
              <w:bidi w:val="0"/>
              <w:rPr>
                <w:color w:val="auto"/>
                <w:highlight w:val="none"/>
              </w:rPr>
            </w:pPr>
            <w:r>
              <w:rPr>
                <w:rFonts w:hint="default"/>
                <w:color w:val="auto"/>
                <w:highlight w:val="none"/>
                <w:lang w:val="en-US" w:eastAsia="zh-CN"/>
              </w:rPr>
              <w:t>M=ρδsη×10</w:t>
            </w:r>
            <w:r>
              <w:rPr>
                <w:rFonts w:hint="eastAsia"/>
                <w:color w:val="auto"/>
                <w:highlight w:val="none"/>
                <w:vertAlign w:val="superscript"/>
                <w:lang w:val="en-US" w:eastAsia="zh-CN"/>
              </w:rPr>
              <w:t>-6</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NV·ε</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1.5</w:t>
            </w: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0×</w:t>
            </w:r>
            <w:r>
              <w:rPr>
                <w:rFonts w:hint="eastAsia"/>
                <w:color w:val="auto"/>
                <w:highlight w:val="none"/>
                <w:lang w:val="en-US" w:eastAsia="zh-CN"/>
              </w:rPr>
              <w:t>（10500+6000+4500+8750+9000）</w:t>
            </w:r>
            <w:r>
              <w:rPr>
                <w:rFonts w:hint="default"/>
                <w:color w:val="auto"/>
                <w:highlight w:val="none"/>
                <w:lang w:val="en-US" w:eastAsia="zh-CN"/>
              </w:rPr>
              <w:t>×100%×10</w:t>
            </w:r>
            <w:r>
              <w:rPr>
                <w:rFonts w:hint="eastAsia"/>
                <w:color w:val="auto"/>
                <w:highlight w:val="none"/>
                <w:vertAlign w:val="superscript"/>
                <w:lang w:val="en-US" w:eastAsia="zh-CN"/>
              </w:rPr>
              <w:t>-6</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7</w:t>
            </w:r>
            <w:r>
              <w:rPr>
                <w:rFonts w:hint="eastAsia"/>
                <w:color w:val="auto"/>
                <w:highlight w:val="none"/>
                <w:lang w:val="en-US" w:eastAsia="zh-CN"/>
              </w:rPr>
              <w:t>0</w:t>
            </w:r>
            <w:r>
              <w:rPr>
                <w:rFonts w:hint="default"/>
                <w:color w:val="auto"/>
                <w:highlight w:val="none"/>
                <w:lang w:val="en-US" w:eastAsia="zh-CN"/>
              </w:rPr>
              <w:t>%×</w:t>
            </w:r>
            <w:r>
              <w:rPr>
                <w:rFonts w:hint="eastAsia"/>
                <w:color w:val="auto"/>
                <w:highlight w:val="none"/>
                <w:lang w:val="en-US" w:eastAsia="zh-CN"/>
              </w:rPr>
              <w:t>65</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6.39</w:t>
            </w:r>
            <w:r>
              <w:rPr>
                <w:rFonts w:hint="default"/>
                <w:color w:val="auto"/>
                <w:highlight w:val="none"/>
                <w:lang w:val="en-US" w:eastAsia="zh-CN"/>
              </w:rPr>
              <w:t>t/a</w:t>
            </w:r>
            <w:r>
              <w:rPr>
                <w:rFonts w:hint="eastAsia"/>
                <w:color w:val="auto"/>
                <w:highlight w:val="none"/>
                <w:lang w:val="en-US" w:eastAsia="zh-CN"/>
              </w:rPr>
              <w:t>。</w:t>
            </w:r>
          </w:p>
          <w:p w14:paraId="12783AF9">
            <w:pPr>
              <w:bidi w:val="0"/>
              <w:rPr>
                <w:rFonts w:hint="eastAsia"/>
                <w:b/>
                <w:bCs/>
                <w:color w:val="auto"/>
                <w:highlight w:val="none"/>
                <w:lang w:val="en-US" w:eastAsia="zh-CN"/>
              </w:rPr>
            </w:pPr>
            <w:r>
              <w:rPr>
                <w:rFonts w:hint="eastAsia"/>
                <w:b/>
                <w:bCs/>
                <w:color w:val="auto"/>
                <w:highlight w:val="none"/>
                <w:lang w:val="en-US" w:eastAsia="zh-CN"/>
              </w:rPr>
              <w:t>水性面漆：</w:t>
            </w:r>
          </w:p>
          <w:p w14:paraId="4333B0F9">
            <w:pPr>
              <w:bidi w:val="0"/>
              <w:rPr>
                <w:rFonts w:hint="default"/>
                <w:color w:val="auto"/>
                <w:highlight w:val="none"/>
                <w:lang w:val="en-US" w:eastAsia="zh-CN"/>
              </w:rPr>
            </w:pPr>
            <w:r>
              <w:rPr>
                <w:rFonts w:hint="default"/>
                <w:color w:val="auto"/>
                <w:highlight w:val="none"/>
                <w:lang w:val="en-US" w:eastAsia="zh-CN"/>
              </w:rPr>
              <w:t>M=ρδsη×10</w:t>
            </w:r>
            <w:r>
              <w:rPr>
                <w:rFonts w:hint="eastAsia"/>
                <w:color w:val="auto"/>
                <w:highlight w:val="none"/>
                <w:vertAlign w:val="superscript"/>
                <w:lang w:val="en-US" w:eastAsia="zh-CN"/>
              </w:rPr>
              <w:t>-6</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NV·ε</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1.1</w:t>
            </w:r>
            <w:r>
              <w:rPr>
                <w:rFonts w:hint="default"/>
                <w:color w:val="auto"/>
                <w:highlight w:val="none"/>
                <w:lang w:val="en-US" w:eastAsia="zh-CN"/>
              </w:rPr>
              <w:t>×</w:t>
            </w:r>
            <w:r>
              <w:rPr>
                <w:rFonts w:hint="eastAsia"/>
                <w:color w:val="auto"/>
                <w:highlight w:val="none"/>
                <w:lang w:val="en-US" w:eastAsia="zh-CN"/>
              </w:rPr>
              <w:t>10</w:t>
            </w:r>
            <w:r>
              <w:rPr>
                <w:rFonts w:hint="default"/>
                <w:color w:val="auto"/>
                <w:highlight w:val="none"/>
                <w:lang w:val="en-US" w:eastAsia="zh-CN"/>
              </w:rPr>
              <w:t>0×（10500+6000+4500+8750+9000）×100%×10</w:t>
            </w:r>
            <w:r>
              <w:rPr>
                <w:rFonts w:hint="default"/>
                <w:color w:val="auto"/>
                <w:highlight w:val="none"/>
                <w:vertAlign w:val="superscript"/>
                <w:lang w:val="en-US" w:eastAsia="zh-CN"/>
              </w:rPr>
              <w:t>-6</w:t>
            </w:r>
            <w:r>
              <w:rPr>
                <w:rFonts w:hint="default"/>
                <w:color w:val="auto"/>
                <w:highlight w:val="none"/>
                <w:lang w:val="en-US" w:eastAsia="zh-CN"/>
              </w:rPr>
              <w:t>⁄/（75%×</w:t>
            </w:r>
            <w:r>
              <w:rPr>
                <w:rFonts w:hint="eastAsia"/>
                <w:color w:val="auto"/>
                <w:highlight w:val="none"/>
                <w:lang w:val="en-US" w:eastAsia="zh-CN"/>
              </w:rPr>
              <w:t>65</w:t>
            </w:r>
            <w:r>
              <w:rPr>
                <w:rFonts w:hint="default"/>
                <w:color w:val="auto"/>
                <w:highlight w:val="none"/>
                <w:lang w:val="en-US" w:eastAsia="zh-CN"/>
              </w:rPr>
              <w:t>%）=</w:t>
            </w:r>
            <w:r>
              <w:rPr>
                <w:rFonts w:hint="eastAsia"/>
                <w:color w:val="auto"/>
                <w:highlight w:val="none"/>
                <w:lang w:val="en-US" w:eastAsia="zh-CN"/>
              </w:rPr>
              <w:t>8.74</w:t>
            </w:r>
            <w:r>
              <w:rPr>
                <w:rFonts w:hint="default"/>
                <w:color w:val="auto"/>
                <w:highlight w:val="none"/>
                <w:lang w:val="en-US" w:eastAsia="zh-CN"/>
              </w:rPr>
              <w:t>t/a。</w:t>
            </w:r>
          </w:p>
          <w:p w14:paraId="100B463C">
            <w:pPr>
              <w:bidi w:val="0"/>
              <w:rPr>
                <w:color w:val="auto"/>
                <w:highlight w:val="none"/>
              </w:rPr>
            </w:pPr>
            <w:r>
              <w:rPr>
                <w:rFonts w:hint="eastAsia"/>
                <w:color w:val="auto"/>
                <w:highlight w:val="none"/>
                <w:lang w:val="en-US" w:eastAsia="zh-CN"/>
              </w:rPr>
              <w:t>经计算，项目油漆用量分别为底漆6.39</w:t>
            </w:r>
            <w:r>
              <w:rPr>
                <w:rFonts w:hint="default"/>
                <w:color w:val="auto"/>
                <w:highlight w:val="none"/>
                <w:lang w:val="en-US" w:eastAsia="zh-CN"/>
              </w:rPr>
              <w:t>t/a</w:t>
            </w:r>
            <w:r>
              <w:rPr>
                <w:rFonts w:hint="eastAsia"/>
                <w:color w:val="auto"/>
                <w:highlight w:val="none"/>
                <w:lang w:val="en-US" w:eastAsia="zh-CN"/>
              </w:rPr>
              <w:t>、面漆8.74</w:t>
            </w:r>
            <w:r>
              <w:rPr>
                <w:rFonts w:hint="default"/>
                <w:color w:val="auto"/>
                <w:highlight w:val="none"/>
                <w:lang w:val="en-US" w:eastAsia="zh-CN"/>
              </w:rPr>
              <w:t>t/a</w:t>
            </w:r>
            <w:r>
              <w:rPr>
                <w:rFonts w:hint="eastAsia"/>
                <w:color w:val="auto"/>
                <w:highlight w:val="none"/>
                <w:lang w:val="en-US" w:eastAsia="zh-CN"/>
              </w:rPr>
              <w:t>，合计总量为15.13t/a。</w:t>
            </w:r>
          </w:p>
          <w:p w14:paraId="1D9F44B0">
            <w:pPr>
              <w:bidi w:val="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color w:val="auto"/>
                <w:highlight w:val="none"/>
              </w:rPr>
              <w:t>计算结果</w:t>
            </w:r>
          </w:p>
          <w:p w14:paraId="76E530B3">
            <w:pPr>
              <w:bidi w:val="0"/>
              <w:rPr>
                <w:rFonts w:hint="eastAsia"/>
                <w:color w:val="auto"/>
                <w:highlight w:val="none"/>
              </w:rPr>
            </w:pPr>
            <w:r>
              <w:rPr>
                <w:rFonts w:hint="eastAsia"/>
                <w:color w:val="auto"/>
                <w:highlight w:val="none"/>
              </w:rPr>
              <w:t>项目所用水性防锈漆量计算结果如下。</w:t>
            </w:r>
          </w:p>
          <w:p w14:paraId="46D3996E">
            <w:pPr>
              <w:bidi w:val="0"/>
              <w:ind w:left="0" w:leftChars="0" w:firstLine="0" w:firstLineChars="0"/>
              <w:jc w:val="center"/>
              <w:rPr>
                <w:rFonts w:hint="eastAsia"/>
                <w:b/>
                <w:bCs/>
                <w:color w:val="auto"/>
                <w:highlight w:val="none"/>
              </w:rPr>
            </w:pPr>
            <w:r>
              <w:rPr>
                <w:b/>
                <w:bCs/>
                <w:color w:val="auto"/>
                <w:highlight w:val="none"/>
              </w:rPr>
              <w:t>表</w:t>
            </w:r>
            <w:r>
              <w:rPr>
                <w:rFonts w:hint="eastAsia"/>
                <w:b/>
                <w:bCs/>
                <w:color w:val="auto"/>
                <w:highlight w:val="none"/>
              </w:rPr>
              <w:t>2-</w:t>
            </w:r>
            <w:r>
              <w:rPr>
                <w:rFonts w:hint="eastAsia"/>
                <w:b/>
                <w:bCs/>
                <w:color w:val="auto"/>
                <w:highlight w:val="none"/>
                <w:lang w:val="en-US" w:eastAsia="zh-CN"/>
              </w:rPr>
              <w:t>5</w:t>
            </w:r>
            <w:r>
              <w:rPr>
                <w:rFonts w:hint="eastAsia"/>
                <w:b/>
                <w:bCs/>
                <w:color w:val="auto"/>
                <w:highlight w:val="none"/>
              </w:rPr>
              <w:t>本项目水性漆用量计算结果一览表</w:t>
            </w:r>
          </w:p>
          <w:tbl>
            <w:tblPr>
              <w:tblStyle w:val="26"/>
              <w:tblW w:w="8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1435"/>
              <w:gridCol w:w="923"/>
              <w:gridCol w:w="1068"/>
              <w:gridCol w:w="2788"/>
            </w:tblGrid>
            <w:tr w14:paraId="004E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03" w:type="dxa"/>
                  <w:noWrap w:val="0"/>
                  <w:vAlign w:val="center"/>
                </w:tcPr>
                <w:p w14:paraId="24C0178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类型</w:t>
                  </w:r>
                </w:p>
              </w:tc>
              <w:tc>
                <w:tcPr>
                  <w:tcW w:w="1435" w:type="dxa"/>
                  <w:noWrap w:val="0"/>
                  <w:vAlign w:val="center"/>
                </w:tcPr>
                <w:p w14:paraId="4693951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年消耗量</w:t>
                  </w:r>
                </w:p>
              </w:tc>
              <w:tc>
                <w:tcPr>
                  <w:tcW w:w="923" w:type="dxa"/>
                  <w:noWrap w:val="0"/>
                  <w:vAlign w:val="center"/>
                </w:tcPr>
                <w:p w14:paraId="3C1FA75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单位</w:t>
                  </w:r>
                </w:p>
              </w:tc>
              <w:tc>
                <w:tcPr>
                  <w:tcW w:w="1068" w:type="dxa"/>
                  <w:noWrap w:val="0"/>
                  <w:vAlign w:val="center"/>
                </w:tcPr>
                <w:p w14:paraId="7DE29BB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来源</w:t>
                  </w:r>
                </w:p>
              </w:tc>
              <w:tc>
                <w:tcPr>
                  <w:tcW w:w="2788" w:type="dxa"/>
                  <w:noWrap w:val="0"/>
                  <w:vAlign w:val="center"/>
                </w:tcPr>
                <w:p w14:paraId="71157CE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物料状态</w:t>
                  </w:r>
                </w:p>
              </w:tc>
            </w:tr>
            <w:tr w14:paraId="3B99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03" w:type="dxa"/>
                  <w:noWrap w:val="0"/>
                  <w:vAlign w:val="center"/>
                </w:tcPr>
                <w:p w14:paraId="484E5DF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水性面漆</w:t>
                  </w:r>
                </w:p>
              </w:tc>
              <w:tc>
                <w:tcPr>
                  <w:tcW w:w="1435" w:type="dxa"/>
                  <w:noWrap w:val="0"/>
                  <w:vAlign w:val="center"/>
                </w:tcPr>
                <w:p w14:paraId="27A5643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cs="Times New Roman"/>
                      <w:color w:val="auto"/>
                      <w:kern w:val="2"/>
                      <w:sz w:val="24"/>
                      <w:szCs w:val="24"/>
                      <w:highlight w:val="none"/>
                      <w:lang w:val="en-US" w:eastAsia="zh-CN" w:bidi="ar-SA"/>
                    </w:rPr>
                    <w:t>8.74</w:t>
                  </w:r>
                </w:p>
              </w:tc>
              <w:tc>
                <w:tcPr>
                  <w:tcW w:w="923" w:type="dxa"/>
                  <w:noWrap w:val="0"/>
                  <w:vAlign w:val="center"/>
                </w:tcPr>
                <w:p w14:paraId="4287902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t/a</w:t>
                  </w:r>
                </w:p>
              </w:tc>
              <w:tc>
                <w:tcPr>
                  <w:tcW w:w="1068" w:type="dxa"/>
                  <w:noWrap w:val="0"/>
                  <w:vAlign w:val="center"/>
                </w:tcPr>
                <w:p w14:paraId="73F3ACD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外购</w:t>
                  </w:r>
                </w:p>
              </w:tc>
              <w:tc>
                <w:tcPr>
                  <w:tcW w:w="2788" w:type="dxa"/>
                  <w:noWrap w:val="0"/>
                  <w:vAlign w:val="center"/>
                </w:tcPr>
                <w:p w14:paraId="4B5DC2E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水性醇酸调合漆</w:t>
                  </w:r>
                </w:p>
              </w:tc>
            </w:tr>
            <w:tr w14:paraId="1DD1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803" w:type="dxa"/>
                  <w:noWrap w:val="0"/>
                  <w:vAlign w:val="center"/>
                </w:tcPr>
                <w:p w14:paraId="00C6981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水性底漆</w:t>
                  </w:r>
                </w:p>
              </w:tc>
              <w:tc>
                <w:tcPr>
                  <w:tcW w:w="1435" w:type="dxa"/>
                  <w:noWrap w:val="0"/>
                  <w:vAlign w:val="center"/>
                </w:tcPr>
                <w:p w14:paraId="3973493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cs="Times New Roman"/>
                      <w:color w:val="auto"/>
                      <w:kern w:val="2"/>
                      <w:sz w:val="24"/>
                      <w:szCs w:val="24"/>
                      <w:highlight w:val="none"/>
                      <w:lang w:val="en-US" w:eastAsia="zh-CN" w:bidi="ar-SA"/>
                    </w:rPr>
                    <w:t>6.39</w:t>
                  </w:r>
                </w:p>
              </w:tc>
              <w:tc>
                <w:tcPr>
                  <w:tcW w:w="923" w:type="dxa"/>
                  <w:noWrap w:val="0"/>
                  <w:vAlign w:val="center"/>
                </w:tcPr>
                <w:p w14:paraId="0B75D28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t/a</w:t>
                  </w:r>
                </w:p>
              </w:tc>
              <w:tc>
                <w:tcPr>
                  <w:tcW w:w="1068" w:type="dxa"/>
                  <w:noWrap w:val="0"/>
                  <w:vAlign w:val="center"/>
                </w:tcPr>
                <w:p w14:paraId="6F9D4BA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外购</w:t>
                  </w:r>
                </w:p>
              </w:tc>
              <w:tc>
                <w:tcPr>
                  <w:tcW w:w="2788" w:type="dxa"/>
                  <w:noWrap w:val="0"/>
                  <w:vAlign w:val="center"/>
                </w:tcPr>
                <w:p w14:paraId="3B4856F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水性钢结构漆</w:t>
                  </w:r>
                </w:p>
              </w:tc>
            </w:tr>
          </w:tbl>
          <w:p w14:paraId="47E26D7A">
            <w:pPr>
              <w:bidi w:val="0"/>
              <w:rPr>
                <w:color w:val="auto"/>
                <w:highlight w:val="none"/>
              </w:rPr>
            </w:pPr>
            <w:r>
              <w:rPr>
                <w:rFonts w:hint="eastAsia"/>
                <w:color w:val="auto"/>
                <w:highlight w:val="none"/>
              </w:rPr>
              <w:t>项目所用水性防锈漆为无溶剂的底面合一漆，根据设备颜色的不同，直接购买调制好的不同颜色的混合漆，使用时直接喷涂在设备表面即可。水性漆消耗量如下。</w:t>
            </w:r>
          </w:p>
          <w:p w14:paraId="087AB5B4">
            <w:pPr>
              <w:bidi w:val="0"/>
              <w:jc w:val="center"/>
              <w:rPr>
                <w:rFonts w:hint="eastAsia"/>
                <w:b/>
                <w:bCs/>
                <w:color w:val="auto"/>
                <w:highlight w:val="none"/>
                <w:lang w:val="en-US" w:eastAsia="zh-CN"/>
              </w:rPr>
            </w:pPr>
            <w:r>
              <w:rPr>
                <w:rFonts w:hint="eastAsia"/>
                <w:b/>
                <w:bCs/>
                <w:color w:val="auto"/>
                <w:highlight w:val="none"/>
                <w:lang w:val="en-US" w:eastAsia="zh-CN"/>
              </w:rPr>
              <w:t>表2-6原材料消耗一览表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0"/>
              <w:gridCol w:w="1851"/>
              <w:gridCol w:w="2365"/>
              <w:gridCol w:w="2366"/>
            </w:tblGrid>
            <w:tr w14:paraId="49D1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50" w:type="dxa"/>
                  <w:noWrap w:val="0"/>
                  <w:vAlign w:val="center"/>
                </w:tcPr>
                <w:p w14:paraId="11C2B8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rPr>
                    <w:t>原辅料</w:t>
                  </w:r>
                </w:p>
              </w:tc>
              <w:tc>
                <w:tcPr>
                  <w:tcW w:w="1851" w:type="dxa"/>
                  <w:noWrap w:val="0"/>
                  <w:vAlign w:val="center"/>
                </w:tcPr>
                <w:p w14:paraId="116F50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年用量（t）</w:t>
                  </w:r>
                </w:p>
              </w:tc>
              <w:tc>
                <w:tcPr>
                  <w:tcW w:w="2365" w:type="dxa"/>
                  <w:noWrap w:val="0"/>
                  <w:vAlign w:val="center"/>
                </w:tcPr>
                <w:p w14:paraId="76A76F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rPr>
                    <w:t>最大储存量（t）</w:t>
                  </w:r>
                </w:p>
              </w:tc>
              <w:tc>
                <w:tcPr>
                  <w:tcW w:w="2366" w:type="dxa"/>
                  <w:noWrap w:val="0"/>
                  <w:vAlign w:val="center"/>
                </w:tcPr>
                <w:p w14:paraId="3E9D75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备注</w:t>
                  </w:r>
                </w:p>
              </w:tc>
            </w:tr>
            <w:tr w14:paraId="6708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1350" w:type="dxa"/>
                  <w:noWrap w:val="0"/>
                  <w:vAlign w:val="center"/>
                </w:tcPr>
                <w:p w14:paraId="26CAF2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水性漆</w:t>
                  </w:r>
                </w:p>
              </w:tc>
              <w:tc>
                <w:tcPr>
                  <w:tcW w:w="1851" w:type="dxa"/>
                  <w:noWrap w:val="0"/>
                  <w:vAlign w:val="center"/>
                </w:tcPr>
                <w:p w14:paraId="472F7B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15.13</w:t>
                  </w:r>
                </w:p>
              </w:tc>
              <w:tc>
                <w:tcPr>
                  <w:tcW w:w="2365" w:type="dxa"/>
                  <w:noWrap w:val="0"/>
                  <w:vAlign w:val="center"/>
                </w:tcPr>
                <w:p w14:paraId="667B4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2.0</w:t>
                  </w:r>
                </w:p>
              </w:tc>
              <w:tc>
                <w:tcPr>
                  <w:tcW w:w="2366" w:type="dxa"/>
                  <w:noWrap w:val="0"/>
                  <w:vAlign w:val="center"/>
                </w:tcPr>
                <w:p w14:paraId="0E86B3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液态，</w:t>
                  </w:r>
                  <w:r>
                    <w:rPr>
                      <w:rFonts w:hint="eastAsia" w:ascii="Times New Roman" w:hAnsi="Times New Roman" w:eastAsia="宋体" w:cs="Times New Roman"/>
                      <w:color w:val="auto"/>
                      <w:highlight w:val="none"/>
                      <w:lang w:val="en-US" w:eastAsia="zh-CN"/>
                    </w:rPr>
                    <w:t>25kg/桶</w:t>
                  </w:r>
                </w:p>
              </w:tc>
            </w:tr>
          </w:tbl>
          <w:p w14:paraId="071D609D">
            <w:pPr>
              <w:bidi w:val="0"/>
              <w:rPr>
                <w:rFonts w:hint="default"/>
                <w:color w:val="auto"/>
                <w:highlight w:val="none"/>
                <w:lang w:val="en-US" w:eastAsia="zh-CN"/>
              </w:rPr>
            </w:pPr>
            <w:r>
              <w:rPr>
                <w:rFonts w:hint="eastAsia"/>
                <w:color w:val="auto"/>
                <w:highlight w:val="none"/>
              </w:rPr>
              <w:t>原料水性漆质量指标参照执行</w:t>
            </w:r>
            <w:r>
              <w:rPr>
                <w:rFonts w:hint="default"/>
                <w:color w:val="auto"/>
                <w:highlight w:val="none"/>
                <w:lang w:val="en-US" w:eastAsia="zh-CN"/>
              </w:rPr>
              <w:t>《低挥发性有机化合物含量涂料产品技术要求》（GB/T38597-2020）中4.要求</w:t>
            </w:r>
            <w:r>
              <w:rPr>
                <w:rFonts w:hint="eastAsia"/>
                <w:color w:val="auto"/>
                <w:highlight w:val="none"/>
                <w:lang w:val="en-US" w:eastAsia="zh-CN"/>
              </w:rPr>
              <w:t>-</w:t>
            </w:r>
            <w:r>
              <w:rPr>
                <w:rFonts w:hint="default"/>
                <w:color w:val="auto"/>
                <w:highlight w:val="none"/>
                <w:lang w:val="en-US" w:eastAsia="zh-CN"/>
              </w:rPr>
              <w:t>表1水性涂料中VOC含量的要求：工业防护涂料</w:t>
            </w:r>
            <w:r>
              <w:rPr>
                <w:rFonts w:hint="eastAsia"/>
                <w:color w:val="auto"/>
                <w:highlight w:val="none"/>
                <w:lang w:val="en-US" w:eastAsia="zh-CN"/>
              </w:rPr>
              <w:t>-</w:t>
            </w:r>
            <w:r>
              <w:rPr>
                <w:rFonts w:hint="default"/>
                <w:color w:val="auto"/>
                <w:highlight w:val="none"/>
                <w:lang w:val="en-US" w:eastAsia="zh-CN"/>
              </w:rPr>
              <w:t>机械设备涂料</w:t>
            </w:r>
            <w:r>
              <w:rPr>
                <w:rFonts w:hint="eastAsia"/>
                <w:color w:val="auto"/>
                <w:highlight w:val="none"/>
                <w:lang w:val="en-US" w:eastAsia="zh-CN"/>
              </w:rPr>
              <w:t>-</w:t>
            </w:r>
            <w:r>
              <w:rPr>
                <w:rFonts w:hint="default"/>
                <w:color w:val="auto"/>
                <w:highlight w:val="none"/>
                <w:lang w:val="en-US" w:eastAsia="zh-CN"/>
              </w:rPr>
              <w:t>工程机械和农业机械涂料</w:t>
            </w:r>
            <w:r>
              <w:rPr>
                <w:rFonts w:hint="eastAsia"/>
                <w:color w:val="auto"/>
                <w:highlight w:val="none"/>
                <w:lang w:val="en-US" w:eastAsia="zh-CN"/>
              </w:rPr>
              <w:t>（</w:t>
            </w:r>
            <w:r>
              <w:rPr>
                <w:rFonts w:hint="default"/>
                <w:color w:val="auto"/>
                <w:highlight w:val="none"/>
                <w:lang w:val="en-US" w:eastAsia="zh-CN"/>
              </w:rPr>
              <w:t>含零部件涂料</w:t>
            </w:r>
            <w:r>
              <w:rPr>
                <w:rFonts w:hint="eastAsia"/>
                <w:color w:val="auto"/>
                <w:highlight w:val="none"/>
                <w:lang w:val="en-US" w:eastAsia="zh-CN"/>
              </w:rPr>
              <w:t>）</w:t>
            </w:r>
            <w:r>
              <w:rPr>
                <w:rFonts w:hint="default"/>
                <w:color w:val="auto"/>
                <w:highlight w:val="none"/>
                <w:lang w:val="en-US" w:eastAsia="zh-CN"/>
              </w:rPr>
              <w:t>VOC含量的要求为底漆</w:t>
            </w:r>
            <w:r>
              <w:rPr>
                <w:rFonts w:hint="eastAsia"/>
                <w:color w:val="auto"/>
                <w:highlight w:val="none"/>
                <w:lang w:val="en-US" w:eastAsia="zh-CN"/>
              </w:rPr>
              <w:t>≤</w:t>
            </w:r>
            <w:r>
              <w:rPr>
                <w:rFonts w:hint="default"/>
                <w:color w:val="auto"/>
                <w:highlight w:val="none"/>
                <w:lang w:val="en-US" w:eastAsia="zh-CN"/>
              </w:rPr>
              <w:t>250g/L，面漆</w:t>
            </w:r>
            <w:r>
              <w:rPr>
                <w:rFonts w:hint="eastAsia"/>
                <w:color w:val="auto"/>
                <w:highlight w:val="none"/>
                <w:lang w:val="en-US" w:eastAsia="zh-CN"/>
              </w:rPr>
              <w:t>≤</w:t>
            </w:r>
            <w:r>
              <w:rPr>
                <w:rFonts w:hint="default"/>
                <w:color w:val="auto"/>
                <w:highlight w:val="none"/>
                <w:lang w:val="en-US" w:eastAsia="zh-CN"/>
              </w:rPr>
              <w:t>300g/L。</w:t>
            </w:r>
          </w:p>
          <w:p w14:paraId="7B100B98">
            <w:pPr>
              <w:bidi w:val="0"/>
              <w:rPr>
                <w:color w:val="auto"/>
                <w:highlight w:val="none"/>
              </w:rPr>
            </w:pPr>
            <w:r>
              <w:rPr>
                <w:rFonts w:hint="eastAsia"/>
                <w:color w:val="auto"/>
                <w:highlight w:val="none"/>
              </w:rPr>
              <w:t>为进一步了解项目所用水性漆理化指标，建设单位委托</w:t>
            </w:r>
            <w:r>
              <w:rPr>
                <w:rFonts w:hint="eastAsia"/>
                <w:color w:val="auto"/>
                <w:highlight w:val="none"/>
                <w:lang w:val="en-US" w:eastAsia="zh-CN"/>
              </w:rPr>
              <w:t>陕西省产品质量监督检验研究院</w:t>
            </w:r>
            <w:r>
              <w:rPr>
                <w:rFonts w:hint="eastAsia"/>
                <w:color w:val="auto"/>
                <w:highlight w:val="none"/>
              </w:rPr>
              <w:t>对所用水性</w:t>
            </w:r>
            <w:r>
              <w:rPr>
                <w:rFonts w:hint="eastAsia"/>
                <w:color w:val="auto"/>
                <w:highlight w:val="none"/>
                <w:lang w:val="en-US" w:eastAsia="zh-CN"/>
              </w:rPr>
              <w:t>面</w:t>
            </w:r>
            <w:r>
              <w:rPr>
                <w:rFonts w:hint="eastAsia"/>
                <w:color w:val="auto"/>
                <w:highlight w:val="none"/>
              </w:rPr>
              <w:t>漆</w:t>
            </w:r>
            <w:r>
              <w:rPr>
                <w:rFonts w:hint="eastAsia"/>
                <w:color w:val="auto"/>
                <w:highlight w:val="none"/>
                <w:lang w:eastAsia="zh-CN"/>
              </w:rPr>
              <w:t>、</w:t>
            </w:r>
            <w:r>
              <w:rPr>
                <w:rFonts w:hint="eastAsia"/>
                <w:color w:val="auto"/>
                <w:highlight w:val="none"/>
                <w:lang w:val="en-US" w:eastAsia="zh-CN"/>
              </w:rPr>
              <w:t>底漆</w:t>
            </w:r>
            <w:r>
              <w:rPr>
                <w:rFonts w:hint="eastAsia"/>
                <w:color w:val="auto"/>
                <w:highlight w:val="none"/>
              </w:rPr>
              <w:t>进行化验，根据化验结果（见附件</w:t>
            </w:r>
            <w:r>
              <w:rPr>
                <w:rFonts w:hint="eastAsia"/>
                <w:color w:val="auto"/>
                <w:highlight w:val="none"/>
                <w:lang w:val="en-US" w:eastAsia="zh-CN"/>
              </w:rPr>
              <w:t>3</w:t>
            </w:r>
            <w:r>
              <w:rPr>
                <w:rFonts w:hint="eastAsia"/>
                <w:color w:val="auto"/>
                <w:highlight w:val="none"/>
              </w:rPr>
              <w:t>），对照《低挥发性有机化合物含量涂料产品技术要求》（G</w:t>
            </w:r>
            <w:r>
              <w:rPr>
                <w:color w:val="auto"/>
                <w:highlight w:val="none"/>
              </w:rPr>
              <w:t>B/T38597</w:t>
            </w:r>
            <w:r>
              <w:rPr>
                <w:rFonts w:hint="eastAsia"/>
                <w:color w:val="auto"/>
                <w:highlight w:val="none"/>
              </w:rPr>
              <w:t>-</w:t>
            </w:r>
            <w:r>
              <w:rPr>
                <w:color w:val="auto"/>
                <w:highlight w:val="none"/>
              </w:rPr>
              <w:t>2020</w:t>
            </w:r>
            <w:r>
              <w:rPr>
                <w:rFonts w:hint="eastAsia"/>
                <w:color w:val="auto"/>
                <w:highlight w:val="none"/>
              </w:rPr>
              <w:t>）中表</w:t>
            </w:r>
            <w:r>
              <w:rPr>
                <w:rFonts w:hint="eastAsia"/>
                <w:color w:val="auto"/>
                <w:highlight w:val="none"/>
                <w:lang w:val="en-US" w:eastAsia="zh-CN"/>
              </w:rPr>
              <w:t>1</w:t>
            </w:r>
            <w:r>
              <w:rPr>
                <w:rFonts w:hint="eastAsia"/>
                <w:color w:val="auto"/>
                <w:highlight w:val="none"/>
              </w:rPr>
              <w:t>，可知项目所用水性</w:t>
            </w:r>
            <w:r>
              <w:rPr>
                <w:rFonts w:hint="eastAsia"/>
                <w:color w:val="auto"/>
                <w:highlight w:val="none"/>
                <w:lang w:val="en-US" w:eastAsia="zh-CN"/>
              </w:rPr>
              <w:t>面</w:t>
            </w:r>
            <w:r>
              <w:rPr>
                <w:rFonts w:hint="eastAsia"/>
                <w:color w:val="auto"/>
                <w:highlight w:val="none"/>
              </w:rPr>
              <w:t>漆为</w:t>
            </w:r>
            <w:r>
              <w:rPr>
                <w:rFonts w:hint="eastAsia"/>
                <w:color w:val="auto"/>
                <w:highlight w:val="none"/>
                <w:lang w:val="en-US" w:eastAsia="zh-CN"/>
              </w:rPr>
              <w:t>水性</w:t>
            </w:r>
            <w:r>
              <w:rPr>
                <w:rFonts w:hint="eastAsia"/>
                <w:color w:val="auto"/>
                <w:highlight w:val="none"/>
              </w:rPr>
              <w:t>涂料。具体见下表。</w:t>
            </w:r>
          </w:p>
          <w:p w14:paraId="2E4B4BFA">
            <w:pPr>
              <w:bidi w:val="0"/>
              <w:jc w:val="center"/>
              <w:rPr>
                <w:b/>
                <w:bCs/>
                <w:color w:val="auto"/>
                <w:highlight w:val="none"/>
              </w:rPr>
            </w:pPr>
            <w:r>
              <w:rPr>
                <w:rFonts w:hint="eastAsia"/>
                <w:b/>
                <w:bCs/>
                <w:color w:val="auto"/>
                <w:highlight w:val="none"/>
              </w:rPr>
              <w:t>表2-</w:t>
            </w:r>
            <w:r>
              <w:rPr>
                <w:rFonts w:hint="eastAsia"/>
                <w:b/>
                <w:bCs/>
                <w:color w:val="auto"/>
                <w:highlight w:val="none"/>
                <w:lang w:val="en-US" w:eastAsia="zh-CN"/>
              </w:rPr>
              <w:t>8</w:t>
            </w:r>
            <w:r>
              <w:rPr>
                <w:rFonts w:hint="eastAsia"/>
                <w:b/>
                <w:bCs/>
                <w:color w:val="auto"/>
                <w:highlight w:val="none"/>
              </w:rPr>
              <w:t>项目所用水性漆化验结果及对比结果</w:t>
            </w:r>
          </w:p>
          <w:tbl>
            <w:tblPr>
              <w:tblStyle w:val="26"/>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744"/>
              <w:gridCol w:w="2592"/>
              <w:gridCol w:w="2114"/>
            </w:tblGrid>
            <w:tr w14:paraId="26BF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485" w:type="dxa"/>
                  <w:noWrap w:val="0"/>
                  <w:vAlign w:val="center"/>
                </w:tcPr>
                <w:p w14:paraId="33D1BB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原材料</w:t>
                  </w:r>
                </w:p>
              </w:tc>
              <w:tc>
                <w:tcPr>
                  <w:tcW w:w="1744" w:type="dxa"/>
                  <w:noWrap w:val="0"/>
                  <w:vAlign w:val="center"/>
                </w:tcPr>
                <w:p w14:paraId="5D7715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化验结果（V</w:t>
                  </w:r>
                  <w:r>
                    <w:rPr>
                      <w:color w:val="auto"/>
                      <w:highlight w:val="none"/>
                    </w:rPr>
                    <w:t>OC</w:t>
                  </w:r>
                  <w:r>
                    <w:rPr>
                      <w:rFonts w:hint="eastAsia"/>
                      <w:color w:val="auto"/>
                      <w:highlight w:val="none"/>
                    </w:rPr>
                    <w:t>含量）</w:t>
                  </w:r>
                </w:p>
              </w:tc>
              <w:tc>
                <w:tcPr>
                  <w:tcW w:w="2592" w:type="dxa"/>
                  <w:noWrap w:val="0"/>
                  <w:vAlign w:val="center"/>
                </w:tcPr>
                <w:p w14:paraId="5E8D1D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标准</w:t>
                  </w:r>
                </w:p>
              </w:tc>
              <w:tc>
                <w:tcPr>
                  <w:tcW w:w="2114" w:type="dxa"/>
                  <w:noWrap w:val="0"/>
                  <w:vAlign w:val="center"/>
                </w:tcPr>
                <w:p w14:paraId="0CA3C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rFonts w:hint="eastAsia"/>
                      <w:color w:val="auto"/>
                      <w:highlight w:val="none"/>
                    </w:rPr>
                    <w:t>对比结果</w:t>
                  </w:r>
                </w:p>
              </w:tc>
            </w:tr>
            <w:tr w14:paraId="0B94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01C37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highlight w:val="none"/>
                      <w:lang w:val="en-US" w:eastAsia="zh-CN"/>
                    </w:rPr>
                  </w:pPr>
                  <w:r>
                    <w:rPr>
                      <w:rFonts w:hint="eastAsia"/>
                      <w:color w:val="auto"/>
                      <w:highlight w:val="none"/>
                    </w:rPr>
                    <w:t>水性漆</w:t>
                  </w:r>
                  <w:r>
                    <w:rPr>
                      <w:rFonts w:hint="eastAsia"/>
                      <w:color w:val="auto"/>
                      <w:highlight w:val="none"/>
                      <w:lang w:val="en-US" w:eastAsia="zh-CN"/>
                    </w:rPr>
                    <w:t>面漆</w:t>
                  </w:r>
                </w:p>
              </w:tc>
              <w:tc>
                <w:tcPr>
                  <w:tcW w:w="1744" w:type="dxa"/>
                  <w:noWrap w:val="0"/>
                  <w:vAlign w:val="center"/>
                </w:tcPr>
                <w:p w14:paraId="34DA16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73g/L</w:t>
                  </w:r>
                </w:p>
              </w:tc>
              <w:tc>
                <w:tcPr>
                  <w:tcW w:w="2592" w:type="dxa"/>
                  <w:noWrap w:val="0"/>
                  <w:vAlign w:val="center"/>
                </w:tcPr>
                <w:p w14:paraId="5CF87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300g/L</w:t>
                  </w:r>
                </w:p>
              </w:tc>
              <w:tc>
                <w:tcPr>
                  <w:tcW w:w="2114" w:type="dxa"/>
                  <w:noWrap w:val="0"/>
                  <w:vAlign w:val="center"/>
                </w:tcPr>
                <w:p w14:paraId="00072E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水性涂料</w:t>
                  </w:r>
                </w:p>
              </w:tc>
            </w:tr>
            <w:tr w14:paraId="22DF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3590B0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rPr>
                    <w:t>水性漆</w:t>
                  </w:r>
                  <w:r>
                    <w:rPr>
                      <w:rFonts w:hint="eastAsia"/>
                      <w:color w:val="auto"/>
                      <w:highlight w:val="none"/>
                      <w:lang w:val="en-US" w:eastAsia="zh-CN"/>
                    </w:rPr>
                    <w:t>底漆</w:t>
                  </w:r>
                </w:p>
              </w:tc>
              <w:tc>
                <w:tcPr>
                  <w:tcW w:w="1744" w:type="dxa"/>
                  <w:noWrap w:val="0"/>
                  <w:vAlign w:val="center"/>
                </w:tcPr>
                <w:p w14:paraId="73C843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51g/L</w:t>
                  </w:r>
                </w:p>
              </w:tc>
              <w:tc>
                <w:tcPr>
                  <w:tcW w:w="2592" w:type="dxa"/>
                  <w:noWrap w:val="0"/>
                  <w:vAlign w:val="center"/>
                </w:tcPr>
                <w:p w14:paraId="673C4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250g/L</w:t>
                  </w:r>
                </w:p>
              </w:tc>
              <w:tc>
                <w:tcPr>
                  <w:tcW w:w="2114" w:type="dxa"/>
                  <w:noWrap w:val="0"/>
                  <w:vAlign w:val="center"/>
                </w:tcPr>
                <w:p w14:paraId="4485BA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rPr>
                  </w:pPr>
                  <w:r>
                    <w:rPr>
                      <w:rFonts w:hint="eastAsia"/>
                      <w:color w:val="auto"/>
                      <w:highlight w:val="none"/>
                      <w:lang w:val="en-US" w:eastAsia="zh-CN"/>
                    </w:rPr>
                    <w:t>水性涂料</w:t>
                  </w:r>
                </w:p>
              </w:tc>
            </w:tr>
          </w:tbl>
          <w:p w14:paraId="31578C79">
            <w:pPr>
              <w:pStyle w:val="56"/>
              <w:ind w:left="0" w:leftChars="0" w:firstLine="0" w:firstLineChars="0"/>
              <w:jc w:val="center"/>
              <w:rPr>
                <w:rFonts w:hint="default"/>
                <w:b/>
                <w:bCs/>
                <w:color w:val="auto"/>
                <w:highlight w:val="none"/>
                <w:vertAlign w:val="baseline"/>
                <w:lang w:val="en-US" w:eastAsia="zh-CN"/>
              </w:rPr>
            </w:pPr>
            <w:r>
              <w:rPr>
                <w:rFonts w:hint="eastAsia"/>
                <w:b/>
                <w:bCs/>
                <w:color w:val="auto"/>
                <w:highlight w:val="none"/>
                <w:lang w:val="en-US" w:eastAsia="zh-CN"/>
              </w:rPr>
              <w:t>表2-9漆料原辅材料理化性质一览表</w:t>
            </w:r>
          </w:p>
          <w:tbl>
            <w:tblPr>
              <w:tblStyle w:val="27"/>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732"/>
              <w:gridCol w:w="5432"/>
              <w:gridCol w:w="1038"/>
            </w:tblGrid>
            <w:tr w14:paraId="0ED1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3" w:type="dxa"/>
                </w:tcPr>
                <w:p w14:paraId="6FDB93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序号</w:t>
                  </w:r>
                </w:p>
              </w:tc>
              <w:tc>
                <w:tcPr>
                  <w:tcW w:w="732" w:type="dxa"/>
                </w:tcPr>
                <w:p w14:paraId="3CF727C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物质名称</w:t>
                  </w:r>
                </w:p>
              </w:tc>
              <w:tc>
                <w:tcPr>
                  <w:tcW w:w="5432" w:type="dxa"/>
                </w:tcPr>
                <w:p w14:paraId="74C7A51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理化性质及毒性</w:t>
                  </w:r>
                </w:p>
              </w:tc>
              <w:tc>
                <w:tcPr>
                  <w:tcW w:w="1038" w:type="dxa"/>
                </w:tcPr>
                <w:p w14:paraId="1E2689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备注</w:t>
                  </w:r>
                </w:p>
              </w:tc>
            </w:tr>
            <w:tr w14:paraId="0AF9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14:paraId="19819E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1</w:t>
                  </w:r>
                </w:p>
              </w:tc>
              <w:tc>
                <w:tcPr>
                  <w:tcW w:w="732" w:type="dxa"/>
                  <w:vAlign w:val="center"/>
                </w:tcPr>
                <w:p w14:paraId="45518F3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水性醇酸调合漆</w:t>
                  </w:r>
                </w:p>
              </w:tc>
              <w:tc>
                <w:tcPr>
                  <w:tcW w:w="5432" w:type="dxa"/>
                </w:tcPr>
                <w:p w14:paraId="6C3B16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bCs/>
                      <w:color w:val="auto"/>
                      <w:highlight w:val="none"/>
                      <w:lang w:val="en-US" w:eastAsia="zh-CN"/>
                    </w:rPr>
                  </w:pPr>
                  <w:r>
                    <w:rPr>
                      <w:rFonts w:hint="default"/>
                      <w:b/>
                      <w:bCs/>
                      <w:color w:val="auto"/>
                      <w:highlight w:val="none"/>
                      <w:lang w:val="en-US" w:eastAsia="zh-CN"/>
                    </w:rPr>
                    <w:t>物理性质</w:t>
                  </w:r>
                </w:p>
                <w:p w14:paraId="4275EC7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外观：均匀流体，无硬块。</w:t>
                  </w:r>
                </w:p>
                <w:p w14:paraId="44BD94A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颜色：可提供多种颜色选择，如黑色、白色、海兰、孔雀兰、中兰、大红、紫红、</w:t>
                  </w:r>
                  <w:r>
                    <w:rPr>
                      <w:rFonts w:hint="eastAsia"/>
                      <w:color w:val="auto"/>
                      <w:highlight w:val="none"/>
                      <w:lang w:val="en-US" w:eastAsia="zh-CN"/>
                    </w:rPr>
                    <w:t>橘红</w:t>
                  </w:r>
                  <w:r>
                    <w:rPr>
                      <w:rFonts w:hint="default"/>
                      <w:color w:val="auto"/>
                      <w:highlight w:val="none"/>
                      <w:lang w:val="en-US" w:eastAsia="zh-CN"/>
                    </w:rPr>
                    <w:t>、中黄、中绿、中灰等。</w:t>
                  </w:r>
                </w:p>
                <w:p w14:paraId="3F0BB16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气味：无刺激性气味。</w:t>
                  </w:r>
                  <w:r>
                    <w:rPr>
                      <w:rFonts w:hint="eastAsia"/>
                      <w:color w:val="auto"/>
                      <w:highlight w:val="none"/>
                      <w:lang w:val="en-US" w:eastAsia="zh-CN"/>
                    </w:rPr>
                    <w:t>黏度</w:t>
                  </w:r>
                  <w:r>
                    <w:rPr>
                      <w:rFonts w:hint="default"/>
                      <w:color w:val="auto"/>
                      <w:highlight w:val="none"/>
                      <w:lang w:val="en-US" w:eastAsia="zh-CN"/>
                    </w:rPr>
                    <w:t>：施工</w:t>
                  </w:r>
                  <w:r>
                    <w:rPr>
                      <w:rFonts w:hint="eastAsia"/>
                      <w:color w:val="auto"/>
                      <w:highlight w:val="none"/>
                      <w:lang w:val="en-US" w:eastAsia="zh-CN"/>
                    </w:rPr>
                    <w:t>黏度</w:t>
                  </w:r>
                  <w:r>
                    <w:rPr>
                      <w:rFonts w:hint="default"/>
                      <w:color w:val="auto"/>
                      <w:highlight w:val="none"/>
                      <w:lang w:val="en-US" w:eastAsia="zh-CN"/>
                    </w:rPr>
                    <w:t>（涂-4杯）为40-60s（25℃）。</w:t>
                  </w:r>
                </w:p>
                <w:p w14:paraId="3C9D5C4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细度：</w:t>
                  </w:r>
                  <w:r>
                    <w:rPr>
                      <w:rFonts w:hint="eastAsia"/>
                      <w:color w:val="auto"/>
                      <w:highlight w:val="none"/>
                      <w:lang w:val="en-US" w:eastAsia="zh-CN"/>
                    </w:rPr>
                    <w:t>≤</w:t>
                  </w:r>
                  <w:r>
                    <w:rPr>
                      <w:rFonts w:hint="default"/>
                      <w:color w:val="auto"/>
                      <w:highlight w:val="none"/>
                      <w:lang w:val="en-US" w:eastAsia="zh-CN"/>
                    </w:rPr>
                    <w:t>30μm。</w:t>
                  </w:r>
                </w:p>
                <w:p w14:paraId="0D73372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固体含量：</w:t>
                  </w:r>
                  <w:r>
                    <w:rPr>
                      <w:rFonts w:hint="eastAsia"/>
                      <w:color w:val="auto"/>
                      <w:highlight w:val="none"/>
                      <w:lang w:val="en-US" w:eastAsia="zh-CN"/>
                    </w:rPr>
                    <w:t>≥</w:t>
                  </w:r>
                  <w:r>
                    <w:rPr>
                      <w:rFonts w:hint="default"/>
                      <w:color w:val="auto"/>
                      <w:highlight w:val="none"/>
                      <w:lang w:val="en-US" w:eastAsia="zh-CN"/>
                    </w:rPr>
                    <w:t>40%。</w:t>
                  </w:r>
                </w:p>
                <w:p w14:paraId="5E60B2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干燥时间：表干</w:t>
                  </w:r>
                  <w:r>
                    <w:rPr>
                      <w:rFonts w:hint="eastAsia"/>
                      <w:color w:val="auto"/>
                      <w:highlight w:val="none"/>
                      <w:lang w:val="en-US" w:eastAsia="zh-CN"/>
                    </w:rPr>
                    <w:t>≤</w:t>
                  </w:r>
                  <w:r>
                    <w:rPr>
                      <w:rFonts w:hint="default"/>
                      <w:color w:val="auto"/>
                      <w:highlight w:val="none"/>
                      <w:lang w:val="en-US" w:eastAsia="zh-CN"/>
                    </w:rPr>
                    <w:t>1h（25℃-30℃），实干</w:t>
                  </w:r>
                  <w:r>
                    <w:rPr>
                      <w:rFonts w:hint="eastAsia"/>
                      <w:color w:val="auto"/>
                      <w:highlight w:val="none"/>
                      <w:lang w:val="en-US" w:eastAsia="zh-CN"/>
                    </w:rPr>
                    <w:t>≤</w:t>
                  </w:r>
                  <w:r>
                    <w:rPr>
                      <w:rFonts w:hint="default"/>
                      <w:color w:val="auto"/>
                      <w:highlight w:val="none"/>
                      <w:lang w:val="en-US" w:eastAsia="zh-CN"/>
                    </w:rPr>
                    <w:t>24h（25℃-30℃），也可低温烘烤，100℃×15min。</w:t>
                  </w:r>
                </w:p>
                <w:p w14:paraId="26FE59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比重：约1.2～1.32。</w:t>
                  </w:r>
                </w:p>
                <w:p w14:paraId="4A0955A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闪点：36℃。</w:t>
                  </w:r>
                </w:p>
                <w:p w14:paraId="5A3971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光泽：具有较好的光泽23。</w:t>
                  </w:r>
                </w:p>
                <w:p w14:paraId="49FF2C9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附着力：漆膜附着力强，</w:t>
                  </w:r>
                  <w:r>
                    <w:rPr>
                      <w:rFonts w:hint="eastAsia"/>
                      <w:color w:val="auto"/>
                      <w:highlight w:val="none"/>
                      <w:lang w:val="en-US" w:eastAsia="zh-CN"/>
                    </w:rPr>
                    <w:t>≤</w:t>
                  </w:r>
                  <w:r>
                    <w:rPr>
                      <w:rFonts w:hint="default"/>
                      <w:color w:val="auto"/>
                      <w:highlight w:val="none"/>
                      <w:lang w:val="en-US" w:eastAsia="zh-CN"/>
                    </w:rPr>
                    <w:t>1级（3天）。</w:t>
                  </w:r>
                </w:p>
                <w:p w14:paraId="4980E28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硬度：铅笔硬度（7天）</w:t>
                  </w:r>
                  <w:r>
                    <w:rPr>
                      <w:rFonts w:hint="eastAsia"/>
                      <w:color w:val="auto"/>
                      <w:highlight w:val="none"/>
                      <w:lang w:val="en-US" w:eastAsia="zh-CN"/>
                    </w:rPr>
                    <w:t>≥</w:t>
                  </w:r>
                  <w:r>
                    <w:rPr>
                      <w:rFonts w:hint="default"/>
                      <w:color w:val="auto"/>
                      <w:highlight w:val="none"/>
                      <w:lang w:val="en-US" w:eastAsia="zh-CN"/>
                    </w:rPr>
                    <w:t>1H。</w:t>
                  </w:r>
                </w:p>
                <w:p w14:paraId="3DA48E0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耐水性：</w:t>
                  </w:r>
                  <w:r>
                    <w:rPr>
                      <w:rFonts w:hint="eastAsia"/>
                      <w:color w:val="auto"/>
                      <w:highlight w:val="none"/>
                      <w:lang w:val="en-US" w:eastAsia="zh-CN"/>
                    </w:rPr>
                    <w:t>≥</w:t>
                  </w:r>
                  <w:r>
                    <w:rPr>
                      <w:rFonts w:hint="default"/>
                      <w:color w:val="auto"/>
                      <w:highlight w:val="none"/>
                      <w:lang w:val="en-US" w:eastAsia="zh-CN"/>
                    </w:rPr>
                    <w:t>168小时。</w:t>
                  </w:r>
                </w:p>
                <w:p w14:paraId="057E1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耐碱性：</w:t>
                  </w:r>
                  <w:r>
                    <w:rPr>
                      <w:rFonts w:hint="eastAsia"/>
                      <w:color w:val="auto"/>
                      <w:highlight w:val="none"/>
                      <w:lang w:val="en-US" w:eastAsia="zh-CN"/>
                    </w:rPr>
                    <w:t>≥</w:t>
                  </w:r>
                  <w:r>
                    <w:rPr>
                      <w:rFonts w:hint="default"/>
                      <w:color w:val="auto"/>
                      <w:highlight w:val="none"/>
                      <w:lang w:val="en-US" w:eastAsia="zh-CN"/>
                    </w:rPr>
                    <w:t>24小时。</w:t>
                  </w:r>
                </w:p>
                <w:p w14:paraId="1ACE553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耐酸性：</w:t>
                  </w:r>
                  <w:r>
                    <w:rPr>
                      <w:rFonts w:hint="eastAsia"/>
                      <w:color w:val="auto"/>
                      <w:highlight w:val="none"/>
                      <w:lang w:val="en-US" w:eastAsia="zh-CN"/>
                    </w:rPr>
                    <w:t>≥</w:t>
                  </w:r>
                  <w:r>
                    <w:rPr>
                      <w:rFonts w:hint="default"/>
                      <w:color w:val="auto"/>
                      <w:highlight w:val="none"/>
                      <w:lang w:val="en-US" w:eastAsia="zh-CN"/>
                    </w:rPr>
                    <w:t>24小时。</w:t>
                  </w:r>
                </w:p>
                <w:p w14:paraId="105B97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耐汽油性：</w:t>
                  </w:r>
                  <w:r>
                    <w:rPr>
                      <w:rFonts w:hint="eastAsia"/>
                      <w:color w:val="auto"/>
                      <w:highlight w:val="none"/>
                      <w:lang w:val="en-US" w:eastAsia="zh-CN"/>
                    </w:rPr>
                    <w:t>≥</w:t>
                  </w:r>
                  <w:r>
                    <w:rPr>
                      <w:rFonts w:hint="default"/>
                      <w:color w:val="auto"/>
                      <w:highlight w:val="none"/>
                      <w:lang w:val="en-US" w:eastAsia="zh-CN"/>
                    </w:rPr>
                    <w:t>12小时。</w:t>
                  </w:r>
                </w:p>
                <w:p w14:paraId="3772537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耐盐水性：</w:t>
                  </w:r>
                  <w:r>
                    <w:rPr>
                      <w:rFonts w:hint="eastAsia"/>
                      <w:color w:val="auto"/>
                      <w:highlight w:val="none"/>
                      <w:lang w:val="en-US" w:eastAsia="zh-CN"/>
                    </w:rPr>
                    <w:t>≥</w:t>
                  </w:r>
                  <w:r>
                    <w:rPr>
                      <w:rFonts w:hint="default"/>
                      <w:color w:val="auto"/>
                      <w:highlight w:val="none"/>
                      <w:lang w:val="en-US" w:eastAsia="zh-CN"/>
                    </w:rPr>
                    <w:t>168小时。</w:t>
                  </w:r>
                </w:p>
                <w:p w14:paraId="7F6745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耐冻融性：良好，可循环5次。</w:t>
                  </w:r>
                </w:p>
                <w:p w14:paraId="5FC503C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耐中性盐雾性：</w:t>
                  </w:r>
                  <w:r>
                    <w:rPr>
                      <w:rFonts w:hint="eastAsia"/>
                      <w:color w:val="auto"/>
                      <w:highlight w:val="none"/>
                      <w:lang w:val="en-US" w:eastAsia="zh-CN"/>
                    </w:rPr>
                    <w:t>≥</w:t>
                  </w:r>
                  <w:r>
                    <w:rPr>
                      <w:rFonts w:hint="default"/>
                      <w:color w:val="auto"/>
                      <w:highlight w:val="none"/>
                      <w:lang w:val="en-US" w:eastAsia="zh-CN"/>
                    </w:rPr>
                    <w:t>96小时（25℃，白板，切割线一侧2mm外，通过一级）。</w:t>
                  </w:r>
                </w:p>
                <w:p w14:paraId="6BF70F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耐人工气候老化性：</w:t>
                  </w:r>
                  <w:r>
                    <w:rPr>
                      <w:rFonts w:hint="eastAsia"/>
                      <w:color w:val="auto"/>
                      <w:highlight w:val="none"/>
                      <w:lang w:val="en-US" w:eastAsia="zh-CN"/>
                    </w:rPr>
                    <w:t>≥</w:t>
                  </w:r>
                  <w:r>
                    <w:rPr>
                      <w:rFonts w:hint="default"/>
                      <w:color w:val="auto"/>
                      <w:highlight w:val="none"/>
                      <w:lang w:val="en-US" w:eastAsia="zh-CN"/>
                    </w:rPr>
                    <w:t>200小时</w:t>
                  </w:r>
                </w:p>
                <w:p w14:paraId="028959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bCs/>
                      <w:color w:val="auto"/>
                      <w:highlight w:val="none"/>
                      <w:lang w:val="en-US" w:eastAsia="zh-CN"/>
                    </w:rPr>
                  </w:pPr>
                  <w:r>
                    <w:rPr>
                      <w:rFonts w:hint="default"/>
                      <w:b/>
                      <w:bCs/>
                      <w:color w:val="auto"/>
                      <w:highlight w:val="none"/>
                      <w:lang w:val="en-US" w:eastAsia="zh-CN"/>
                    </w:rPr>
                    <w:t>化学性质</w:t>
                  </w:r>
                </w:p>
                <w:p w14:paraId="17ACCEF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分散介质：以水为分散介质。</w:t>
                  </w:r>
                </w:p>
                <w:p w14:paraId="16CC2F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成分：由水性醇酸树脂、颜料、填料、助剂、去离子水等组成。</w:t>
                  </w:r>
                </w:p>
                <w:p w14:paraId="190BB6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环保性：不含有毒有害物质，如甲苯、乙苯、二甲苯等苯系物，甲醛、重金属含量低于国家标准，VOC含量</w:t>
                  </w:r>
                  <w:r>
                    <w:rPr>
                      <w:rFonts w:hint="eastAsia"/>
                      <w:color w:val="auto"/>
                      <w:highlight w:val="none"/>
                      <w:lang w:val="en-US" w:eastAsia="zh-CN"/>
                    </w:rPr>
                    <w:t>≤</w:t>
                  </w:r>
                  <w:r>
                    <w:rPr>
                      <w:rFonts w:hint="default"/>
                      <w:color w:val="auto"/>
                      <w:highlight w:val="none"/>
                      <w:lang w:val="en-US" w:eastAsia="zh-CN"/>
                    </w:rPr>
                    <w:t>300g/L，符合环保要求。</w:t>
                  </w:r>
                </w:p>
                <w:p w14:paraId="3594EA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施工性：可采用刷涂、滚涂、喷涂和浸涂等多种施工方法，施工工具和容器可用水清洗。</w:t>
                  </w:r>
                </w:p>
                <w:p w14:paraId="06B574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配套性：可与各种水性面漆和溶剂型面漆配套使用。</w:t>
                  </w:r>
                </w:p>
                <w:p w14:paraId="0074F82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bCs/>
                      <w:color w:val="auto"/>
                      <w:highlight w:val="none"/>
                      <w:lang w:val="en-US" w:eastAsia="zh-CN"/>
                    </w:rPr>
                  </w:pPr>
                  <w:r>
                    <w:rPr>
                      <w:rFonts w:hint="default"/>
                      <w:b/>
                      <w:bCs/>
                      <w:color w:val="auto"/>
                      <w:highlight w:val="none"/>
                      <w:lang w:val="en-US" w:eastAsia="zh-CN"/>
                    </w:rPr>
                    <w:t>危险性</w:t>
                  </w:r>
                </w:p>
                <w:p w14:paraId="1B1988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燃烧性：不燃。</w:t>
                  </w:r>
                </w:p>
                <w:p w14:paraId="3FB2075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毒性：对人体无毒害。</w:t>
                  </w:r>
                </w:p>
              </w:tc>
              <w:tc>
                <w:tcPr>
                  <w:tcW w:w="1038" w:type="dxa"/>
                </w:tcPr>
                <w:p w14:paraId="3EE8342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水性漆</w:t>
                  </w:r>
                </w:p>
              </w:tc>
            </w:tr>
            <w:tr w14:paraId="15E1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7" w:hRule="atLeast"/>
              </w:trPr>
              <w:tc>
                <w:tcPr>
                  <w:tcW w:w="743" w:type="dxa"/>
                </w:tcPr>
                <w:p w14:paraId="279A72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2</w:t>
                  </w:r>
                </w:p>
              </w:tc>
              <w:tc>
                <w:tcPr>
                  <w:tcW w:w="732" w:type="dxa"/>
                  <w:vAlign w:val="center"/>
                </w:tcPr>
                <w:p w14:paraId="52F4BFF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水性钢结构漆</w:t>
                  </w:r>
                </w:p>
              </w:tc>
              <w:tc>
                <w:tcPr>
                  <w:tcW w:w="5432" w:type="dxa"/>
                </w:tcPr>
                <w:p w14:paraId="7C71B6B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bCs/>
                      <w:color w:val="auto"/>
                      <w:highlight w:val="none"/>
                      <w:lang w:val="en-US" w:eastAsia="zh-CN"/>
                    </w:rPr>
                  </w:pPr>
                  <w:r>
                    <w:rPr>
                      <w:rFonts w:hint="default"/>
                      <w:b/>
                      <w:bCs/>
                      <w:color w:val="auto"/>
                      <w:highlight w:val="none"/>
                      <w:lang w:val="en-US" w:eastAsia="zh-CN"/>
                    </w:rPr>
                    <w:t>物理性质</w:t>
                  </w:r>
                </w:p>
                <w:p w14:paraId="56FA568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外观：通常为均匀流体，无硬块。</w:t>
                  </w:r>
                </w:p>
                <w:p w14:paraId="5637A2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颜色：可根据需求提供多种颜色，如灰色、铁红色等。</w:t>
                  </w:r>
                </w:p>
                <w:p w14:paraId="46CE5B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气味：低气味或无刺激性气味。</w:t>
                  </w:r>
                </w:p>
                <w:p w14:paraId="05C2EB6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黏度</w:t>
                  </w:r>
                  <w:r>
                    <w:rPr>
                      <w:rFonts w:hint="default"/>
                      <w:color w:val="auto"/>
                      <w:highlight w:val="none"/>
                      <w:lang w:val="en-US" w:eastAsia="zh-CN"/>
                    </w:rPr>
                    <w:t>：适中，便于施工。</w:t>
                  </w:r>
                </w:p>
                <w:p w14:paraId="230C8AD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固体含量：较高，一般在40%以上。</w:t>
                  </w:r>
                </w:p>
                <w:p w14:paraId="128C3F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干燥时间：表干较快，实干时间适中。</w:t>
                  </w:r>
                </w:p>
                <w:p w14:paraId="2FBEFD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光泽：具有一定的光泽度，可根据需求选择。</w:t>
                  </w:r>
                </w:p>
                <w:p w14:paraId="1B69F65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附着力：对钢结构表面附着力强。</w:t>
                  </w:r>
                </w:p>
                <w:p w14:paraId="69E255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硬度：漆膜硬度适中。</w:t>
                  </w:r>
                </w:p>
                <w:p w14:paraId="7435FB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耐水性：良好，能防止水分侵蚀。</w:t>
                  </w:r>
                </w:p>
                <w:p w14:paraId="6A5D08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耐候性：能抵抗自然环境侵蚀。</w:t>
                  </w:r>
                </w:p>
                <w:p w14:paraId="1188F9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bCs/>
                      <w:color w:val="auto"/>
                      <w:highlight w:val="none"/>
                      <w:lang w:val="en-US" w:eastAsia="zh-CN"/>
                    </w:rPr>
                  </w:pPr>
                  <w:r>
                    <w:rPr>
                      <w:rFonts w:hint="default"/>
                      <w:b/>
                      <w:bCs/>
                      <w:color w:val="auto"/>
                      <w:highlight w:val="none"/>
                      <w:lang w:val="en-US" w:eastAsia="zh-CN"/>
                    </w:rPr>
                    <w:t>化学性质</w:t>
                  </w:r>
                </w:p>
                <w:p w14:paraId="192EC66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分散介质：以水为分散介质，环保。</w:t>
                  </w:r>
                </w:p>
                <w:p w14:paraId="439087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成分：由水性树脂、防锈颜料、助剂、水等组成。</w:t>
                  </w:r>
                </w:p>
                <w:p w14:paraId="1F7966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环保性：VOC含量低，符合环保要求。</w:t>
                  </w:r>
                </w:p>
                <w:p w14:paraId="21E2A3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施工性：可采用多种施工方法，施工方便。</w:t>
                  </w:r>
                </w:p>
                <w:p w14:paraId="77EEA8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配套性：可与多种面漆配套使用。</w:t>
                  </w:r>
                </w:p>
                <w:p w14:paraId="283724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b/>
                      <w:bCs/>
                      <w:color w:val="auto"/>
                      <w:highlight w:val="none"/>
                      <w:lang w:val="en-US" w:eastAsia="zh-CN"/>
                    </w:rPr>
                  </w:pPr>
                  <w:r>
                    <w:rPr>
                      <w:rFonts w:hint="default"/>
                      <w:b/>
                      <w:bCs/>
                      <w:color w:val="auto"/>
                      <w:highlight w:val="none"/>
                      <w:lang w:val="en-US" w:eastAsia="zh-CN"/>
                    </w:rPr>
                    <w:t>毒性</w:t>
                  </w:r>
                </w:p>
                <w:p w14:paraId="0E38932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低毒性：水性钢结构漆以水为稀释剂，毒性较低，对人体危害小。</w:t>
                  </w:r>
                </w:p>
                <w:p w14:paraId="56BA9F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VOC含量：VOC含量低，减少了对环境和人体的影响。</w:t>
                  </w:r>
                </w:p>
                <w:p w14:paraId="4F70307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default"/>
                      <w:color w:val="auto"/>
                      <w:highlight w:val="none"/>
                      <w:lang w:val="en-US" w:eastAsia="zh-CN"/>
                    </w:rPr>
                    <w:t>无害物质：不含有毒有害物质，如苯、甲苯等，符合安全标准。</w:t>
                  </w:r>
                </w:p>
              </w:tc>
              <w:tc>
                <w:tcPr>
                  <w:tcW w:w="1038" w:type="dxa"/>
                </w:tcPr>
                <w:p w14:paraId="7CC3A2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水性漆</w:t>
                  </w:r>
                </w:p>
              </w:tc>
            </w:tr>
          </w:tbl>
          <w:p w14:paraId="628E5ADF">
            <w:pPr>
              <w:pStyle w:val="56"/>
              <w:ind w:firstLine="480"/>
              <w:rPr>
                <w:b/>
                <w:bCs/>
                <w:color w:val="auto"/>
                <w:highlight w:val="none"/>
              </w:rPr>
            </w:pPr>
            <w:r>
              <w:rPr>
                <w:rFonts w:hint="eastAsia"/>
                <w:b/>
                <w:bCs/>
                <w:color w:val="auto"/>
                <w:highlight w:val="none"/>
                <w:lang w:val="en-US" w:eastAsia="zh-CN"/>
              </w:rPr>
              <w:t>4</w:t>
            </w:r>
            <w:r>
              <w:rPr>
                <w:b/>
                <w:bCs/>
                <w:color w:val="auto"/>
                <w:highlight w:val="none"/>
              </w:rPr>
              <w:t>、劳动定员及工作制度</w:t>
            </w:r>
          </w:p>
          <w:p w14:paraId="6E5F9BA2">
            <w:pPr>
              <w:pStyle w:val="56"/>
              <w:ind w:firstLine="480"/>
              <w:rPr>
                <w:rFonts w:hint="eastAsia"/>
                <w:color w:val="auto"/>
                <w:highlight w:val="none"/>
                <w:lang w:val="en-US" w:eastAsia="zh-CN"/>
              </w:rPr>
            </w:pPr>
            <w:r>
              <w:rPr>
                <w:color w:val="auto"/>
                <w:highlight w:val="none"/>
              </w:rPr>
              <w:t>本</w:t>
            </w:r>
            <w:r>
              <w:rPr>
                <w:rFonts w:hint="eastAsia"/>
                <w:color w:val="auto"/>
                <w:highlight w:val="none"/>
              </w:rPr>
              <w:t>项目</w:t>
            </w:r>
            <w:r>
              <w:rPr>
                <w:rFonts w:hint="eastAsia"/>
                <w:color w:val="auto"/>
                <w:highlight w:val="none"/>
                <w:lang w:val="en-US" w:eastAsia="zh-CN"/>
              </w:rPr>
              <w:t>劳动定员共计45人，8小时工作制，年运行天数265天，即为2120h。</w:t>
            </w:r>
          </w:p>
          <w:p w14:paraId="205E93F1">
            <w:pPr>
              <w:pStyle w:val="56"/>
              <w:rPr>
                <w:b/>
                <w:bCs/>
                <w:color w:val="auto"/>
                <w:highlight w:val="none"/>
              </w:rPr>
            </w:pPr>
            <w:r>
              <w:rPr>
                <w:rFonts w:hint="eastAsia"/>
                <w:b/>
                <w:bCs/>
                <w:color w:val="auto"/>
                <w:highlight w:val="none"/>
                <w:lang w:val="en-US" w:eastAsia="zh-CN"/>
              </w:rPr>
              <w:t>5</w:t>
            </w:r>
            <w:r>
              <w:rPr>
                <w:b/>
                <w:bCs/>
                <w:color w:val="auto"/>
                <w:highlight w:val="none"/>
              </w:rPr>
              <w:t>、公用工程</w:t>
            </w:r>
          </w:p>
          <w:p w14:paraId="3465CAA6">
            <w:pPr>
              <w:pStyle w:val="56"/>
              <w:ind w:firstLine="480"/>
              <w:rPr>
                <w:rFonts w:hint="default" w:eastAsia="宋体"/>
                <w:color w:val="auto"/>
                <w:highlight w:val="none"/>
                <w:lang w:val="en-US" w:eastAsia="zh-CN"/>
              </w:rPr>
            </w:pPr>
            <w:r>
              <w:rPr>
                <w:color w:val="auto"/>
                <w:highlight w:val="none"/>
              </w:rPr>
              <w:t>（1）给</w:t>
            </w:r>
            <w:r>
              <w:rPr>
                <w:rFonts w:hint="eastAsia"/>
                <w:color w:val="auto"/>
                <w:highlight w:val="none"/>
                <w:lang w:val="en-US" w:eastAsia="zh-CN"/>
              </w:rPr>
              <w:t>水工程</w:t>
            </w:r>
          </w:p>
          <w:p w14:paraId="35D99433">
            <w:pPr>
              <w:bidi w:val="0"/>
              <w:rPr>
                <w:rFonts w:hint="default"/>
                <w:color w:val="auto"/>
                <w:highlight w:val="none"/>
                <w:lang w:val="en-US" w:eastAsia="zh-CN"/>
              </w:rPr>
            </w:pPr>
            <w:r>
              <w:rPr>
                <w:rFonts w:hint="eastAsia"/>
                <w:color w:val="auto"/>
                <w:highlight w:val="none"/>
                <w:lang w:val="en-US" w:eastAsia="zh-CN"/>
              </w:rPr>
              <w:t>本项目用水主要生活用水，无生产用水，生活用水由市政自来水提供。</w:t>
            </w:r>
          </w:p>
          <w:p w14:paraId="5D648F15">
            <w:pPr>
              <w:bidi w:val="0"/>
              <w:rPr>
                <w:rFonts w:hint="eastAsia"/>
                <w:color w:val="auto"/>
                <w:highlight w:val="none"/>
              </w:rPr>
            </w:pPr>
            <w:r>
              <w:rPr>
                <w:rFonts w:hint="eastAsia"/>
                <w:color w:val="auto"/>
                <w:highlight w:val="none"/>
              </w:rPr>
              <w:t>本项目劳动定员为</w:t>
            </w:r>
            <w:r>
              <w:rPr>
                <w:rFonts w:hint="eastAsia"/>
                <w:color w:val="auto"/>
                <w:highlight w:val="none"/>
                <w:lang w:val="en-US" w:eastAsia="zh-CN"/>
              </w:rPr>
              <w:t>4</w:t>
            </w:r>
            <w:r>
              <w:rPr>
                <w:rFonts w:hint="eastAsia"/>
                <w:color w:val="auto"/>
                <w:highlight w:val="none"/>
              </w:rPr>
              <w:t>5人</w:t>
            </w:r>
            <w:r>
              <w:rPr>
                <w:rFonts w:hint="eastAsia"/>
                <w:color w:val="auto"/>
                <w:highlight w:val="none"/>
                <w:lang w:eastAsia="zh-CN"/>
              </w:rPr>
              <w:t>，</w:t>
            </w:r>
            <w:r>
              <w:rPr>
                <w:rFonts w:hint="eastAsia"/>
                <w:color w:val="auto"/>
                <w:highlight w:val="none"/>
              </w:rPr>
              <w:t>按照《行业用水定额》（DB15/T385-2020）生活用水量按照</w:t>
            </w:r>
            <w:r>
              <w:rPr>
                <w:rFonts w:hint="eastAsia"/>
                <w:color w:val="auto"/>
                <w:highlight w:val="none"/>
                <w:lang w:val="en-US" w:eastAsia="zh-CN"/>
              </w:rPr>
              <w:t>6</w:t>
            </w:r>
            <w:r>
              <w:rPr>
                <w:rFonts w:hint="eastAsia"/>
                <w:color w:val="auto"/>
                <w:highlight w:val="none"/>
              </w:rPr>
              <w:t>0L/（人·d）计</w:t>
            </w:r>
            <w:r>
              <w:rPr>
                <w:rFonts w:hint="eastAsia"/>
                <w:color w:val="auto"/>
                <w:highlight w:val="none"/>
                <w:lang w:eastAsia="zh-CN"/>
              </w:rPr>
              <w:t>，</w:t>
            </w:r>
            <w:r>
              <w:rPr>
                <w:rFonts w:hint="eastAsia"/>
                <w:color w:val="auto"/>
                <w:highlight w:val="none"/>
              </w:rPr>
              <w:t>则本项目生活用水量为</w:t>
            </w:r>
            <w:r>
              <w:rPr>
                <w:rFonts w:hint="eastAsia"/>
                <w:color w:val="auto"/>
                <w:highlight w:val="none"/>
                <w:lang w:val="en-US" w:eastAsia="zh-CN"/>
              </w:rPr>
              <w:t>2.7</w:t>
            </w:r>
            <w:r>
              <w:rPr>
                <w:rFonts w:hint="eastAsia"/>
                <w:color w:val="auto"/>
                <w:highlight w:val="none"/>
              </w:rPr>
              <w:t>m³/d</w:t>
            </w:r>
            <w:r>
              <w:rPr>
                <w:rFonts w:hint="eastAsia"/>
                <w:color w:val="auto"/>
                <w:highlight w:val="none"/>
                <w:lang w:eastAsia="zh-CN"/>
              </w:rPr>
              <w:t>，</w:t>
            </w:r>
            <w:r>
              <w:rPr>
                <w:rFonts w:hint="eastAsia"/>
                <w:color w:val="auto"/>
                <w:highlight w:val="none"/>
                <w:lang w:val="en-US" w:eastAsia="zh-CN"/>
              </w:rPr>
              <w:t>715.5</w:t>
            </w:r>
            <w:r>
              <w:rPr>
                <w:rFonts w:hint="eastAsia"/>
                <w:color w:val="auto"/>
                <w:highlight w:val="none"/>
              </w:rPr>
              <w:t>m³/a</w:t>
            </w:r>
            <w:r>
              <w:rPr>
                <w:rFonts w:hint="eastAsia"/>
                <w:color w:val="auto"/>
                <w:highlight w:val="none"/>
                <w:lang w:eastAsia="zh-CN"/>
              </w:rPr>
              <w:t>。</w:t>
            </w:r>
          </w:p>
          <w:p w14:paraId="50142C0D">
            <w:pPr>
              <w:pStyle w:val="56"/>
              <w:ind w:firstLine="480"/>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lang w:val="en-US" w:eastAsia="zh-CN"/>
              </w:rPr>
              <w:t>排水工程</w:t>
            </w:r>
          </w:p>
          <w:p w14:paraId="55A26272">
            <w:pPr>
              <w:pStyle w:val="56"/>
              <w:ind w:firstLine="480"/>
              <w:rPr>
                <w:rFonts w:hint="default" w:ascii="Times New Roman" w:hAnsi="Times New Roman" w:cs="Times New Roman"/>
                <w:color w:val="auto"/>
                <w:highlight w:val="none"/>
                <w:lang w:val="en-US" w:eastAsia="zh-CN"/>
              </w:rPr>
            </w:pPr>
            <w:r>
              <w:rPr>
                <w:rFonts w:hint="eastAsia"/>
                <w:color w:val="auto"/>
                <w:highlight w:val="none"/>
                <w:lang w:val="en-US" w:eastAsia="zh-CN"/>
              </w:rPr>
              <w:t>本项目废水主要为生活污水，生活污水产生量按生活用水量的</w:t>
            </w:r>
            <w:r>
              <w:rPr>
                <w:rFonts w:hint="default" w:ascii="Times New Roman" w:hAnsi="Times New Roman" w:cs="Times New Roman"/>
                <w:color w:val="auto"/>
                <w:highlight w:val="none"/>
              </w:rPr>
              <w:t>80%计</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则生活污水产生量为2.16m³/d，即为572.4m³/a。产生的生活污水直接排入市政污水管网。</w:t>
            </w:r>
          </w:p>
          <w:p w14:paraId="3A373ECC">
            <w:pPr>
              <w:pStyle w:val="56"/>
              <w:ind w:firstLine="480"/>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）供电</w:t>
            </w:r>
          </w:p>
          <w:p w14:paraId="58280683">
            <w:pPr>
              <w:pStyle w:val="56"/>
              <w:ind w:firstLine="480"/>
              <w:rPr>
                <w:rFonts w:hint="default" w:eastAsia="宋体"/>
                <w:color w:val="auto"/>
                <w:highlight w:val="none"/>
                <w:lang w:val="en-US" w:eastAsia="zh-CN"/>
              </w:rPr>
            </w:pPr>
            <w:r>
              <w:rPr>
                <w:rFonts w:hint="eastAsia"/>
                <w:color w:val="auto"/>
                <w:highlight w:val="none"/>
                <w:lang w:val="en-US" w:eastAsia="zh-CN"/>
              </w:rPr>
              <w:t>本项目供电采用园区供电系统进行统一供电，年用电量30kW·h/a。</w:t>
            </w:r>
          </w:p>
          <w:p w14:paraId="31846027">
            <w:pPr>
              <w:pStyle w:val="56"/>
              <w:ind w:firstLine="480"/>
              <w:rPr>
                <w:rFonts w:hint="eastAsia"/>
                <w:color w:val="auto"/>
                <w:highlight w:val="none"/>
              </w:rPr>
            </w:pPr>
            <w:r>
              <w:rPr>
                <w:rFonts w:hint="eastAsia"/>
                <w:color w:val="auto"/>
                <w:highlight w:val="none"/>
              </w:rPr>
              <w:t>（</w:t>
            </w:r>
            <w:r>
              <w:rPr>
                <w:rFonts w:hint="eastAsia"/>
                <w:color w:val="auto"/>
                <w:highlight w:val="none"/>
                <w:lang w:val="en-US" w:eastAsia="zh-CN"/>
              </w:rPr>
              <w:t>4</w:t>
            </w:r>
            <w:r>
              <w:rPr>
                <w:rFonts w:hint="eastAsia"/>
                <w:color w:val="auto"/>
                <w:highlight w:val="none"/>
              </w:rPr>
              <w:t>）</w:t>
            </w:r>
            <w:r>
              <w:rPr>
                <w:color w:val="auto"/>
                <w:highlight w:val="none"/>
              </w:rPr>
              <w:t>供热</w:t>
            </w:r>
          </w:p>
          <w:p w14:paraId="6CF55ECF">
            <w:pPr>
              <w:pStyle w:val="56"/>
              <w:ind w:firstLine="480"/>
              <w:rPr>
                <w:color w:val="auto"/>
                <w:highlight w:val="none"/>
              </w:rPr>
            </w:pPr>
            <w:r>
              <w:rPr>
                <w:color w:val="auto"/>
                <w:highlight w:val="none"/>
              </w:rPr>
              <w:t>本项目喷漆房无需供热</w:t>
            </w:r>
            <w:r>
              <w:rPr>
                <w:rFonts w:hint="eastAsia"/>
                <w:color w:val="auto"/>
                <w:highlight w:val="none"/>
                <w:lang w:eastAsia="zh-CN"/>
              </w:rPr>
              <w:t>，</w:t>
            </w:r>
            <w:r>
              <w:rPr>
                <w:rFonts w:hint="eastAsia" w:cs="Times New Roman"/>
                <w:color w:val="auto"/>
                <w:szCs w:val="21"/>
                <w:highlight w:val="none"/>
                <w:lang w:val="en-US" w:eastAsia="zh-CN"/>
              </w:rPr>
              <w:t>生活办公区供暖采用市政集中供暖。</w:t>
            </w:r>
          </w:p>
          <w:p w14:paraId="3801E90E">
            <w:pPr>
              <w:pStyle w:val="56"/>
              <w:ind w:firstLine="480"/>
              <w:rPr>
                <w:b/>
                <w:bCs/>
                <w:color w:val="auto"/>
                <w:highlight w:val="none"/>
              </w:rPr>
            </w:pPr>
            <w:r>
              <w:rPr>
                <w:rFonts w:hint="eastAsia"/>
                <w:b/>
                <w:bCs/>
                <w:color w:val="auto"/>
                <w:highlight w:val="none"/>
                <w:lang w:val="en-US" w:eastAsia="zh-CN"/>
              </w:rPr>
              <w:t>6</w:t>
            </w:r>
            <w:r>
              <w:rPr>
                <w:b/>
                <w:bCs/>
                <w:color w:val="auto"/>
                <w:highlight w:val="none"/>
              </w:rPr>
              <w:t>、平面布置</w:t>
            </w:r>
          </w:p>
          <w:p w14:paraId="0EBDBAF0">
            <w:pPr>
              <w:bidi w:val="0"/>
              <w:rPr>
                <w:rFonts w:hint="eastAsia" w:ascii="Times New Roman" w:hAnsi="Times New Roman" w:eastAsia="宋体" w:cs="Times New Roman"/>
                <w:color w:val="auto"/>
                <w:highlight w:val="none"/>
                <w:lang w:val="en-US" w:eastAsia="zh-CN"/>
              </w:rPr>
            </w:pPr>
            <w:r>
              <w:rPr>
                <w:rFonts w:hint="default"/>
                <w:color w:val="auto"/>
                <w:highlight w:val="none"/>
                <w:lang w:val="en-US" w:eastAsia="zh-CN"/>
              </w:rPr>
              <w:t>本项目位于</w:t>
            </w:r>
            <w:r>
              <w:rPr>
                <w:rFonts w:hint="eastAsia"/>
                <w:color w:val="auto"/>
                <w:highlight w:val="none"/>
                <w:lang w:val="en-US" w:eastAsia="zh-CN"/>
              </w:rPr>
              <w:t>内蒙古自治区鄂尔多斯市伊金霍洛旗蒙苏经济开发区零碳产业园东片区</w:t>
            </w:r>
            <w:r>
              <w:rPr>
                <w:rFonts w:hint="default"/>
                <w:color w:val="auto"/>
                <w:highlight w:val="none"/>
                <w:lang w:val="en-US" w:eastAsia="zh-CN"/>
              </w:rPr>
              <w:t>新建1个</w:t>
            </w:r>
            <w:r>
              <w:rPr>
                <w:rFonts w:hint="eastAsia"/>
                <w:color w:val="auto"/>
                <w:highlight w:val="none"/>
                <w:lang w:val="en-US" w:eastAsia="zh-CN"/>
              </w:rPr>
              <w:t>全封闭生产车间</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内</w:t>
            </w:r>
            <w:r>
              <w:rPr>
                <w:rFonts w:hint="default" w:ascii="Times New Roman" w:hAnsi="Times New Roman" w:eastAsia="宋体" w:cs="Times New Roman"/>
                <w:color w:val="auto"/>
                <w:highlight w:val="none"/>
                <w:lang w:val="en-US" w:eastAsia="zh-CN"/>
              </w:rPr>
              <w:t>设抛丸区、焊接区、喷漆区、晾干区、</w:t>
            </w:r>
            <w:r>
              <w:rPr>
                <w:rFonts w:hint="eastAsia" w:cs="Times New Roman"/>
                <w:color w:val="auto"/>
                <w:highlight w:val="none"/>
                <w:lang w:val="en-US" w:eastAsia="zh-CN"/>
              </w:rPr>
              <w:t>成品装配区、</w:t>
            </w:r>
            <w:r>
              <w:rPr>
                <w:rFonts w:hint="default" w:ascii="Times New Roman" w:hAnsi="Times New Roman" w:eastAsia="宋体" w:cs="Times New Roman"/>
                <w:color w:val="auto"/>
                <w:highlight w:val="none"/>
                <w:lang w:val="en-US" w:eastAsia="zh-CN"/>
              </w:rPr>
              <w:t>危险废物暂存库</w:t>
            </w:r>
            <w:r>
              <w:rPr>
                <w:rFonts w:hint="eastAsia" w:ascii="Times New Roman" w:hAnsi="Times New Roman" w:eastAsia="宋体" w:cs="Times New Roman"/>
                <w:color w:val="auto"/>
                <w:highlight w:val="none"/>
                <w:lang w:val="en-US" w:eastAsia="zh-CN"/>
              </w:rPr>
              <w:t>。</w:t>
            </w:r>
          </w:p>
          <w:p w14:paraId="16782C2E">
            <w:pPr>
              <w:bidi w:val="0"/>
              <w:rPr>
                <w:rFonts w:hint="default"/>
                <w:color w:val="auto"/>
                <w:highlight w:val="none"/>
                <w:lang w:val="en-US" w:eastAsia="zh-CN"/>
              </w:rPr>
            </w:pPr>
            <w:r>
              <w:rPr>
                <w:rFonts w:hint="default"/>
                <w:color w:val="auto"/>
                <w:highlight w:val="none"/>
                <w:lang w:val="en-US" w:eastAsia="zh-CN"/>
              </w:rPr>
              <w:t>项目生产布局简单，生产工艺简单，主要生产设备集中布置，有利于生产，项目在各个产污节点均设有废气收集系统收集产生的废气进行治理。</w:t>
            </w:r>
          </w:p>
          <w:p w14:paraId="47BDA164">
            <w:pPr>
              <w:bidi w:val="0"/>
              <w:rPr>
                <w:rFonts w:hint="default"/>
                <w:color w:val="auto"/>
                <w:highlight w:val="none"/>
                <w:lang w:val="en-US" w:eastAsia="zh-CN"/>
              </w:rPr>
            </w:pPr>
            <w:r>
              <w:rPr>
                <w:rFonts w:hint="default"/>
                <w:color w:val="auto"/>
                <w:highlight w:val="none"/>
                <w:lang w:val="en-US" w:eastAsia="zh-CN"/>
              </w:rPr>
              <w:t>生产车间内已进行明确的功能区划分，项目厂区分块合理；生产车间内的生产设备按照生产流程合理布置，各种设备之间保持有一定的安全距离，预留足够的废气治理场地空间。项目在满足生产工艺流程的前提下，考虑运输、安全、卫生等要求，结合项目用地的自然地形条件，按各种设施不同功能进行分区和组合，力求平面布置紧凑合理，节省用地，有利生产，方便管理。</w:t>
            </w:r>
          </w:p>
          <w:p w14:paraId="5F4F9F24">
            <w:pPr>
              <w:bidi w:val="0"/>
              <w:rPr>
                <w:rFonts w:hint="default"/>
                <w:color w:val="auto"/>
                <w:highlight w:val="none"/>
                <w:lang w:val="en-US" w:eastAsia="zh-CN"/>
              </w:rPr>
            </w:pPr>
            <w:r>
              <w:rPr>
                <w:rFonts w:hint="default"/>
                <w:color w:val="auto"/>
                <w:highlight w:val="none"/>
                <w:lang w:val="en-US" w:eastAsia="zh-CN"/>
              </w:rPr>
              <w:t>厂区按照“合理分区、工艺流程、物流短接”的原则，并结合生产工艺，综合考虑环保、安全等要求对厂区进行了合理布置。企业在功能单元方面，做到了功能完整、分区合理明确，有利于提高企业生产效率和环境管理可操作性。在生产、办公、仓储区分明显，避免相互干扰影响。从环境影响角度而言，项目总平面布置可行。</w:t>
            </w:r>
          </w:p>
        </w:tc>
      </w:tr>
      <w:tr w14:paraId="687CF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823" w:type="dxa"/>
            <w:noWrap w:val="0"/>
            <w:vAlign w:val="center"/>
          </w:tcPr>
          <w:p w14:paraId="6AEEA206">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工艺流程和产排污环节</w:t>
            </w:r>
          </w:p>
        </w:tc>
        <w:tc>
          <w:tcPr>
            <w:tcW w:w="8161" w:type="dxa"/>
            <w:gridSpan w:val="2"/>
            <w:noWrap w:val="0"/>
            <w:vAlign w:val="top"/>
          </w:tcPr>
          <w:p w14:paraId="3DCB4AE2">
            <w:pPr>
              <w:bidi w:val="0"/>
              <w:rPr>
                <w:b/>
                <w:bCs/>
                <w:color w:val="auto"/>
                <w:highlight w:val="none"/>
              </w:rPr>
            </w:pPr>
            <w:r>
              <w:rPr>
                <w:rFonts w:hint="eastAsia"/>
                <w:b/>
                <w:bCs/>
                <w:color w:val="auto"/>
                <w:highlight w:val="none"/>
                <w:lang w:val="en-US" w:eastAsia="zh-CN"/>
              </w:rPr>
              <w:t>一</w:t>
            </w:r>
            <w:r>
              <w:rPr>
                <w:b/>
                <w:bCs/>
                <w:color w:val="auto"/>
                <w:highlight w:val="none"/>
              </w:rPr>
              <w:t>、施工期工艺流程及产污环节分析</w:t>
            </w:r>
          </w:p>
          <w:p w14:paraId="16A2D0D4">
            <w:pPr>
              <w:bidi w:val="0"/>
              <w:rPr>
                <w:rFonts w:hint="default" w:eastAsia="宋体"/>
                <w:b/>
                <w:bCs/>
                <w:color w:val="auto"/>
                <w:highlight w:val="none"/>
                <w:lang w:val="en-US" w:eastAsia="zh-CN"/>
              </w:rPr>
            </w:pPr>
            <w:r>
              <w:rPr>
                <w:rFonts w:hint="eastAsia"/>
                <w:b/>
                <w:bCs/>
                <w:color w:val="auto"/>
                <w:highlight w:val="none"/>
                <w:lang w:val="en-US" w:eastAsia="zh-CN"/>
              </w:rPr>
              <w:t>1、施工期工艺流程</w:t>
            </w:r>
          </w:p>
          <w:p w14:paraId="36A660F1">
            <w:pPr>
              <w:bidi w:val="0"/>
              <w:rPr>
                <w:rFonts w:hint="eastAsia"/>
                <w:color w:val="auto"/>
                <w:highlight w:val="none"/>
                <w:lang w:val="en-US" w:eastAsia="zh-CN"/>
              </w:rPr>
            </w:pPr>
            <w:r>
              <w:rPr>
                <w:rFonts w:hint="eastAsia"/>
                <w:color w:val="auto"/>
                <w:highlight w:val="none"/>
                <w:lang w:val="en-US" w:eastAsia="zh-CN"/>
              </w:rPr>
              <w:t>本项目施工期间，主要是对租赁的厂房进行内部改造，所以施工期主要是装饰工程、设备安装等工序，会产生一定的噪声、扬尘及废气、固体废物、污水等，其排放量随工序和施工强度不同而变化。该项目施工期工艺流程如下图所示。施工期具体的工艺流程及产生的污染见图2-1。</w:t>
            </w:r>
          </w:p>
          <w:p w14:paraId="4E81D779">
            <w:pPr>
              <w:adjustRightInd w:val="0"/>
              <w:snapToGrid w:val="0"/>
              <w:ind w:left="0" w:leftChars="0" w:firstLine="0" w:firstLineChars="0"/>
              <w:jc w:val="center"/>
              <w:rPr>
                <w:rFonts w:hint="eastAsia" w:ascii="宋体" w:hAnsi="宋体"/>
                <w:b/>
                <w:bCs w:val="0"/>
                <w:color w:val="auto"/>
                <w:szCs w:val="21"/>
                <w:highlight w:val="none"/>
                <w:lang w:val="en-US" w:eastAsia="zh-CN"/>
              </w:rPr>
            </w:pPr>
            <w:r>
              <w:rPr>
                <w:rFonts w:hint="eastAsia" w:ascii="宋体" w:hAnsi="宋体"/>
                <w:b/>
                <w:bCs w:val="0"/>
                <w:color w:val="auto"/>
                <w:szCs w:val="21"/>
                <w:highlight w:val="none"/>
                <w:lang w:val="en-US" w:eastAsia="zh-CN"/>
              </w:rPr>
              <w:drawing>
                <wp:inline distT="0" distB="0" distL="114300" distR="114300">
                  <wp:extent cx="4985385" cy="1710055"/>
                  <wp:effectExtent l="0" t="0" r="5715" b="4445"/>
                  <wp:docPr id="3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9"/>
                          <pic:cNvPicPr>
                            <a:picLocks noChangeAspect="1"/>
                          </pic:cNvPicPr>
                        </pic:nvPicPr>
                        <pic:blipFill>
                          <a:blip r:embed="rId16"/>
                          <a:stretch>
                            <a:fillRect/>
                          </a:stretch>
                        </pic:blipFill>
                        <pic:spPr>
                          <a:xfrm>
                            <a:off x="0" y="0"/>
                            <a:ext cx="4985385" cy="1710055"/>
                          </a:xfrm>
                          <a:prstGeom prst="rect">
                            <a:avLst/>
                          </a:prstGeom>
                          <a:noFill/>
                          <a:ln>
                            <a:noFill/>
                          </a:ln>
                        </pic:spPr>
                      </pic:pic>
                    </a:graphicData>
                  </a:graphic>
                </wp:inline>
              </w:drawing>
            </w:r>
          </w:p>
          <w:p w14:paraId="12E28C98">
            <w:pPr>
              <w:bidi w:val="0"/>
              <w:jc w:val="center"/>
              <w:rPr>
                <w:rFonts w:hint="eastAsia"/>
                <w:b/>
                <w:bCs/>
                <w:color w:val="auto"/>
                <w:highlight w:val="none"/>
                <w:lang w:val="en-US" w:eastAsia="zh-CN"/>
              </w:rPr>
            </w:pPr>
            <w:r>
              <w:rPr>
                <w:rFonts w:hint="eastAsia"/>
                <w:b/>
                <w:bCs/>
                <w:color w:val="auto"/>
                <w:highlight w:val="none"/>
                <w:lang w:val="en-US" w:eastAsia="zh-CN"/>
              </w:rPr>
              <w:t>图2-1施工流程及产物节点图</w:t>
            </w:r>
          </w:p>
          <w:p w14:paraId="042C1E5E">
            <w:pPr>
              <w:bidi w:val="0"/>
              <w:rPr>
                <w:rFonts w:hint="eastAsia"/>
                <w:b/>
                <w:bCs/>
                <w:color w:val="auto"/>
                <w:highlight w:val="none"/>
                <w:lang w:val="en-US" w:eastAsia="zh-CN"/>
              </w:rPr>
            </w:pPr>
            <w:r>
              <w:rPr>
                <w:rFonts w:hint="eastAsia"/>
                <w:b/>
                <w:bCs/>
                <w:color w:val="auto"/>
                <w:highlight w:val="none"/>
                <w:lang w:val="en-US" w:eastAsia="zh-CN"/>
              </w:rPr>
              <w:t>2、施工期产排污环节</w:t>
            </w:r>
          </w:p>
          <w:p w14:paraId="5DB93C3D">
            <w:pPr>
              <w:bidi w:val="0"/>
              <w:rPr>
                <w:rFonts w:hint="eastAsia"/>
                <w:color w:val="auto"/>
                <w:highlight w:val="none"/>
                <w:lang w:val="en-US" w:eastAsia="zh-CN"/>
              </w:rPr>
            </w:pPr>
            <w:r>
              <w:rPr>
                <w:rFonts w:hint="eastAsia"/>
                <w:color w:val="auto"/>
                <w:highlight w:val="none"/>
                <w:lang w:val="en-US" w:eastAsia="zh-CN"/>
              </w:rPr>
              <w:t>（1）废气：运输车辆排放的废气。</w:t>
            </w:r>
          </w:p>
          <w:p w14:paraId="387E9923">
            <w:pPr>
              <w:bidi w:val="0"/>
              <w:rPr>
                <w:rFonts w:hint="eastAsia"/>
                <w:color w:val="auto"/>
                <w:highlight w:val="none"/>
                <w:lang w:val="en-US" w:eastAsia="zh-CN"/>
              </w:rPr>
            </w:pPr>
            <w:r>
              <w:rPr>
                <w:rFonts w:hint="eastAsia"/>
                <w:color w:val="auto"/>
                <w:highlight w:val="none"/>
                <w:lang w:val="en-US" w:eastAsia="zh-CN"/>
              </w:rPr>
              <w:t>（2）废水：废水主要为施工生产废水和施工人员的生活污水。</w:t>
            </w:r>
          </w:p>
          <w:p w14:paraId="5103DD18">
            <w:pPr>
              <w:bidi w:val="0"/>
              <w:rPr>
                <w:rFonts w:hint="eastAsia"/>
                <w:color w:val="auto"/>
                <w:highlight w:val="none"/>
                <w:lang w:val="en-US" w:eastAsia="zh-CN"/>
              </w:rPr>
            </w:pPr>
            <w:r>
              <w:rPr>
                <w:rFonts w:hint="eastAsia"/>
                <w:color w:val="auto"/>
                <w:highlight w:val="none"/>
                <w:lang w:val="en-US" w:eastAsia="zh-CN"/>
              </w:rPr>
              <w:t>（3）噪声：主要为施工机械的运转噪声及运输车辆噪声。</w:t>
            </w:r>
          </w:p>
          <w:p w14:paraId="62254274">
            <w:pPr>
              <w:bidi w:val="0"/>
              <w:rPr>
                <w:rFonts w:hint="eastAsia"/>
                <w:color w:val="auto"/>
                <w:highlight w:val="none"/>
                <w:lang w:val="en-US" w:eastAsia="zh-CN"/>
              </w:rPr>
            </w:pPr>
            <w:r>
              <w:rPr>
                <w:rFonts w:hint="eastAsia"/>
                <w:color w:val="auto"/>
                <w:highlight w:val="none"/>
                <w:lang w:val="en-US" w:eastAsia="zh-CN"/>
              </w:rPr>
              <w:t>（4）固废：主要为施工过程的建筑垃圾以及施工人员生活垃圾。</w:t>
            </w:r>
          </w:p>
          <w:p w14:paraId="4098CC01">
            <w:pPr>
              <w:adjustRightInd w:val="0"/>
              <w:snapToGrid w:val="0"/>
              <w:rPr>
                <w:rFonts w:ascii="宋体" w:hAnsi="宋体"/>
                <w:bCs/>
                <w:color w:val="auto"/>
                <w:szCs w:val="21"/>
                <w:highlight w:val="none"/>
              </w:rPr>
            </w:pPr>
            <w:r>
              <w:rPr>
                <w:rFonts w:hint="eastAsia" w:ascii="宋体" w:hAnsi="宋体"/>
                <w:b/>
                <w:bCs w:val="0"/>
                <w:color w:val="auto"/>
                <w:szCs w:val="21"/>
                <w:highlight w:val="none"/>
                <w:lang w:val="en-US" w:eastAsia="zh-CN"/>
              </w:rPr>
              <w:t>二</w:t>
            </w:r>
            <w:r>
              <w:rPr>
                <w:rFonts w:ascii="宋体" w:hAnsi="宋体"/>
                <w:b/>
                <w:bCs w:val="0"/>
                <w:color w:val="auto"/>
                <w:szCs w:val="21"/>
                <w:highlight w:val="none"/>
              </w:rPr>
              <w:t>、运营期工艺流程及产污环节分析</w:t>
            </w:r>
          </w:p>
          <w:p w14:paraId="0C451621">
            <w:pPr>
              <w:adjustRightInd w:val="0"/>
              <w:snapToGrid w:val="0"/>
              <w:rPr>
                <w:rFonts w:hint="eastAsia" w:ascii="宋体" w:hAnsi="宋体"/>
                <w:bCs/>
                <w:color w:val="auto"/>
                <w:szCs w:val="21"/>
                <w:highlight w:val="none"/>
                <w:lang w:val="en-US" w:eastAsia="zh-CN"/>
              </w:rPr>
            </w:pPr>
            <w:r>
              <w:rPr>
                <w:rFonts w:hint="eastAsia" w:ascii="宋体" w:hAnsi="宋体"/>
                <w:b/>
                <w:bCs w:val="0"/>
                <w:color w:val="auto"/>
                <w:szCs w:val="21"/>
                <w:highlight w:val="none"/>
                <w:lang w:val="en-US" w:eastAsia="zh-CN"/>
              </w:rPr>
              <w:t>1、工艺流程</w:t>
            </w:r>
          </w:p>
          <w:p w14:paraId="63AFD844">
            <w:pPr>
              <w:bidi w:val="0"/>
              <w:rPr>
                <w:color w:val="auto"/>
                <w:highlight w:val="none"/>
              </w:rPr>
            </w:pPr>
            <w:r>
              <w:rPr>
                <w:rFonts w:hint="eastAsia"/>
                <w:color w:val="auto"/>
                <w:highlight w:val="none"/>
              </w:rPr>
              <w:t>本项目主要处理煤矿在用设备，经喷漆前的表面处理</w:t>
            </w:r>
            <w:r>
              <w:rPr>
                <w:rFonts w:hint="eastAsia"/>
                <w:color w:val="auto"/>
                <w:highlight w:val="none"/>
                <w:lang w:eastAsia="zh-CN"/>
              </w:rPr>
              <w:t>、</w:t>
            </w:r>
            <w:r>
              <w:rPr>
                <w:rFonts w:hint="eastAsia"/>
                <w:color w:val="auto"/>
                <w:highlight w:val="none"/>
                <w:lang w:val="en-US" w:eastAsia="zh-CN"/>
              </w:rPr>
              <w:t>焊接</w:t>
            </w:r>
            <w:r>
              <w:rPr>
                <w:rFonts w:hint="eastAsia"/>
                <w:color w:val="auto"/>
                <w:highlight w:val="none"/>
              </w:rPr>
              <w:t>后，进行喷漆处理。根据项目特点将工艺流程及排污环节叙述如下：</w:t>
            </w:r>
          </w:p>
          <w:p w14:paraId="2230707C">
            <w:pPr>
              <w:bidi w:val="0"/>
              <w:rPr>
                <w:rFonts w:hint="eastAsia"/>
                <w:b/>
                <w:bCs/>
                <w:color w:val="auto"/>
                <w:highlight w:val="none"/>
                <w:lang w:val="en-US" w:eastAsia="zh-CN"/>
              </w:rPr>
            </w:pPr>
            <w:r>
              <w:rPr>
                <w:rFonts w:hint="eastAsia"/>
                <w:b/>
                <w:bCs/>
                <w:color w:val="auto"/>
                <w:highlight w:val="none"/>
                <w:lang w:val="en-US" w:eastAsia="zh-CN"/>
              </w:rPr>
              <w:t>（1）抛丸处理</w:t>
            </w:r>
          </w:p>
          <w:p w14:paraId="6996AB05">
            <w:pPr>
              <w:bidi w:val="0"/>
              <w:rPr>
                <w:rFonts w:hint="eastAsia"/>
                <w:color w:val="auto"/>
                <w:highlight w:val="none"/>
                <w:lang w:val="en-US" w:eastAsia="zh-CN"/>
              </w:rPr>
            </w:pPr>
            <w:r>
              <w:rPr>
                <w:rFonts w:hint="eastAsia"/>
                <w:color w:val="auto"/>
                <w:highlight w:val="none"/>
                <w:lang w:val="en-US" w:eastAsia="zh-CN"/>
              </w:rPr>
              <w:t>抛丸处理是喷漆前的重要准备工作，主要用于清除工件表面的锈蚀、氧化皮和其他杂质，以提高漆膜的附着力和表面质量。将待处理的工件放置在抛丸机的工作台上，确保工件固定牢固。启动抛丸机，通过高速旋转的抛丸轮将钢丸或其他磨料投射到工件表面，冲击和摩擦作用去除表面的锈蚀和杂质。抛丸完成后，对工件表面进行检查，确保表面清洁、无油污和锈斑。</w:t>
            </w:r>
            <w:r>
              <w:rPr>
                <w:rFonts w:hint="eastAsia" w:ascii="Times New Roman" w:hAnsi="Times New Roman" w:eastAsia="宋体" w:cs="Times New Roman"/>
                <w:color w:val="auto"/>
                <w:szCs w:val="21"/>
                <w:highlight w:val="none"/>
                <w:lang w:val="en-US" w:eastAsia="zh-CN"/>
              </w:rPr>
              <w:t>抛丸清理过程中的废气采用集气罩收集后，经袋式除尘器处理后，最终由1根15m高的排气筒（DA001）排放。</w:t>
            </w:r>
          </w:p>
          <w:p w14:paraId="344C15B0">
            <w:pPr>
              <w:bidi w:val="0"/>
              <w:rPr>
                <w:rFonts w:hint="eastAsia"/>
                <w:b/>
                <w:bCs/>
                <w:color w:val="auto"/>
                <w:highlight w:val="none"/>
                <w:lang w:val="en-US" w:eastAsia="zh-CN"/>
              </w:rPr>
            </w:pPr>
            <w:r>
              <w:rPr>
                <w:rFonts w:hint="eastAsia"/>
                <w:b/>
                <w:bCs/>
                <w:color w:val="auto"/>
                <w:highlight w:val="none"/>
                <w:lang w:val="en-US" w:eastAsia="zh-CN"/>
              </w:rPr>
              <w:t>（2）焊接过程</w:t>
            </w:r>
          </w:p>
          <w:p w14:paraId="11457973">
            <w:pPr>
              <w:bidi w:val="0"/>
              <w:rPr>
                <w:rFonts w:hint="eastAsia"/>
                <w:color w:val="auto"/>
                <w:highlight w:val="none"/>
                <w:lang w:val="en-US" w:eastAsia="zh-CN"/>
              </w:rPr>
            </w:pPr>
            <w:r>
              <w:rPr>
                <w:rFonts w:hint="eastAsia"/>
                <w:color w:val="auto"/>
                <w:highlight w:val="none"/>
                <w:lang w:val="en-US" w:eastAsia="zh-CN"/>
              </w:rPr>
              <w:t>焊接是将金属部件连接在一起的关键步骤，确保结构的稳固性和完整性。清理焊接区域的油污和锈斑，对部件进行定位和固定，确保焊接精度。选择合适的焊接方法和参数，如电流、电压、焊接速度等，进行焊接作业。对焊接部位进行外观检查和必要的无损检测，确保焊接质量符合要求。</w:t>
            </w:r>
            <w:r>
              <w:rPr>
                <w:rFonts w:hint="eastAsia" w:ascii="Times New Roman" w:hAnsi="Times New Roman" w:eastAsia="宋体" w:cs="Times New Roman"/>
                <w:color w:val="auto"/>
                <w:szCs w:val="21"/>
                <w:highlight w:val="none"/>
                <w:lang w:val="en-US" w:eastAsia="zh-CN"/>
              </w:rPr>
              <w:t>焊接过程中产生的废气</w:t>
            </w:r>
            <w:r>
              <w:rPr>
                <w:rFonts w:hint="eastAsia"/>
                <w:color w:val="auto"/>
                <w:highlight w:val="none"/>
                <w:lang w:val="en-US" w:eastAsia="zh-CN"/>
              </w:rPr>
              <w:t>经移动式焊接烟尘净化器处理后最终无组织排放</w:t>
            </w:r>
            <w:r>
              <w:rPr>
                <w:rFonts w:hint="eastAsia" w:ascii="Times New Roman" w:hAnsi="Times New Roman" w:eastAsia="宋体" w:cs="Times New Roman"/>
                <w:color w:val="auto"/>
                <w:szCs w:val="21"/>
                <w:highlight w:val="none"/>
                <w:lang w:val="en-US" w:eastAsia="zh-CN"/>
              </w:rPr>
              <w:t>。</w:t>
            </w:r>
          </w:p>
          <w:p w14:paraId="07B6ECA8">
            <w:pPr>
              <w:bidi w:val="0"/>
              <w:rPr>
                <w:rFonts w:hint="eastAsia"/>
                <w:b/>
                <w:bCs/>
                <w:color w:val="auto"/>
                <w:highlight w:val="none"/>
                <w:lang w:val="en-US" w:eastAsia="zh-CN"/>
              </w:rPr>
            </w:pPr>
            <w:r>
              <w:rPr>
                <w:rFonts w:hint="eastAsia"/>
                <w:b/>
                <w:bCs/>
                <w:color w:val="auto"/>
                <w:highlight w:val="none"/>
                <w:lang w:val="en-US" w:eastAsia="zh-CN"/>
              </w:rPr>
              <w:t>（3）喷漆过程</w:t>
            </w:r>
          </w:p>
          <w:p w14:paraId="552213F7">
            <w:pPr>
              <w:bidi w:val="0"/>
              <w:rPr>
                <w:rFonts w:hint="eastAsia"/>
                <w:color w:val="auto"/>
                <w:highlight w:val="none"/>
                <w:lang w:val="en-US" w:eastAsia="zh-CN"/>
              </w:rPr>
            </w:pPr>
            <w:r>
              <w:rPr>
                <w:rFonts w:hint="eastAsia"/>
                <w:color w:val="auto"/>
                <w:highlight w:val="none"/>
                <w:lang w:val="en-US" w:eastAsia="zh-CN"/>
              </w:rPr>
              <w:t>将调制好的漆料通过喷枪均匀喷涂在工件表面，进行自动喷漆，确保涂层均匀和质量稳定。</w:t>
            </w:r>
            <w:r>
              <w:rPr>
                <w:color w:val="auto"/>
                <w:highlight w:val="none"/>
              </w:rPr>
              <w:t>喷漆完</w:t>
            </w:r>
            <w:r>
              <w:rPr>
                <w:rFonts w:hint="eastAsia"/>
                <w:color w:val="auto"/>
                <w:highlight w:val="none"/>
              </w:rPr>
              <w:t>毕后的部件置于晾干区，静置</w:t>
            </w:r>
            <w:r>
              <w:rPr>
                <w:rFonts w:hint="eastAsia"/>
                <w:color w:val="auto"/>
                <w:highlight w:val="none"/>
                <w:lang w:val="en-US" w:eastAsia="zh-CN"/>
              </w:rPr>
              <w:t>7</w:t>
            </w:r>
            <w:r>
              <w:rPr>
                <w:rFonts w:hint="eastAsia"/>
                <w:color w:val="auto"/>
                <w:highlight w:val="none"/>
              </w:rPr>
              <w:t>h（表干</w:t>
            </w:r>
            <w:r>
              <w:rPr>
                <w:rFonts w:hint="eastAsia"/>
                <w:color w:val="auto"/>
                <w:highlight w:val="none"/>
                <w:lang w:val="en-US" w:eastAsia="zh-CN"/>
              </w:rPr>
              <w:t>3</w:t>
            </w:r>
            <w:r>
              <w:rPr>
                <w:color w:val="auto"/>
                <w:highlight w:val="none"/>
              </w:rPr>
              <w:t>h</w:t>
            </w:r>
            <w:r>
              <w:rPr>
                <w:rFonts w:hint="eastAsia"/>
                <w:color w:val="auto"/>
                <w:highlight w:val="none"/>
              </w:rPr>
              <w:t>，实干</w:t>
            </w:r>
            <w:r>
              <w:rPr>
                <w:color w:val="auto"/>
                <w:highlight w:val="none"/>
              </w:rPr>
              <w:t>4h</w:t>
            </w:r>
            <w:r>
              <w:rPr>
                <w:rFonts w:hint="eastAsia"/>
                <w:color w:val="auto"/>
                <w:highlight w:val="none"/>
              </w:rPr>
              <w:t>），进行自然晾干，</w:t>
            </w:r>
            <w:r>
              <w:rPr>
                <w:color w:val="auto"/>
                <w:highlight w:val="none"/>
              </w:rPr>
              <w:t>晾干后即得成品</w:t>
            </w:r>
            <w:r>
              <w:rPr>
                <w:rFonts w:hint="eastAsia"/>
                <w:color w:val="auto"/>
                <w:highlight w:val="none"/>
              </w:rPr>
              <w:t>。</w:t>
            </w:r>
            <w:r>
              <w:rPr>
                <w:rFonts w:hint="eastAsia"/>
                <w:color w:val="auto"/>
                <w:highlight w:val="none"/>
                <w:lang w:val="en-US" w:eastAsia="zh-CN"/>
              </w:rPr>
              <w:t>喷漆过程于专用封闭喷漆房内进行，喷漆废气经负压收集引至干式过滤器（迷宫纸盒）+过滤棉+二级活性炭吸附装置处理后，由15m高排气筒（DA002）排放。</w:t>
            </w:r>
            <w:r>
              <w:rPr>
                <w:rFonts w:hint="eastAsia"/>
                <w:color w:val="auto"/>
                <w:highlight w:val="none"/>
              </w:rPr>
              <w:t>喷漆完毕后的各部件运至煤矿采区进行组织后投入使用。</w:t>
            </w:r>
            <w:r>
              <w:rPr>
                <w:rFonts w:hint="eastAsia"/>
                <w:color w:val="auto"/>
                <w:highlight w:val="none"/>
                <w:lang w:val="en-US" w:eastAsia="zh-CN"/>
              </w:rPr>
              <w:t>对干燥后的工件进行检验，检查涂层的颜色、厚度、附力和表面质量，确保符合质量标准。</w:t>
            </w:r>
          </w:p>
          <w:p w14:paraId="711A1437">
            <w:pPr>
              <w:adjustRightInd w:val="0"/>
              <w:snapToGrid w:val="0"/>
              <w:ind w:left="0" w:leftChars="0" w:firstLine="0" w:firstLineChars="0"/>
              <w:jc w:val="center"/>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lang w:eastAsia="zh-CN"/>
              </w:rPr>
              <w:drawing>
                <wp:inline distT="0" distB="0" distL="114300" distR="114300">
                  <wp:extent cx="3592830" cy="2066925"/>
                  <wp:effectExtent l="0" t="0" r="7620" b="0"/>
                  <wp:docPr id="42" name="ECB019B1-382A-4266-B25C-5B523AA43C14-1" descr="C:/Users/Lenovo/AppData/Local/Temp/wps.egMoh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CB019B1-382A-4266-B25C-5B523AA43C14-1" descr="C:/Users/Lenovo/AppData/Local/Temp/wps.egMohXwps"/>
                          <pic:cNvPicPr>
                            <a:picLocks noChangeAspect="1"/>
                          </pic:cNvPicPr>
                        </pic:nvPicPr>
                        <pic:blipFill>
                          <a:blip r:embed="rId17"/>
                          <a:stretch>
                            <a:fillRect/>
                          </a:stretch>
                        </pic:blipFill>
                        <pic:spPr>
                          <a:xfrm>
                            <a:off x="0" y="0"/>
                            <a:ext cx="3592830" cy="2066925"/>
                          </a:xfrm>
                          <a:prstGeom prst="rect">
                            <a:avLst/>
                          </a:prstGeom>
                          <a:noFill/>
                          <a:ln>
                            <a:noFill/>
                          </a:ln>
                        </pic:spPr>
                      </pic:pic>
                    </a:graphicData>
                  </a:graphic>
                </wp:inline>
              </w:drawing>
            </w:r>
          </w:p>
          <w:p w14:paraId="2DBD0F03">
            <w:pPr>
              <w:adjustRightInd w:val="0"/>
              <w:snapToGrid w:val="0"/>
              <w:ind w:left="0" w:leftChars="0" w:firstLine="0" w:firstLineChars="0"/>
              <w:jc w:val="center"/>
              <w:rPr>
                <w:rFonts w:hint="eastAsia" w:ascii="宋体" w:hAnsi="宋体"/>
                <w:b/>
                <w:bCs w:val="0"/>
                <w:color w:val="auto"/>
                <w:szCs w:val="21"/>
                <w:highlight w:val="none"/>
              </w:rPr>
            </w:pPr>
            <w:r>
              <w:rPr>
                <w:rFonts w:ascii="宋体" w:hAnsi="宋体"/>
                <w:b/>
                <w:bCs w:val="0"/>
                <w:color w:val="auto"/>
                <w:szCs w:val="21"/>
                <w:highlight w:val="none"/>
              </w:rPr>
              <w:t>图2-</w:t>
            </w:r>
            <w:r>
              <w:rPr>
                <w:rFonts w:hint="eastAsia" w:ascii="宋体" w:hAnsi="宋体"/>
                <w:b/>
                <w:bCs w:val="0"/>
                <w:color w:val="auto"/>
                <w:szCs w:val="21"/>
                <w:highlight w:val="none"/>
              </w:rPr>
              <w:t>2</w:t>
            </w:r>
            <w:r>
              <w:rPr>
                <w:rFonts w:ascii="宋体" w:hAnsi="宋体"/>
                <w:b/>
                <w:bCs w:val="0"/>
                <w:color w:val="auto"/>
                <w:szCs w:val="21"/>
                <w:highlight w:val="none"/>
              </w:rPr>
              <w:t>项目</w:t>
            </w:r>
            <w:r>
              <w:rPr>
                <w:rFonts w:hint="eastAsia" w:ascii="宋体" w:hAnsi="宋体"/>
                <w:b/>
                <w:bCs w:val="0"/>
                <w:color w:val="auto"/>
                <w:szCs w:val="21"/>
                <w:highlight w:val="none"/>
              </w:rPr>
              <w:t>工艺</w:t>
            </w:r>
            <w:r>
              <w:rPr>
                <w:rFonts w:ascii="宋体" w:hAnsi="宋体"/>
                <w:b/>
                <w:bCs w:val="0"/>
                <w:color w:val="auto"/>
                <w:szCs w:val="21"/>
                <w:highlight w:val="none"/>
              </w:rPr>
              <w:t>流程</w:t>
            </w:r>
            <w:r>
              <w:rPr>
                <w:rFonts w:hint="eastAsia" w:ascii="宋体" w:hAnsi="宋体"/>
                <w:b/>
                <w:bCs w:val="0"/>
                <w:color w:val="auto"/>
                <w:szCs w:val="21"/>
                <w:highlight w:val="none"/>
              </w:rPr>
              <w:t>图</w:t>
            </w:r>
          </w:p>
          <w:p w14:paraId="1417E3BA">
            <w:pPr>
              <w:adjustRightInd w:val="0"/>
              <w:snapToGrid w:val="0"/>
              <w:rPr>
                <w:rFonts w:hint="eastAsia" w:cs="Times New Roman"/>
                <w:b/>
                <w:bCs w:val="0"/>
                <w:color w:val="auto"/>
                <w:szCs w:val="21"/>
                <w:highlight w:val="none"/>
                <w:lang w:val="en-US" w:eastAsia="zh-CN"/>
              </w:rPr>
            </w:pPr>
            <w:r>
              <w:rPr>
                <w:rFonts w:hint="eastAsia" w:cs="Times New Roman"/>
                <w:b/>
                <w:bCs w:val="0"/>
                <w:color w:val="auto"/>
                <w:szCs w:val="21"/>
                <w:highlight w:val="none"/>
                <w:lang w:val="en-US" w:eastAsia="zh-CN"/>
              </w:rPr>
              <w:t>2、产排污环节</w:t>
            </w:r>
          </w:p>
          <w:p w14:paraId="671B1575">
            <w:pPr>
              <w:bidi w:val="0"/>
              <w:rPr>
                <w:rFonts w:hint="eastAsia"/>
                <w:color w:val="auto"/>
                <w:highlight w:val="none"/>
                <w:lang w:val="en-US" w:eastAsia="zh-CN"/>
              </w:rPr>
            </w:pPr>
            <w:r>
              <w:rPr>
                <w:rFonts w:hint="eastAsia"/>
                <w:color w:val="auto"/>
                <w:highlight w:val="none"/>
                <w:lang w:val="en-US" w:eastAsia="zh-CN"/>
              </w:rPr>
              <w:t>运营期主要产排污环节见下表。</w:t>
            </w:r>
          </w:p>
          <w:p w14:paraId="35EEA0C1">
            <w:pPr>
              <w:adjustRightInd w:val="0"/>
              <w:snapToGrid w:val="0"/>
              <w:ind w:left="0" w:leftChars="0" w:firstLine="0" w:firstLineChars="0"/>
              <w:jc w:val="center"/>
              <w:rPr>
                <w:rFonts w:ascii="宋体" w:hAnsi="宋体"/>
                <w:b/>
                <w:bCs w:val="0"/>
                <w:color w:val="auto"/>
                <w:szCs w:val="21"/>
                <w:highlight w:val="none"/>
              </w:rPr>
            </w:pPr>
            <w:r>
              <w:rPr>
                <w:rFonts w:ascii="宋体" w:hAnsi="宋体"/>
                <w:b/>
                <w:bCs w:val="0"/>
                <w:color w:val="auto"/>
                <w:szCs w:val="21"/>
                <w:highlight w:val="none"/>
              </w:rPr>
              <w:t>表2-</w:t>
            </w:r>
            <w:r>
              <w:rPr>
                <w:rFonts w:hint="eastAsia" w:ascii="宋体" w:hAnsi="宋体"/>
                <w:b/>
                <w:bCs w:val="0"/>
                <w:color w:val="auto"/>
                <w:szCs w:val="21"/>
                <w:highlight w:val="none"/>
                <w:lang w:val="en-US" w:eastAsia="zh-CN"/>
              </w:rPr>
              <w:t>10</w:t>
            </w:r>
            <w:r>
              <w:rPr>
                <w:rFonts w:ascii="宋体" w:hAnsi="宋体"/>
                <w:b/>
                <w:bCs w:val="0"/>
                <w:color w:val="auto"/>
                <w:szCs w:val="21"/>
                <w:highlight w:val="none"/>
              </w:rPr>
              <w:t>项目污染源、污染物汇总一览表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
              <w:gridCol w:w="1000"/>
              <w:gridCol w:w="702"/>
              <w:gridCol w:w="1974"/>
              <w:gridCol w:w="2282"/>
              <w:gridCol w:w="1373"/>
            </w:tblGrid>
            <w:tr w14:paraId="1F4B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06" w:type="dxa"/>
                  <w:noWrap w:val="0"/>
                  <w:vAlign w:val="center"/>
                </w:tcPr>
                <w:p w14:paraId="5FE5DB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序号</w:t>
                  </w:r>
                </w:p>
              </w:tc>
              <w:tc>
                <w:tcPr>
                  <w:tcW w:w="1000" w:type="dxa"/>
                  <w:noWrap w:val="0"/>
                  <w:vAlign w:val="center"/>
                </w:tcPr>
                <w:p w14:paraId="315389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污染物类型</w:t>
                  </w:r>
                </w:p>
              </w:tc>
              <w:tc>
                <w:tcPr>
                  <w:tcW w:w="702" w:type="dxa"/>
                  <w:noWrap w:val="0"/>
                  <w:vAlign w:val="center"/>
                </w:tcPr>
                <w:p w14:paraId="434E14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编号</w:t>
                  </w:r>
                </w:p>
              </w:tc>
              <w:tc>
                <w:tcPr>
                  <w:tcW w:w="1974" w:type="dxa"/>
                  <w:noWrap w:val="0"/>
                  <w:vAlign w:val="center"/>
                </w:tcPr>
                <w:p w14:paraId="1AAC01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污染物产生环节</w:t>
                  </w:r>
                </w:p>
              </w:tc>
              <w:tc>
                <w:tcPr>
                  <w:tcW w:w="2282" w:type="dxa"/>
                  <w:noWrap w:val="0"/>
                  <w:vAlign w:val="center"/>
                </w:tcPr>
                <w:p w14:paraId="703305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主要污染物</w:t>
                  </w:r>
                </w:p>
              </w:tc>
              <w:tc>
                <w:tcPr>
                  <w:tcW w:w="1373" w:type="dxa"/>
                  <w:noWrap w:val="0"/>
                  <w:vAlign w:val="center"/>
                </w:tcPr>
                <w:p w14:paraId="3D7714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产生与排放特征</w:t>
                  </w:r>
                </w:p>
              </w:tc>
            </w:tr>
            <w:tr w14:paraId="78AB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restart"/>
                  <w:noWrap w:val="0"/>
                  <w:vAlign w:val="center"/>
                </w:tcPr>
                <w:p w14:paraId="35798B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1</w:t>
                  </w:r>
                </w:p>
              </w:tc>
              <w:tc>
                <w:tcPr>
                  <w:tcW w:w="1000" w:type="dxa"/>
                  <w:vMerge w:val="restart"/>
                  <w:noWrap w:val="0"/>
                  <w:vAlign w:val="center"/>
                </w:tcPr>
                <w:p w14:paraId="7A5E82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废气</w:t>
                  </w:r>
                </w:p>
              </w:tc>
              <w:tc>
                <w:tcPr>
                  <w:tcW w:w="702" w:type="dxa"/>
                  <w:vMerge w:val="restart"/>
                  <w:noWrap w:val="0"/>
                  <w:vAlign w:val="center"/>
                </w:tcPr>
                <w:p w14:paraId="0097E0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lang w:val="en-US" w:eastAsia="zh-CN"/>
                    </w:rPr>
                  </w:pPr>
                  <w:r>
                    <w:rPr>
                      <w:rFonts w:hint="eastAsia" w:ascii="宋体" w:hAnsi="宋体"/>
                      <w:bCs/>
                      <w:color w:val="auto"/>
                      <w:szCs w:val="21"/>
                      <w:highlight w:val="none"/>
                    </w:rPr>
                    <w:t>G</w:t>
                  </w:r>
                </w:p>
              </w:tc>
              <w:tc>
                <w:tcPr>
                  <w:tcW w:w="1974" w:type="dxa"/>
                  <w:noWrap w:val="0"/>
                  <w:vAlign w:val="center"/>
                </w:tcPr>
                <w:p w14:paraId="78F6CE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抛丸废气</w:t>
                  </w:r>
                </w:p>
              </w:tc>
              <w:tc>
                <w:tcPr>
                  <w:tcW w:w="2282" w:type="dxa"/>
                  <w:noWrap w:val="0"/>
                  <w:vAlign w:val="center"/>
                </w:tcPr>
                <w:p w14:paraId="57C87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颗粒物</w:t>
                  </w:r>
                </w:p>
              </w:tc>
              <w:tc>
                <w:tcPr>
                  <w:tcW w:w="1373" w:type="dxa"/>
                  <w:noWrap w:val="0"/>
                  <w:vAlign w:val="center"/>
                </w:tcPr>
                <w:p w14:paraId="5A0DE0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ascii="宋体" w:hAnsi="宋体"/>
                      <w:bCs/>
                      <w:color w:val="auto"/>
                      <w:szCs w:val="21"/>
                      <w:highlight w:val="none"/>
                    </w:rPr>
                    <w:t>间断</w:t>
                  </w:r>
                </w:p>
              </w:tc>
            </w:tr>
            <w:tr w14:paraId="4AE1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644E07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000" w:type="dxa"/>
                  <w:vMerge w:val="continue"/>
                  <w:noWrap w:val="0"/>
                  <w:vAlign w:val="center"/>
                </w:tcPr>
                <w:p w14:paraId="0643A7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00266F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974" w:type="dxa"/>
                  <w:noWrap w:val="0"/>
                  <w:vAlign w:val="center"/>
                </w:tcPr>
                <w:p w14:paraId="3F411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焊接废气</w:t>
                  </w:r>
                </w:p>
              </w:tc>
              <w:tc>
                <w:tcPr>
                  <w:tcW w:w="2282" w:type="dxa"/>
                  <w:noWrap w:val="0"/>
                  <w:vAlign w:val="center"/>
                </w:tcPr>
                <w:p w14:paraId="5E8F80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颗粒物</w:t>
                  </w:r>
                </w:p>
              </w:tc>
              <w:tc>
                <w:tcPr>
                  <w:tcW w:w="1373" w:type="dxa"/>
                  <w:noWrap w:val="0"/>
                  <w:vAlign w:val="center"/>
                </w:tcPr>
                <w:p w14:paraId="2EFFDA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ascii="宋体" w:hAnsi="宋体"/>
                      <w:bCs/>
                      <w:color w:val="auto"/>
                      <w:szCs w:val="21"/>
                      <w:highlight w:val="none"/>
                    </w:rPr>
                    <w:t>间断</w:t>
                  </w:r>
                </w:p>
              </w:tc>
            </w:tr>
            <w:tr w14:paraId="35DE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06" w:type="dxa"/>
                  <w:vMerge w:val="continue"/>
                  <w:noWrap w:val="0"/>
                  <w:vAlign w:val="center"/>
                </w:tcPr>
                <w:p w14:paraId="7E6B05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000" w:type="dxa"/>
                  <w:vMerge w:val="continue"/>
                  <w:noWrap w:val="0"/>
                  <w:vAlign w:val="center"/>
                </w:tcPr>
                <w:p w14:paraId="60DBFB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1C8B94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lang w:val="en-US" w:eastAsia="zh-CN"/>
                    </w:rPr>
                  </w:pPr>
                </w:p>
              </w:tc>
              <w:tc>
                <w:tcPr>
                  <w:tcW w:w="1974" w:type="dxa"/>
                  <w:noWrap w:val="0"/>
                  <w:vAlign w:val="center"/>
                </w:tcPr>
                <w:p w14:paraId="005703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bCs/>
                      <w:color w:val="auto"/>
                      <w:szCs w:val="21"/>
                      <w:highlight w:val="none"/>
                      <w:lang w:val="en-US" w:eastAsia="zh-CN"/>
                    </w:rPr>
                  </w:pPr>
                  <w:r>
                    <w:rPr>
                      <w:rFonts w:hint="eastAsia" w:ascii="宋体" w:hAnsi="宋体"/>
                      <w:bCs/>
                      <w:color w:val="auto"/>
                      <w:szCs w:val="21"/>
                      <w:highlight w:val="none"/>
                    </w:rPr>
                    <w:t>喷漆</w:t>
                  </w:r>
                  <w:r>
                    <w:rPr>
                      <w:rFonts w:hint="eastAsia" w:ascii="宋体" w:hAnsi="宋体"/>
                      <w:bCs/>
                      <w:color w:val="auto"/>
                      <w:szCs w:val="21"/>
                      <w:highlight w:val="none"/>
                      <w:lang w:val="en-US" w:eastAsia="zh-CN"/>
                    </w:rPr>
                    <w:t>废气</w:t>
                  </w:r>
                </w:p>
              </w:tc>
              <w:tc>
                <w:tcPr>
                  <w:tcW w:w="2282" w:type="dxa"/>
                  <w:noWrap w:val="0"/>
                  <w:vAlign w:val="center"/>
                </w:tcPr>
                <w:p w14:paraId="7F7EF4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非甲烷总烃、颗粒物</w:t>
                  </w:r>
                </w:p>
              </w:tc>
              <w:tc>
                <w:tcPr>
                  <w:tcW w:w="1373" w:type="dxa"/>
                  <w:noWrap w:val="0"/>
                  <w:vAlign w:val="center"/>
                </w:tcPr>
                <w:p w14:paraId="4BE771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ascii="宋体" w:hAnsi="宋体"/>
                      <w:bCs/>
                      <w:color w:val="auto"/>
                      <w:szCs w:val="21"/>
                      <w:highlight w:val="none"/>
                    </w:rPr>
                    <w:t>间断</w:t>
                  </w:r>
                </w:p>
              </w:tc>
            </w:tr>
            <w:tr w14:paraId="6C3F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restart"/>
                  <w:noWrap w:val="0"/>
                  <w:vAlign w:val="center"/>
                </w:tcPr>
                <w:p w14:paraId="11EBEF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ascii="宋体" w:hAnsi="宋体"/>
                      <w:bCs/>
                      <w:color w:val="auto"/>
                      <w:szCs w:val="21"/>
                      <w:highlight w:val="none"/>
                    </w:rPr>
                    <w:t>2</w:t>
                  </w:r>
                </w:p>
              </w:tc>
              <w:tc>
                <w:tcPr>
                  <w:tcW w:w="1000" w:type="dxa"/>
                  <w:vMerge w:val="restart"/>
                  <w:noWrap w:val="0"/>
                  <w:vAlign w:val="center"/>
                </w:tcPr>
                <w:p w14:paraId="47100A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固废</w:t>
                  </w:r>
                </w:p>
              </w:tc>
              <w:tc>
                <w:tcPr>
                  <w:tcW w:w="702" w:type="dxa"/>
                  <w:vMerge w:val="restart"/>
                  <w:noWrap w:val="0"/>
                  <w:vAlign w:val="center"/>
                </w:tcPr>
                <w:p w14:paraId="30B260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ascii="宋体" w:hAnsi="宋体"/>
                      <w:bCs/>
                      <w:color w:val="auto"/>
                      <w:szCs w:val="21"/>
                      <w:highlight w:val="none"/>
                    </w:rPr>
                    <w:t>S</w:t>
                  </w:r>
                </w:p>
              </w:tc>
              <w:tc>
                <w:tcPr>
                  <w:tcW w:w="1974" w:type="dxa"/>
                  <w:noWrap w:val="0"/>
                  <w:vAlign w:val="center"/>
                </w:tcPr>
                <w:p w14:paraId="7166F1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袋式除尘器</w:t>
                  </w:r>
                </w:p>
              </w:tc>
              <w:tc>
                <w:tcPr>
                  <w:tcW w:w="2282" w:type="dxa"/>
                  <w:noWrap w:val="0"/>
                  <w:vAlign w:val="center"/>
                </w:tcPr>
                <w:p w14:paraId="0312F7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除尘灰</w:t>
                  </w:r>
                </w:p>
              </w:tc>
              <w:tc>
                <w:tcPr>
                  <w:tcW w:w="1373" w:type="dxa"/>
                  <w:noWrap w:val="0"/>
                  <w:vAlign w:val="center"/>
                </w:tcPr>
                <w:p w14:paraId="4E56A2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hint="eastAsia" w:ascii="宋体" w:hAnsi="宋体"/>
                      <w:bCs/>
                      <w:color w:val="auto"/>
                      <w:szCs w:val="21"/>
                      <w:highlight w:val="none"/>
                    </w:rPr>
                    <w:t>间断</w:t>
                  </w:r>
                </w:p>
              </w:tc>
            </w:tr>
            <w:tr w14:paraId="3237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5E3673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000" w:type="dxa"/>
                  <w:vMerge w:val="continue"/>
                  <w:noWrap w:val="0"/>
                  <w:vAlign w:val="center"/>
                </w:tcPr>
                <w:p w14:paraId="4C58C0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77CC0F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974" w:type="dxa"/>
                  <w:noWrap w:val="0"/>
                  <w:vAlign w:val="center"/>
                </w:tcPr>
                <w:p w14:paraId="433341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ascii="宋体" w:hAnsi="宋体"/>
                      <w:bCs/>
                      <w:color w:val="auto"/>
                      <w:szCs w:val="21"/>
                      <w:highlight w:val="none"/>
                    </w:rPr>
                    <w:t>喷漆过程</w:t>
                  </w:r>
                </w:p>
              </w:tc>
              <w:tc>
                <w:tcPr>
                  <w:tcW w:w="2282" w:type="dxa"/>
                  <w:noWrap w:val="0"/>
                  <w:vAlign w:val="center"/>
                </w:tcPr>
                <w:p w14:paraId="4234E4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废漆桶</w:t>
                  </w:r>
                </w:p>
              </w:tc>
              <w:tc>
                <w:tcPr>
                  <w:tcW w:w="1373" w:type="dxa"/>
                  <w:noWrap w:val="0"/>
                  <w:vAlign w:val="center"/>
                </w:tcPr>
                <w:p w14:paraId="7D08CB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间断</w:t>
                  </w:r>
                </w:p>
              </w:tc>
            </w:tr>
            <w:tr w14:paraId="68FA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6E768B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000" w:type="dxa"/>
                  <w:vMerge w:val="continue"/>
                  <w:noWrap w:val="0"/>
                  <w:vAlign w:val="center"/>
                </w:tcPr>
                <w:p w14:paraId="3FFB3D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374D83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974" w:type="dxa"/>
                  <w:noWrap w:val="0"/>
                  <w:vAlign w:val="center"/>
                </w:tcPr>
                <w:p w14:paraId="57D9F3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bCs/>
                      <w:color w:val="auto"/>
                      <w:kern w:val="2"/>
                      <w:sz w:val="24"/>
                      <w:szCs w:val="21"/>
                      <w:highlight w:val="none"/>
                      <w:lang w:val="en-US" w:eastAsia="zh-CN" w:bidi="ar-SA"/>
                    </w:rPr>
                  </w:pPr>
                  <w:r>
                    <w:rPr>
                      <w:rFonts w:hint="eastAsia" w:ascii="宋体" w:hAnsi="宋体"/>
                      <w:bCs/>
                      <w:color w:val="auto"/>
                      <w:szCs w:val="21"/>
                      <w:highlight w:val="none"/>
                    </w:rPr>
                    <w:t>喷漆过程</w:t>
                  </w:r>
                </w:p>
              </w:tc>
              <w:tc>
                <w:tcPr>
                  <w:tcW w:w="2282" w:type="dxa"/>
                  <w:noWrap w:val="0"/>
                  <w:vAlign w:val="center"/>
                </w:tcPr>
                <w:p w14:paraId="12C2EC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bCs/>
                      <w:color w:val="auto"/>
                      <w:kern w:val="2"/>
                      <w:sz w:val="24"/>
                      <w:szCs w:val="21"/>
                      <w:highlight w:val="none"/>
                      <w:lang w:val="en-US" w:eastAsia="zh-CN" w:bidi="ar-SA"/>
                    </w:rPr>
                  </w:pPr>
                  <w:r>
                    <w:rPr>
                      <w:rFonts w:hint="eastAsia" w:ascii="宋体" w:hAnsi="宋体"/>
                      <w:bCs/>
                      <w:color w:val="auto"/>
                      <w:szCs w:val="21"/>
                      <w:highlight w:val="none"/>
                    </w:rPr>
                    <w:t>废漆渣</w:t>
                  </w:r>
                </w:p>
              </w:tc>
              <w:tc>
                <w:tcPr>
                  <w:tcW w:w="1373" w:type="dxa"/>
                  <w:noWrap w:val="0"/>
                  <w:vAlign w:val="center"/>
                </w:tcPr>
                <w:p w14:paraId="3AC681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间断</w:t>
                  </w:r>
                </w:p>
              </w:tc>
            </w:tr>
            <w:tr w14:paraId="5B57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054685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000" w:type="dxa"/>
                  <w:vMerge w:val="continue"/>
                  <w:noWrap w:val="0"/>
                  <w:vAlign w:val="center"/>
                </w:tcPr>
                <w:p w14:paraId="7C93CD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4C54D4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974" w:type="dxa"/>
                  <w:noWrap w:val="0"/>
                  <w:vAlign w:val="center"/>
                </w:tcPr>
                <w:p w14:paraId="47EE66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干式过滤器</w:t>
                  </w:r>
                </w:p>
              </w:tc>
              <w:tc>
                <w:tcPr>
                  <w:tcW w:w="2282" w:type="dxa"/>
                  <w:noWrap w:val="0"/>
                  <w:vAlign w:val="center"/>
                </w:tcPr>
                <w:p w14:paraId="631BD5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废纸壳（含废漆渣）</w:t>
                  </w:r>
                </w:p>
              </w:tc>
              <w:tc>
                <w:tcPr>
                  <w:tcW w:w="1373" w:type="dxa"/>
                  <w:noWrap w:val="0"/>
                  <w:vAlign w:val="center"/>
                </w:tcPr>
                <w:p w14:paraId="782E14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间断</w:t>
                  </w:r>
                </w:p>
              </w:tc>
            </w:tr>
            <w:tr w14:paraId="70F6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176D1B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000" w:type="dxa"/>
                  <w:vMerge w:val="continue"/>
                  <w:noWrap w:val="0"/>
                  <w:vAlign w:val="center"/>
                </w:tcPr>
                <w:p w14:paraId="068A6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3ABF44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974" w:type="dxa"/>
                  <w:shd w:val="clear" w:color="auto" w:fill="auto"/>
                  <w:noWrap w:val="0"/>
                  <w:vAlign w:val="center"/>
                </w:tcPr>
                <w:p w14:paraId="62178E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Times New Roman"/>
                      <w:bCs/>
                      <w:color w:val="auto"/>
                      <w:kern w:val="2"/>
                      <w:sz w:val="24"/>
                      <w:szCs w:val="21"/>
                      <w:highlight w:val="none"/>
                      <w:lang w:val="en-US" w:eastAsia="zh-CN" w:bidi="ar-SA"/>
                    </w:rPr>
                  </w:pPr>
                  <w:r>
                    <w:rPr>
                      <w:rFonts w:hint="eastAsia" w:ascii="宋体" w:hAnsi="宋体"/>
                      <w:bCs/>
                      <w:color w:val="auto"/>
                      <w:szCs w:val="21"/>
                      <w:highlight w:val="none"/>
                      <w:lang w:val="en-US" w:eastAsia="zh-CN"/>
                    </w:rPr>
                    <w:t>过滤棉过滤</w:t>
                  </w:r>
                </w:p>
              </w:tc>
              <w:tc>
                <w:tcPr>
                  <w:tcW w:w="2282" w:type="dxa"/>
                  <w:shd w:val="clear" w:color="auto" w:fill="auto"/>
                  <w:noWrap w:val="0"/>
                  <w:vAlign w:val="center"/>
                </w:tcPr>
                <w:p w14:paraId="6348D1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Times New Roman"/>
                      <w:bCs/>
                      <w:color w:val="auto"/>
                      <w:kern w:val="2"/>
                      <w:sz w:val="24"/>
                      <w:szCs w:val="21"/>
                      <w:highlight w:val="none"/>
                      <w:lang w:val="en-US" w:eastAsia="zh-CN" w:bidi="ar-SA"/>
                    </w:rPr>
                  </w:pPr>
                  <w:r>
                    <w:rPr>
                      <w:rFonts w:hint="eastAsia" w:ascii="宋体" w:hAnsi="宋体"/>
                      <w:bCs/>
                      <w:color w:val="auto"/>
                      <w:szCs w:val="21"/>
                      <w:highlight w:val="none"/>
                      <w:lang w:val="en-US" w:eastAsia="zh-CN"/>
                    </w:rPr>
                    <w:t>废过滤棉（含废漆渣）</w:t>
                  </w:r>
                </w:p>
              </w:tc>
              <w:tc>
                <w:tcPr>
                  <w:tcW w:w="1373" w:type="dxa"/>
                  <w:shd w:val="clear" w:color="auto" w:fill="auto"/>
                  <w:noWrap w:val="0"/>
                  <w:vAlign w:val="center"/>
                </w:tcPr>
                <w:p w14:paraId="4D9068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eastAsia="宋体" w:cs="Times New Roman"/>
                      <w:bCs/>
                      <w:color w:val="auto"/>
                      <w:kern w:val="2"/>
                      <w:sz w:val="24"/>
                      <w:szCs w:val="21"/>
                      <w:highlight w:val="none"/>
                      <w:lang w:val="en-US" w:eastAsia="zh-CN" w:bidi="ar-SA"/>
                    </w:rPr>
                  </w:pPr>
                  <w:r>
                    <w:rPr>
                      <w:rFonts w:hint="eastAsia" w:ascii="宋体" w:hAnsi="宋体"/>
                      <w:bCs/>
                      <w:color w:val="auto"/>
                      <w:szCs w:val="21"/>
                      <w:highlight w:val="none"/>
                    </w:rPr>
                    <w:t>间断</w:t>
                  </w:r>
                </w:p>
              </w:tc>
            </w:tr>
            <w:tr w14:paraId="0E82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4CA16D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000" w:type="dxa"/>
                  <w:vMerge w:val="continue"/>
                  <w:noWrap w:val="0"/>
                  <w:vAlign w:val="center"/>
                </w:tcPr>
                <w:p w14:paraId="654091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653076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974" w:type="dxa"/>
                  <w:noWrap w:val="0"/>
                  <w:vAlign w:val="center"/>
                </w:tcPr>
                <w:p w14:paraId="22588D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bCs/>
                      <w:color w:val="auto"/>
                      <w:kern w:val="2"/>
                      <w:sz w:val="24"/>
                      <w:szCs w:val="21"/>
                      <w:highlight w:val="none"/>
                      <w:lang w:val="en-US" w:eastAsia="zh-CN" w:bidi="ar-SA"/>
                    </w:rPr>
                  </w:pPr>
                  <w:r>
                    <w:rPr>
                      <w:rFonts w:hint="eastAsia" w:ascii="宋体" w:hAnsi="宋体"/>
                      <w:bCs/>
                      <w:color w:val="auto"/>
                      <w:szCs w:val="21"/>
                      <w:highlight w:val="none"/>
                    </w:rPr>
                    <w:t>活性炭吸附箱</w:t>
                  </w:r>
                </w:p>
              </w:tc>
              <w:tc>
                <w:tcPr>
                  <w:tcW w:w="2282" w:type="dxa"/>
                  <w:noWrap w:val="0"/>
                  <w:vAlign w:val="center"/>
                </w:tcPr>
                <w:p w14:paraId="4C96C5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bCs/>
                      <w:color w:val="auto"/>
                      <w:kern w:val="2"/>
                      <w:sz w:val="24"/>
                      <w:szCs w:val="21"/>
                      <w:highlight w:val="none"/>
                      <w:lang w:val="en-US" w:eastAsia="zh-CN" w:bidi="ar-SA"/>
                    </w:rPr>
                  </w:pPr>
                  <w:r>
                    <w:rPr>
                      <w:rFonts w:hint="eastAsia" w:ascii="宋体" w:hAnsi="宋体"/>
                      <w:bCs/>
                      <w:color w:val="auto"/>
                      <w:szCs w:val="21"/>
                      <w:highlight w:val="none"/>
                    </w:rPr>
                    <w:t>废活性炭</w:t>
                  </w:r>
                </w:p>
              </w:tc>
              <w:tc>
                <w:tcPr>
                  <w:tcW w:w="1373" w:type="dxa"/>
                  <w:noWrap w:val="0"/>
                  <w:vAlign w:val="center"/>
                </w:tcPr>
                <w:p w14:paraId="7652B6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间断</w:t>
                  </w:r>
                </w:p>
              </w:tc>
            </w:tr>
            <w:tr w14:paraId="434B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4FB97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000" w:type="dxa"/>
                  <w:vMerge w:val="continue"/>
                  <w:noWrap w:val="0"/>
                  <w:vAlign w:val="center"/>
                </w:tcPr>
                <w:p w14:paraId="6A1787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092C81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974" w:type="dxa"/>
                  <w:noWrap w:val="0"/>
                  <w:vAlign w:val="center"/>
                </w:tcPr>
                <w:p w14:paraId="40DFB5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color w:val="auto"/>
                      <w:highlight w:val="none"/>
                      <w:lang w:val="en-US" w:eastAsia="zh-CN"/>
                    </w:rPr>
                    <w:t>机械设备运行、维修过程</w:t>
                  </w:r>
                </w:p>
              </w:tc>
              <w:tc>
                <w:tcPr>
                  <w:tcW w:w="2282" w:type="dxa"/>
                  <w:noWrap w:val="0"/>
                  <w:vAlign w:val="center"/>
                </w:tcPr>
                <w:p w14:paraId="3D539B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color w:val="auto"/>
                      <w:highlight w:val="none"/>
                      <w:lang w:val="en-US" w:eastAsia="zh-CN"/>
                    </w:rPr>
                    <w:t>废机油</w:t>
                  </w:r>
                </w:p>
              </w:tc>
              <w:tc>
                <w:tcPr>
                  <w:tcW w:w="1373" w:type="dxa"/>
                  <w:noWrap w:val="0"/>
                  <w:vAlign w:val="center"/>
                </w:tcPr>
                <w:p w14:paraId="73FF7C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hint="eastAsia" w:ascii="宋体" w:hAnsi="宋体"/>
                      <w:bCs/>
                      <w:color w:val="auto"/>
                      <w:szCs w:val="21"/>
                      <w:highlight w:val="none"/>
                    </w:rPr>
                    <w:t>间断</w:t>
                  </w:r>
                </w:p>
              </w:tc>
            </w:tr>
            <w:tr w14:paraId="6A05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06" w:type="dxa"/>
                  <w:vMerge w:val="continue"/>
                  <w:noWrap w:val="0"/>
                  <w:vAlign w:val="center"/>
                </w:tcPr>
                <w:p w14:paraId="25EB46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p>
              </w:tc>
              <w:tc>
                <w:tcPr>
                  <w:tcW w:w="1000" w:type="dxa"/>
                  <w:vMerge w:val="continue"/>
                  <w:noWrap w:val="0"/>
                  <w:vAlign w:val="center"/>
                </w:tcPr>
                <w:p w14:paraId="330791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702" w:type="dxa"/>
                  <w:vMerge w:val="continue"/>
                  <w:noWrap w:val="0"/>
                  <w:vAlign w:val="center"/>
                </w:tcPr>
                <w:p w14:paraId="3CCDC7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p>
              </w:tc>
              <w:tc>
                <w:tcPr>
                  <w:tcW w:w="1974" w:type="dxa"/>
                  <w:noWrap w:val="0"/>
                  <w:vAlign w:val="center"/>
                </w:tcPr>
                <w:p w14:paraId="3C5B2E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机械设备运行、维修过程</w:t>
                  </w:r>
                </w:p>
              </w:tc>
              <w:tc>
                <w:tcPr>
                  <w:tcW w:w="2282" w:type="dxa"/>
                  <w:noWrap w:val="0"/>
                  <w:vAlign w:val="center"/>
                </w:tcPr>
                <w:p w14:paraId="32D5A8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废油桶</w:t>
                  </w:r>
                </w:p>
              </w:tc>
              <w:tc>
                <w:tcPr>
                  <w:tcW w:w="1373" w:type="dxa"/>
                  <w:noWrap w:val="0"/>
                  <w:vAlign w:val="center"/>
                </w:tcPr>
                <w:p w14:paraId="063BA1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ascii="宋体" w:hAnsi="宋体"/>
                      <w:bCs/>
                      <w:color w:val="auto"/>
                      <w:szCs w:val="21"/>
                      <w:highlight w:val="none"/>
                    </w:rPr>
                    <w:t>间断</w:t>
                  </w:r>
                </w:p>
              </w:tc>
            </w:tr>
            <w:tr w14:paraId="2F86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6" w:type="dxa"/>
                  <w:noWrap w:val="0"/>
                  <w:vAlign w:val="center"/>
                </w:tcPr>
                <w:p w14:paraId="05377D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bCs/>
                      <w:color w:val="auto"/>
                      <w:szCs w:val="21"/>
                      <w:highlight w:val="none"/>
                    </w:rPr>
                  </w:pPr>
                  <w:r>
                    <w:rPr>
                      <w:rFonts w:hint="eastAsia" w:ascii="宋体" w:hAnsi="宋体"/>
                      <w:bCs/>
                      <w:color w:val="auto"/>
                      <w:szCs w:val="21"/>
                      <w:highlight w:val="none"/>
                    </w:rPr>
                    <w:t>3</w:t>
                  </w:r>
                </w:p>
              </w:tc>
              <w:tc>
                <w:tcPr>
                  <w:tcW w:w="1000" w:type="dxa"/>
                  <w:noWrap w:val="0"/>
                  <w:vAlign w:val="center"/>
                </w:tcPr>
                <w:p w14:paraId="099BB0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噪声</w:t>
                  </w:r>
                </w:p>
              </w:tc>
              <w:tc>
                <w:tcPr>
                  <w:tcW w:w="702" w:type="dxa"/>
                  <w:noWrap w:val="0"/>
                  <w:vAlign w:val="center"/>
                </w:tcPr>
                <w:p w14:paraId="1BE8AF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N</w:t>
                  </w:r>
                </w:p>
              </w:tc>
              <w:tc>
                <w:tcPr>
                  <w:tcW w:w="1974" w:type="dxa"/>
                  <w:noWrap w:val="0"/>
                  <w:vAlign w:val="center"/>
                </w:tcPr>
                <w:p w14:paraId="526973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机械设备运行</w:t>
                  </w:r>
                </w:p>
              </w:tc>
              <w:tc>
                <w:tcPr>
                  <w:tcW w:w="2282" w:type="dxa"/>
                  <w:noWrap w:val="0"/>
                  <w:vAlign w:val="center"/>
                </w:tcPr>
                <w:p w14:paraId="7B00C4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噪声</w:t>
                  </w:r>
                </w:p>
              </w:tc>
              <w:tc>
                <w:tcPr>
                  <w:tcW w:w="1373" w:type="dxa"/>
                  <w:noWrap w:val="0"/>
                  <w:vAlign w:val="center"/>
                </w:tcPr>
                <w:p w14:paraId="17E3B2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宋体" w:hAnsi="宋体"/>
                      <w:bCs/>
                      <w:color w:val="auto"/>
                      <w:szCs w:val="21"/>
                      <w:highlight w:val="none"/>
                    </w:rPr>
                  </w:pPr>
                  <w:r>
                    <w:rPr>
                      <w:rFonts w:ascii="宋体" w:hAnsi="宋体"/>
                      <w:bCs/>
                      <w:color w:val="auto"/>
                      <w:szCs w:val="21"/>
                      <w:highlight w:val="none"/>
                    </w:rPr>
                    <w:t>间断</w:t>
                  </w:r>
                </w:p>
              </w:tc>
            </w:tr>
          </w:tbl>
          <w:p w14:paraId="073F9363">
            <w:pPr>
              <w:adjustRightInd w:val="0"/>
              <w:snapToGrid w:val="0"/>
              <w:rPr>
                <w:rFonts w:hint="default" w:ascii="Times New Roman" w:hAnsi="Times New Roman" w:eastAsia="宋体" w:cs="Times New Roman"/>
                <w:bCs/>
                <w:color w:val="auto"/>
                <w:szCs w:val="21"/>
                <w:highlight w:val="none"/>
                <w:lang w:val="en-US" w:eastAsia="zh-CN"/>
              </w:rPr>
            </w:pPr>
          </w:p>
        </w:tc>
      </w:tr>
      <w:tr w14:paraId="533F6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2060" w:type="dxa"/>
            <w:gridSpan w:val="2"/>
            <w:noWrap w:val="0"/>
            <w:vAlign w:val="center"/>
          </w:tcPr>
          <w:p w14:paraId="1F74FE72">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
                <w:sz w:val="21"/>
                <w:szCs w:val="21"/>
                <w:highlight w:val="none"/>
              </w:rPr>
              <w:t>与项目有关的</w:t>
            </w:r>
            <w:r>
              <w:rPr>
                <w:rFonts w:hint="eastAsia" w:ascii="Times New Roman" w:hAnsi="Times New Roman" w:cs="Times New Roman"/>
                <w:bCs/>
                <w:color w:val="auto"/>
                <w:kern w:val="2"/>
                <w:sz w:val="21"/>
                <w:szCs w:val="21"/>
                <w:highlight w:val="none"/>
                <w:lang w:eastAsia="zh-CN"/>
              </w:rPr>
              <w:t>现有</w:t>
            </w:r>
            <w:r>
              <w:rPr>
                <w:rFonts w:hint="default" w:ascii="Times New Roman" w:hAnsi="Times New Roman" w:cs="Times New Roman"/>
                <w:bCs/>
                <w:color w:val="auto"/>
                <w:kern w:val="2"/>
                <w:sz w:val="21"/>
                <w:szCs w:val="21"/>
                <w:highlight w:val="none"/>
              </w:rPr>
              <w:t>环境污染问题</w:t>
            </w:r>
          </w:p>
        </w:tc>
        <w:tc>
          <w:tcPr>
            <w:tcW w:w="6924" w:type="dxa"/>
            <w:noWrap w:val="0"/>
            <w:vAlign w:val="top"/>
          </w:tcPr>
          <w:p w14:paraId="19C01867">
            <w:pPr>
              <w:bidi w:val="0"/>
              <w:rPr>
                <w:rFonts w:hint="eastAsia"/>
                <w:color w:val="auto"/>
                <w:highlight w:val="none"/>
                <w:lang w:val="en-US" w:eastAsia="zh-CN"/>
              </w:rPr>
            </w:pPr>
            <w:r>
              <w:rPr>
                <w:rFonts w:hint="eastAsia"/>
                <w:color w:val="auto"/>
                <w:highlight w:val="none"/>
                <w:lang w:val="en-US" w:eastAsia="zh-CN"/>
              </w:rPr>
              <w:t>本项目租赁鄂尔多斯市北创制造有限公司现有空闲厂房，出租方鄂尔多斯市北创制造有限公司是一家从事电线制造、电缆制造、电线经营等业务的公司，成立于2010年9月19日，公司坐落在内蒙古鄂尔多斯市伊金霍洛旗阿勒腾席热镇现代装备制造基地。2014年6月30日，原鄂尔多斯市环境保护局出具《关于鄂尔多斯市西北电缆有限公司特种电缆及矿用救生舱生产项目环境影响报告书的批复》（鄂环评字〔2014〕111号），于2014年9月25日，对项目进行验收，取得《鄂尔多斯市西北电缆有限公司关于特种电缆及矿用救生舱生产项目竣工环境保护验收意见的通知》（鄂环监字〔2014〕28号），项目现由鄂尔多斯市北创制造有限公司运营，现正处于正常运行阶段。</w:t>
            </w:r>
          </w:p>
          <w:p w14:paraId="1CCE2210">
            <w:pPr>
              <w:bidi w:val="0"/>
              <w:rPr>
                <w:rFonts w:hint="eastAsia" w:ascii="Times New Roman" w:hAnsi="Times New Roman" w:eastAsia="宋体" w:cs="Times New Roman"/>
                <w:bCs/>
                <w:color w:val="auto"/>
                <w:szCs w:val="21"/>
                <w:highlight w:val="none"/>
                <w:lang w:val="en-US" w:eastAsia="zh-CN"/>
              </w:rPr>
            </w:pPr>
            <w:r>
              <w:rPr>
                <w:rFonts w:hint="eastAsia"/>
                <w:color w:val="auto"/>
                <w:highlight w:val="none"/>
                <w:lang w:val="en-US" w:eastAsia="zh-CN"/>
              </w:rPr>
              <w:t>根据《建设项目环境影响评价分类管理名录（2021年版）》中“四十四、房地产业97标准厂房”不涉及环境敏感区的无需进行环境影响评价。根据现场勘查，项目区遗留少量建筑垃圾，建议及时清理，合理处置。</w:t>
            </w:r>
          </w:p>
        </w:tc>
      </w:tr>
    </w:tbl>
    <w:p w14:paraId="1A6C27CD">
      <w:pPr>
        <w:pStyle w:val="21"/>
        <w:jc w:val="center"/>
        <w:rPr>
          <w:rFonts w:hint="default" w:ascii="Times New Roman" w:hAnsi="Times New Roman" w:eastAsia="黑体" w:cs="Times New Roman"/>
          <w:snapToGrid w:val="0"/>
          <w:color w:val="auto"/>
          <w:sz w:val="36"/>
          <w:szCs w:val="36"/>
          <w:highlight w:val="none"/>
        </w:rPr>
        <w:sectPr>
          <w:footerReference r:id="rId10" w:type="default"/>
          <w:pgSz w:w="11906" w:h="16838"/>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1C28DE3E">
      <w:pPr>
        <w:pStyle w:val="21"/>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60"/>
      </w:tblGrid>
      <w:tr w14:paraId="18AAE0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14:paraId="1013AB4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w:t>
            </w:r>
          </w:p>
          <w:p w14:paraId="35429C3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18716D6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质量</w:t>
            </w:r>
          </w:p>
          <w:p w14:paraId="565950F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现状</w:t>
            </w:r>
          </w:p>
        </w:tc>
        <w:tc>
          <w:tcPr>
            <w:tcW w:w="8160" w:type="dxa"/>
            <w:noWrap w:val="0"/>
            <w:vAlign w:val="center"/>
          </w:tcPr>
          <w:p w14:paraId="4A43E615">
            <w:pPr>
              <w:adjustRightInd w:val="0"/>
              <w:snapToGrid w:val="0"/>
              <w:jc w:val="left"/>
              <w:rPr>
                <w:rFonts w:hint="default" w:ascii="Times New Roman" w:hAnsi="Times New Roman" w:cs="Times New Roman"/>
                <w:b/>
                <w:bCs/>
                <w:color w:val="auto"/>
                <w:kern w:val="0"/>
                <w:szCs w:val="21"/>
                <w:highlight w:val="none"/>
              </w:rPr>
            </w:pPr>
            <w:r>
              <w:rPr>
                <w:rFonts w:hint="eastAsia" w:cs="Times New Roman"/>
                <w:b/>
                <w:bCs/>
                <w:color w:val="auto"/>
                <w:kern w:val="0"/>
                <w:szCs w:val="21"/>
                <w:highlight w:val="none"/>
                <w:lang w:val="en-US" w:eastAsia="zh-CN"/>
              </w:rPr>
              <w:t>一</w:t>
            </w:r>
            <w:r>
              <w:rPr>
                <w:rFonts w:hint="default" w:ascii="Times New Roman" w:hAnsi="Times New Roman" w:cs="Times New Roman"/>
                <w:b/>
                <w:bCs/>
                <w:color w:val="auto"/>
                <w:kern w:val="0"/>
                <w:szCs w:val="21"/>
                <w:highlight w:val="none"/>
              </w:rPr>
              <w:t>、环境空气质量现状</w:t>
            </w:r>
          </w:p>
          <w:p w14:paraId="64BB0DAE">
            <w:pPr>
              <w:adjustRightInd w:val="0"/>
              <w:snapToGrid w:val="0"/>
              <w:jc w:val="left"/>
              <w:rPr>
                <w:rFonts w:hint="default" w:ascii="Times New Roman" w:hAnsi="Times New Roman" w:cs="Times New Roman"/>
                <w:b/>
                <w:bCs/>
                <w:color w:val="auto"/>
                <w:kern w:val="0"/>
                <w:szCs w:val="21"/>
                <w:highlight w:val="none"/>
                <w:lang w:val="en-US" w:eastAsia="zh-CN"/>
              </w:rPr>
            </w:pPr>
            <w:r>
              <w:rPr>
                <w:rFonts w:hint="eastAsia" w:cs="Times New Roman"/>
                <w:b/>
                <w:bCs/>
                <w:color w:val="auto"/>
                <w:kern w:val="0"/>
                <w:szCs w:val="21"/>
                <w:highlight w:val="none"/>
                <w:lang w:val="en-US" w:eastAsia="zh-CN"/>
              </w:rPr>
              <w:t>1、</w:t>
            </w:r>
            <w:r>
              <w:rPr>
                <w:rFonts w:hint="default" w:ascii="Times New Roman" w:hAnsi="Times New Roman" w:cs="Times New Roman"/>
                <w:b/>
                <w:bCs/>
                <w:color w:val="auto"/>
                <w:kern w:val="0"/>
                <w:szCs w:val="21"/>
                <w:highlight w:val="none"/>
                <w:lang w:val="en-US" w:eastAsia="zh-CN"/>
              </w:rPr>
              <w:t>区域环境质量达标分析</w:t>
            </w:r>
          </w:p>
          <w:p w14:paraId="27D1EE12">
            <w:pPr>
              <w:bidi w:val="0"/>
              <w:rPr>
                <w:rFonts w:hint="eastAsia"/>
                <w:color w:val="auto"/>
                <w:highlight w:val="none"/>
                <w:lang w:val="en-US" w:eastAsia="zh-CN"/>
              </w:rPr>
            </w:pPr>
            <w:r>
              <w:rPr>
                <w:rFonts w:hint="eastAsia"/>
                <w:color w:val="auto"/>
                <w:highlight w:val="none"/>
                <w:lang w:val="en-US" w:eastAsia="zh-CN"/>
              </w:rPr>
              <w:t>根据2025年5月29日内蒙古自治区生态环境厅发布的《2024年内蒙古自治区生态环境状况公报》，2024年全区环境空气六项污染物年均浓度均达标。全区环境空气质量平均优良天数比例为89.6%，同比上升2.4个百分点；扣除异常沙尘天气等影响后，全区环境空气质量优良天数比例为90.7%，同比上升0.5个百分点，重污染天数比例为0.2%，同比持平。本项目位于鄂尔多斯市伊金霍洛旗，则项目所在区域为达标区。</w:t>
            </w:r>
          </w:p>
          <w:p w14:paraId="1217715A">
            <w:pPr>
              <w:bidi w:val="0"/>
              <w:rPr>
                <w:rFonts w:hint="default"/>
                <w:b/>
                <w:bCs/>
                <w:color w:val="auto"/>
                <w:highlight w:val="none"/>
                <w:lang w:val="en-US" w:eastAsia="zh-CN"/>
              </w:rPr>
            </w:pPr>
            <w:r>
              <w:rPr>
                <w:rFonts w:hint="eastAsia"/>
                <w:b/>
                <w:bCs/>
                <w:color w:val="auto"/>
                <w:highlight w:val="none"/>
                <w:lang w:val="en-US" w:eastAsia="zh-CN"/>
              </w:rPr>
              <w:t>2、</w:t>
            </w:r>
            <w:r>
              <w:rPr>
                <w:rFonts w:hint="default"/>
                <w:b/>
                <w:bCs/>
                <w:color w:val="auto"/>
                <w:highlight w:val="none"/>
                <w:lang w:val="en-US" w:eastAsia="zh-CN"/>
              </w:rPr>
              <w:t>其他污染物环境质量现状监测</w:t>
            </w:r>
          </w:p>
          <w:p w14:paraId="555822AE">
            <w:pPr>
              <w:bidi w:val="0"/>
              <w:rPr>
                <w:rFonts w:hint="eastAsia"/>
                <w:color w:val="auto"/>
                <w:sz w:val="24"/>
                <w:szCs w:val="24"/>
                <w:highlight w:val="none"/>
                <w:lang w:eastAsia="zh-CN"/>
              </w:rPr>
            </w:pPr>
            <w:r>
              <w:rPr>
                <w:rFonts w:hint="default"/>
                <w:color w:val="auto"/>
                <w:sz w:val="24"/>
                <w:szCs w:val="24"/>
                <w:highlight w:val="none"/>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运营期特征污染物是非甲烷总烃</w:t>
            </w:r>
            <w:r>
              <w:rPr>
                <w:rFonts w:hint="eastAsia"/>
                <w:color w:val="auto"/>
                <w:sz w:val="24"/>
                <w:szCs w:val="24"/>
                <w:highlight w:val="none"/>
                <w:lang w:eastAsia="zh-CN"/>
              </w:rPr>
              <w:t>、</w:t>
            </w:r>
            <w:r>
              <w:rPr>
                <w:rFonts w:hint="eastAsia"/>
                <w:color w:val="auto"/>
                <w:sz w:val="24"/>
                <w:szCs w:val="24"/>
                <w:highlight w:val="none"/>
                <w:lang w:val="en-US" w:eastAsia="zh-CN"/>
              </w:rPr>
              <w:t>TSP</w:t>
            </w:r>
            <w:r>
              <w:rPr>
                <w:rFonts w:hint="eastAsia"/>
                <w:color w:val="auto"/>
                <w:sz w:val="24"/>
                <w:szCs w:val="24"/>
                <w:highlight w:val="none"/>
                <w:lang w:eastAsia="zh-CN"/>
              </w:rPr>
              <w:t>。</w:t>
            </w:r>
          </w:p>
          <w:p w14:paraId="5284CF14">
            <w:pPr>
              <w:adjustRightInd w:val="0"/>
              <w:snapToGrid w:val="0"/>
              <w:jc w:val="left"/>
              <w:rPr>
                <w:rFonts w:hint="eastAsia"/>
                <w:color w:val="auto"/>
                <w:highlight w:val="none"/>
                <w:lang w:val="en-US" w:eastAsia="zh-CN"/>
              </w:rPr>
            </w:pPr>
            <w:r>
              <w:rPr>
                <w:rFonts w:hint="eastAsia"/>
                <w:color w:val="auto"/>
                <w:highlight w:val="none"/>
                <w:lang w:val="en-US" w:eastAsia="zh-CN"/>
              </w:rPr>
              <w:t>TSP、非甲烷总烃引用《内蒙古鄂尔多斯蒙苏经济开发区国土空间总体规划（2021-2035年）江苏产业园环境影响评价》现状监测数据，引用监测数据由内蒙古华清环境检测有限公司于2023年11月12日至2023年11月18日连续7天在距项目厂址引用点位于厂址东南侧950m处对TSP、非甲烷总烃进行采样，基本信息见表3-1。</w:t>
            </w:r>
          </w:p>
          <w:p w14:paraId="4AFAF14D">
            <w:pPr>
              <w:adjustRightInd w:val="0"/>
              <w:snapToGrid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表3-1大气环境现状监测布点及监测因子分布情况</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3061"/>
              <w:gridCol w:w="3831"/>
            </w:tblGrid>
            <w:tr w14:paraId="66AC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656" w:type="pct"/>
                  <w:tcBorders>
                    <w:tl2br w:val="nil"/>
                    <w:tr2bl w:val="nil"/>
                  </w:tcBorders>
                  <w:noWrap w:val="0"/>
                  <w:vAlign w:val="center"/>
                </w:tcPr>
                <w:p w14:paraId="6FA499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序号</w:t>
                  </w:r>
                </w:p>
              </w:tc>
              <w:tc>
                <w:tcPr>
                  <w:tcW w:w="1929" w:type="pct"/>
                  <w:tcBorders>
                    <w:tl2br w:val="nil"/>
                    <w:tr2bl w:val="nil"/>
                  </w:tcBorders>
                  <w:noWrap w:val="0"/>
                  <w:vAlign w:val="center"/>
                </w:tcPr>
                <w:p w14:paraId="6254B8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监测点名称</w:t>
                  </w:r>
                </w:p>
              </w:tc>
              <w:tc>
                <w:tcPr>
                  <w:tcW w:w="2414" w:type="pct"/>
                  <w:tcBorders>
                    <w:tl2br w:val="nil"/>
                    <w:tr2bl w:val="nil"/>
                  </w:tcBorders>
                  <w:noWrap w:val="0"/>
                  <w:vAlign w:val="center"/>
                </w:tcPr>
                <w:p w14:paraId="5E3A8B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监测项目</w:t>
                  </w:r>
                </w:p>
              </w:tc>
            </w:tr>
            <w:tr w14:paraId="1B0B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56" w:type="pct"/>
                  <w:tcBorders>
                    <w:tl2br w:val="nil"/>
                    <w:tr2bl w:val="nil"/>
                  </w:tcBorders>
                  <w:noWrap w:val="0"/>
                  <w:vAlign w:val="center"/>
                </w:tcPr>
                <w:p w14:paraId="1AA4B4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G1</w:t>
                  </w:r>
                </w:p>
              </w:tc>
              <w:tc>
                <w:tcPr>
                  <w:tcW w:w="1929" w:type="pct"/>
                  <w:tcBorders>
                    <w:tl2br w:val="nil"/>
                    <w:tr2bl w:val="nil"/>
                  </w:tcBorders>
                  <w:noWrap w:val="0"/>
                  <w:vAlign w:val="center"/>
                </w:tcPr>
                <w:p w14:paraId="528AB2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东北侧1.2km</w:t>
                  </w:r>
                </w:p>
              </w:tc>
              <w:tc>
                <w:tcPr>
                  <w:tcW w:w="2414" w:type="pct"/>
                  <w:tcBorders>
                    <w:tl2br w:val="nil"/>
                    <w:tr2bl w:val="nil"/>
                  </w:tcBorders>
                  <w:noWrap w:val="0"/>
                  <w:vAlign w:val="center"/>
                </w:tcPr>
                <w:p w14:paraId="77E3DE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TSP、非甲烷总烃</w:t>
                  </w:r>
                </w:p>
              </w:tc>
            </w:tr>
          </w:tbl>
          <w:p w14:paraId="67E35D40">
            <w:pPr>
              <w:adjustRightInd w:val="0"/>
              <w:snapToGrid w:val="0"/>
              <w:jc w:val="left"/>
              <w:rPr>
                <w:rFonts w:hint="eastAsia"/>
                <w:color w:val="auto"/>
                <w:highlight w:val="none"/>
                <w:lang w:val="en-US" w:eastAsia="zh-CN"/>
              </w:rPr>
            </w:pPr>
            <w:r>
              <w:rPr>
                <w:rFonts w:hint="eastAsia"/>
                <w:color w:val="auto"/>
                <w:highlight w:val="none"/>
                <w:lang w:val="en-US" w:eastAsia="zh-CN"/>
              </w:rPr>
              <w:t>②监测因子</w:t>
            </w:r>
          </w:p>
          <w:p w14:paraId="696C3C66">
            <w:pPr>
              <w:adjustRightInd w:val="0"/>
              <w:snapToGrid w:val="0"/>
              <w:jc w:val="left"/>
              <w:rPr>
                <w:rFonts w:hint="eastAsia"/>
                <w:color w:val="auto"/>
                <w:highlight w:val="none"/>
                <w:lang w:val="en-US" w:eastAsia="zh-CN"/>
              </w:rPr>
            </w:pPr>
            <w:r>
              <w:rPr>
                <w:rFonts w:hint="eastAsia"/>
                <w:color w:val="auto"/>
                <w:highlight w:val="none"/>
                <w:lang w:val="en-US" w:eastAsia="zh-CN"/>
              </w:rPr>
              <w:t>根据工程性质，确定监测因子为TSP、非甲烷总烃。</w:t>
            </w:r>
          </w:p>
          <w:p w14:paraId="2BA5B050">
            <w:pPr>
              <w:adjustRightInd w:val="0"/>
              <w:snapToGrid w:val="0"/>
              <w:jc w:val="left"/>
              <w:rPr>
                <w:rFonts w:hint="eastAsia"/>
                <w:color w:val="auto"/>
                <w:highlight w:val="none"/>
                <w:lang w:val="en-US" w:eastAsia="zh-CN"/>
              </w:rPr>
            </w:pPr>
            <w:r>
              <w:rPr>
                <w:rFonts w:hint="eastAsia"/>
                <w:color w:val="auto"/>
                <w:highlight w:val="none"/>
                <w:lang w:val="en-US" w:eastAsia="zh-CN"/>
              </w:rPr>
              <w:t>③监测布点</w:t>
            </w:r>
          </w:p>
          <w:p w14:paraId="552D0BFE">
            <w:pPr>
              <w:adjustRightInd w:val="0"/>
              <w:snapToGrid w:val="0"/>
              <w:jc w:val="left"/>
              <w:rPr>
                <w:rFonts w:hint="eastAsia"/>
                <w:color w:val="auto"/>
                <w:highlight w:val="none"/>
                <w:lang w:val="en-US" w:eastAsia="zh-CN"/>
              </w:rPr>
            </w:pPr>
            <w:r>
              <w:rPr>
                <w:rFonts w:hint="eastAsia"/>
                <w:color w:val="auto"/>
                <w:highlight w:val="none"/>
                <w:lang w:val="en-US" w:eastAsia="zh-CN"/>
              </w:rPr>
              <w:t>引用1个监测点位位于引用点位于厂址东南侧950m处。</w:t>
            </w:r>
          </w:p>
          <w:p w14:paraId="5B7AABD0">
            <w:pPr>
              <w:adjustRightInd w:val="0"/>
              <w:snapToGrid w:val="0"/>
              <w:jc w:val="left"/>
              <w:rPr>
                <w:rFonts w:hint="eastAsia"/>
                <w:color w:val="auto"/>
                <w:highlight w:val="none"/>
                <w:lang w:val="en-US" w:eastAsia="zh-CN"/>
              </w:rPr>
            </w:pPr>
            <w:r>
              <w:rPr>
                <w:rFonts w:hint="eastAsia"/>
                <w:color w:val="auto"/>
                <w:highlight w:val="none"/>
                <w:lang w:val="en-US" w:eastAsia="zh-CN"/>
              </w:rPr>
              <w:t>④监测时间及频次</w:t>
            </w:r>
          </w:p>
          <w:p w14:paraId="3897EC08">
            <w:pPr>
              <w:adjustRightInd w:val="0"/>
              <w:snapToGrid w:val="0"/>
              <w:jc w:val="left"/>
              <w:rPr>
                <w:rFonts w:hint="eastAsia"/>
                <w:color w:val="auto"/>
                <w:highlight w:val="none"/>
                <w:lang w:val="en-US" w:eastAsia="zh-CN"/>
              </w:rPr>
            </w:pPr>
            <w:r>
              <w:rPr>
                <w:rFonts w:hint="eastAsia"/>
                <w:color w:val="auto"/>
                <w:highlight w:val="none"/>
                <w:lang w:val="en-US" w:eastAsia="zh-CN"/>
              </w:rPr>
              <w:t>监测时间：连续监测7天，采样时间为2023年11月12日至2023年11月18日。</w:t>
            </w:r>
          </w:p>
          <w:p w14:paraId="27F6BC6C">
            <w:pPr>
              <w:adjustRightInd w:val="0"/>
              <w:snapToGrid w:val="0"/>
              <w:jc w:val="left"/>
              <w:rPr>
                <w:rFonts w:hint="eastAsia"/>
                <w:color w:val="auto"/>
                <w:highlight w:val="none"/>
                <w:lang w:val="en-US" w:eastAsia="zh-CN"/>
              </w:rPr>
            </w:pPr>
            <w:r>
              <w:rPr>
                <w:rFonts w:hint="eastAsia"/>
                <w:color w:val="auto"/>
                <w:highlight w:val="none"/>
                <w:lang w:val="en-US" w:eastAsia="zh-CN"/>
              </w:rPr>
              <w:t>监测频次：监测时间为连续监测3天，TSP每天连续采样不少于24h，非甲烷总烃每小时至少有45min的采样时间。同时观测风向、风速、全云量等气象条件。</w:t>
            </w:r>
          </w:p>
          <w:p w14:paraId="69B6A544">
            <w:pPr>
              <w:adjustRightInd w:val="0"/>
              <w:snapToGrid w:val="0"/>
              <w:jc w:val="left"/>
              <w:rPr>
                <w:rFonts w:hint="eastAsia"/>
                <w:color w:val="auto"/>
                <w:highlight w:val="none"/>
                <w:lang w:val="en-US" w:eastAsia="zh-CN"/>
              </w:rPr>
            </w:pPr>
            <w:r>
              <w:rPr>
                <w:rFonts w:hint="eastAsia"/>
                <w:color w:val="auto"/>
                <w:highlight w:val="none"/>
                <w:lang w:val="en-US" w:eastAsia="zh-CN"/>
              </w:rPr>
              <w:t>⑤监测方法</w:t>
            </w:r>
          </w:p>
          <w:p w14:paraId="4E9636BD">
            <w:pPr>
              <w:adjustRightInd w:val="0"/>
              <w:snapToGrid w:val="0"/>
              <w:jc w:val="left"/>
              <w:rPr>
                <w:rFonts w:hint="eastAsia"/>
                <w:color w:val="auto"/>
                <w:highlight w:val="none"/>
                <w:lang w:val="en-US" w:eastAsia="zh-CN"/>
              </w:rPr>
            </w:pPr>
            <w:r>
              <w:rPr>
                <w:rFonts w:hint="eastAsia"/>
                <w:color w:val="auto"/>
                <w:highlight w:val="none"/>
                <w:lang w:val="en-US" w:eastAsia="zh-CN"/>
              </w:rPr>
              <w:t>环境空气质量现状监测采取的分析方法见表3-2。</w:t>
            </w:r>
          </w:p>
          <w:p w14:paraId="104E6EF5">
            <w:pPr>
              <w:adjustRightInd w:val="0"/>
              <w:snapToGrid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表3-2大气污染物分析方法一览表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680"/>
              <w:gridCol w:w="691"/>
              <w:gridCol w:w="1959"/>
              <w:gridCol w:w="1032"/>
              <w:gridCol w:w="1950"/>
              <w:gridCol w:w="1619"/>
            </w:tblGrid>
            <w:tr w14:paraId="1FB4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jc w:val="center"/>
              </w:trPr>
              <w:tc>
                <w:tcPr>
                  <w:tcW w:w="428" w:type="pct"/>
                  <w:tcBorders>
                    <w:tl2br w:val="nil"/>
                    <w:tr2bl w:val="nil"/>
                  </w:tcBorders>
                  <w:noWrap w:val="0"/>
                  <w:vAlign w:val="center"/>
                </w:tcPr>
                <w:p w14:paraId="54A02D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序号</w:t>
                  </w:r>
                </w:p>
              </w:tc>
              <w:tc>
                <w:tcPr>
                  <w:tcW w:w="435" w:type="pct"/>
                  <w:tcBorders>
                    <w:tl2br w:val="nil"/>
                    <w:tr2bl w:val="nil"/>
                  </w:tcBorders>
                  <w:noWrap w:val="0"/>
                  <w:vAlign w:val="center"/>
                </w:tcPr>
                <w:p w14:paraId="1D6AB9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检测项目</w:t>
                  </w:r>
                </w:p>
              </w:tc>
              <w:tc>
                <w:tcPr>
                  <w:tcW w:w="1235" w:type="pct"/>
                  <w:tcBorders>
                    <w:tl2br w:val="nil"/>
                    <w:tr2bl w:val="nil"/>
                  </w:tcBorders>
                  <w:noWrap w:val="0"/>
                  <w:vAlign w:val="center"/>
                </w:tcPr>
                <w:p w14:paraId="4C7408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检测方法及来源</w:t>
                  </w:r>
                </w:p>
              </w:tc>
              <w:tc>
                <w:tcPr>
                  <w:tcW w:w="650" w:type="pct"/>
                  <w:tcBorders>
                    <w:tl2br w:val="nil"/>
                    <w:tr2bl w:val="nil"/>
                  </w:tcBorders>
                  <w:noWrap w:val="0"/>
                  <w:vAlign w:val="center"/>
                </w:tcPr>
                <w:p w14:paraId="0B9B18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检出限</w:t>
                  </w:r>
                </w:p>
              </w:tc>
              <w:tc>
                <w:tcPr>
                  <w:tcW w:w="1229" w:type="pct"/>
                  <w:tcBorders>
                    <w:tl2br w:val="nil"/>
                    <w:tr2bl w:val="nil"/>
                  </w:tcBorders>
                  <w:noWrap w:val="0"/>
                  <w:vAlign w:val="center"/>
                </w:tcPr>
                <w:p w14:paraId="2A90FB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仪器设备型号及名称（管理编号）</w:t>
                  </w:r>
                </w:p>
              </w:tc>
              <w:tc>
                <w:tcPr>
                  <w:tcW w:w="1020" w:type="pct"/>
                  <w:tcBorders>
                    <w:tl2br w:val="nil"/>
                    <w:tr2bl w:val="nil"/>
                  </w:tcBorders>
                  <w:noWrap w:val="0"/>
                  <w:vAlign w:val="center"/>
                </w:tcPr>
                <w:p w14:paraId="640516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仪器管理编号</w:t>
                  </w:r>
                </w:p>
              </w:tc>
            </w:tr>
            <w:tr w14:paraId="3643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3" w:hRule="atLeast"/>
                <w:jc w:val="center"/>
              </w:trPr>
              <w:tc>
                <w:tcPr>
                  <w:tcW w:w="428" w:type="pct"/>
                  <w:tcBorders>
                    <w:tl2br w:val="nil"/>
                    <w:tr2bl w:val="nil"/>
                  </w:tcBorders>
                  <w:noWrap w:val="0"/>
                  <w:vAlign w:val="center"/>
                </w:tcPr>
                <w:p w14:paraId="4281A6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w:t>
                  </w:r>
                </w:p>
              </w:tc>
              <w:tc>
                <w:tcPr>
                  <w:tcW w:w="435" w:type="pct"/>
                  <w:tcBorders>
                    <w:tl2br w:val="nil"/>
                    <w:tr2bl w:val="nil"/>
                  </w:tcBorders>
                  <w:noWrap w:val="0"/>
                  <w:vAlign w:val="center"/>
                </w:tcPr>
                <w:p w14:paraId="524DDF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总悬浮颗粒物</w:t>
                  </w:r>
                </w:p>
              </w:tc>
              <w:tc>
                <w:tcPr>
                  <w:tcW w:w="1235" w:type="pct"/>
                  <w:tcBorders>
                    <w:tl2br w:val="nil"/>
                    <w:tr2bl w:val="nil"/>
                  </w:tcBorders>
                  <w:noWrap w:val="0"/>
                  <w:vAlign w:val="center"/>
                </w:tcPr>
                <w:p w14:paraId="1DEF0F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《环境空气总悬浮颗粒物的测定重量法》（HJ1263-2022）</w:t>
                  </w:r>
                </w:p>
              </w:tc>
              <w:tc>
                <w:tcPr>
                  <w:tcW w:w="650" w:type="pct"/>
                  <w:tcBorders>
                    <w:tl2br w:val="nil"/>
                    <w:tr2bl w:val="nil"/>
                  </w:tcBorders>
                  <w:noWrap w:val="0"/>
                  <w:vAlign w:val="center"/>
                </w:tcPr>
                <w:p w14:paraId="20497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7μg/m³</w:t>
                  </w:r>
                </w:p>
              </w:tc>
              <w:tc>
                <w:tcPr>
                  <w:tcW w:w="1229" w:type="pct"/>
                  <w:tcBorders>
                    <w:tl2br w:val="nil"/>
                    <w:tr2bl w:val="nil"/>
                  </w:tcBorders>
                  <w:noWrap w:val="0"/>
                  <w:vAlign w:val="center"/>
                </w:tcPr>
                <w:p w14:paraId="0CC79B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恒温恒湿称重系统RG-AWS10</w:t>
                  </w:r>
                </w:p>
                <w:p w14:paraId="0E2F7E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电子天平十万分之一PX125DZH</w:t>
                  </w:r>
                </w:p>
              </w:tc>
              <w:tc>
                <w:tcPr>
                  <w:tcW w:w="1020" w:type="pct"/>
                  <w:tcBorders>
                    <w:tl2br w:val="nil"/>
                    <w:tr2bl w:val="nil"/>
                  </w:tcBorders>
                  <w:noWrap w:val="0"/>
                  <w:vAlign w:val="center"/>
                </w:tcPr>
                <w:p w14:paraId="6BADCA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NHQ-S-043</w:t>
                  </w:r>
                </w:p>
                <w:p w14:paraId="1909EE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NHQ-S-011</w:t>
                  </w:r>
                </w:p>
              </w:tc>
            </w:tr>
            <w:tr w14:paraId="3B02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3" w:hRule="atLeast"/>
                <w:jc w:val="center"/>
              </w:trPr>
              <w:tc>
                <w:tcPr>
                  <w:tcW w:w="428" w:type="pct"/>
                  <w:tcBorders>
                    <w:tl2br w:val="nil"/>
                    <w:tr2bl w:val="nil"/>
                  </w:tcBorders>
                  <w:noWrap w:val="0"/>
                  <w:vAlign w:val="center"/>
                </w:tcPr>
                <w:p w14:paraId="59C431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w:t>
                  </w:r>
                </w:p>
              </w:tc>
              <w:tc>
                <w:tcPr>
                  <w:tcW w:w="435" w:type="pct"/>
                  <w:tcBorders>
                    <w:tl2br w:val="nil"/>
                    <w:tr2bl w:val="nil"/>
                  </w:tcBorders>
                  <w:noWrap w:val="0"/>
                  <w:vAlign w:val="center"/>
                </w:tcPr>
                <w:p w14:paraId="6BB580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非甲烷总烃</w:t>
                  </w:r>
                </w:p>
              </w:tc>
              <w:tc>
                <w:tcPr>
                  <w:tcW w:w="1235" w:type="pct"/>
                  <w:tcBorders>
                    <w:tl2br w:val="nil"/>
                    <w:tr2bl w:val="nil"/>
                  </w:tcBorders>
                  <w:noWrap w:val="0"/>
                  <w:vAlign w:val="center"/>
                </w:tcPr>
                <w:p w14:paraId="256E7D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《环境空气总烃、甲烷和非甲烷总烃的测定直接进样-气相色谱法》（HJ604-2017）</w:t>
                  </w:r>
                </w:p>
              </w:tc>
              <w:tc>
                <w:tcPr>
                  <w:tcW w:w="650" w:type="pct"/>
                  <w:tcBorders>
                    <w:tl2br w:val="nil"/>
                    <w:tr2bl w:val="nil"/>
                  </w:tcBorders>
                  <w:noWrap w:val="0"/>
                  <w:vAlign w:val="center"/>
                </w:tcPr>
                <w:p w14:paraId="0CB469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0.07mg/m³</w:t>
                  </w:r>
                </w:p>
              </w:tc>
              <w:tc>
                <w:tcPr>
                  <w:tcW w:w="1229" w:type="pct"/>
                  <w:tcBorders>
                    <w:tl2br w:val="nil"/>
                    <w:tr2bl w:val="nil"/>
                  </w:tcBorders>
                  <w:noWrap w:val="0"/>
                  <w:vAlign w:val="center"/>
                </w:tcPr>
                <w:p w14:paraId="2A6F47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气相色谱仪V5000</w:t>
                  </w:r>
                </w:p>
              </w:tc>
              <w:tc>
                <w:tcPr>
                  <w:tcW w:w="1020" w:type="pct"/>
                  <w:tcBorders>
                    <w:tl2br w:val="nil"/>
                    <w:tr2bl w:val="nil"/>
                  </w:tcBorders>
                  <w:noWrap w:val="0"/>
                  <w:vAlign w:val="center"/>
                </w:tcPr>
                <w:p w14:paraId="7E7B3E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NHQ-S-137</w:t>
                  </w:r>
                </w:p>
              </w:tc>
            </w:tr>
          </w:tbl>
          <w:p w14:paraId="2CCA99A6">
            <w:pPr>
              <w:adjustRightInd w:val="0"/>
              <w:snapToGrid w:val="0"/>
              <w:jc w:val="left"/>
              <w:rPr>
                <w:rFonts w:hint="eastAsia"/>
                <w:color w:val="auto"/>
                <w:highlight w:val="none"/>
                <w:lang w:val="en-US" w:eastAsia="zh-CN"/>
              </w:rPr>
            </w:pPr>
            <w:r>
              <w:rPr>
                <w:rFonts w:hint="eastAsia"/>
                <w:color w:val="auto"/>
                <w:highlight w:val="none"/>
                <w:lang w:val="en-US" w:eastAsia="zh-CN"/>
              </w:rPr>
              <w:t>⑥监测结果</w:t>
            </w:r>
          </w:p>
          <w:p w14:paraId="7B4489F5">
            <w:pPr>
              <w:adjustRightInd w:val="0"/>
              <w:snapToGrid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表3-3气象条件</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310"/>
              <w:gridCol w:w="1574"/>
              <w:gridCol w:w="1363"/>
              <w:gridCol w:w="1363"/>
              <w:gridCol w:w="1364"/>
            </w:tblGrid>
            <w:tr w14:paraId="3994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429" w:type="pct"/>
                  <w:gridSpan w:val="2"/>
                  <w:tcBorders>
                    <w:tl2br w:val="nil"/>
                    <w:tr2bl w:val="nil"/>
                  </w:tcBorders>
                  <w:noWrap w:val="0"/>
                  <w:vAlign w:val="center"/>
                </w:tcPr>
                <w:p w14:paraId="2D95E3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采样时间</w:t>
                  </w:r>
                </w:p>
              </w:tc>
              <w:tc>
                <w:tcPr>
                  <w:tcW w:w="992" w:type="pct"/>
                  <w:tcBorders>
                    <w:tl2br w:val="nil"/>
                    <w:tr2bl w:val="nil"/>
                  </w:tcBorders>
                  <w:noWrap w:val="0"/>
                  <w:vAlign w:val="center"/>
                </w:tcPr>
                <w:p w14:paraId="4C91A4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风向（方位）</w:t>
                  </w:r>
                </w:p>
              </w:tc>
              <w:tc>
                <w:tcPr>
                  <w:tcW w:w="859" w:type="pct"/>
                  <w:tcBorders>
                    <w:tl2br w:val="nil"/>
                    <w:tr2bl w:val="nil"/>
                  </w:tcBorders>
                  <w:noWrap w:val="0"/>
                  <w:vAlign w:val="center"/>
                </w:tcPr>
                <w:p w14:paraId="4B57DB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风速（m/s）</w:t>
                  </w:r>
                </w:p>
              </w:tc>
              <w:tc>
                <w:tcPr>
                  <w:tcW w:w="859" w:type="pct"/>
                  <w:tcBorders>
                    <w:tl2br w:val="nil"/>
                    <w:tr2bl w:val="nil"/>
                  </w:tcBorders>
                  <w:noWrap w:val="0"/>
                  <w:vAlign w:val="center"/>
                </w:tcPr>
                <w:p w14:paraId="46828D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气温（℃）</w:t>
                  </w:r>
                </w:p>
              </w:tc>
              <w:tc>
                <w:tcPr>
                  <w:tcW w:w="859" w:type="pct"/>
                  <w:tcBorders>
                    <w:tl2br w:val="nil"/>
                    <w:tr2bl w:val="nil"/>
                  </w:tcBorders>
                  <w:noWrap w:val="0"/>
                  <w:vAlign w:val="center"/>
                </w:tcPr>
                <w:p w14:paraId="60D411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气压（kPa）</w:t>
                  </w:r>
                </w:p>
              </w:tc>
            </w:tr>
            <w:tr w14:paraId="154E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blHeader/>
                <w:jc w:val="center"/>
              </w:trPr>
              <w:tc>
                <w:tcPr>
                  <w:tcW w:w="603" w:type="pct"/>
                  <w:vMerge w:val="restart"/>
                  <w:tcBorders>
                    <w:tl2br w:val="nil"/>
                    <w:tr2bl w:val="nil"/>
                  </w:tcBorders>
                  <w:noWrap w:val="0"/>
                  <w:vAlign w:val="center"/>
                </w:tcPr>
                <w:p w14:paraId="0D2964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2023.11.12</w:t>
                  </w:r>
                </w:p>
              </w:tc>
              <w:tc>
                <w:tcPr>
                  <w:tcW w:w="825" w:type="pct"/>
                  <w:tcBorders>
                    <w:tl2br w:val="nil"/>
                    <w:tr2bl w:val="nil"/>
                  </w:tcBorders>
                  <w:noWrap w:val="0"/>
                  <w:vAlign w:val="center"/>
                </w:tcPr>
                <w:p w14:paraId="6EA28E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02:00</w:t>
                  </w:r>
                </w:p>
              </w:tc>
              <w:tc>
                <w:tcPr>
                  <w:tcW w:w="992" w:type="pct"/>
                  <w:tcBorders>
                    <w:tl2br w:val="nil"/>
                    <w:tr2bl w:val="nil"/>
                  </w:tcBorders>
                  <w:noWrap w:val="0"/>
                  <w:vAlign w:val="center"/>
                </w:tcPr>
                <w:p w14:paraId="0F86C6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7ACEB1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168908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-9.3</w:t>
                  </w:r>
                </w:p>
              </w:tc>
              <w:tc>
                <w:tcPr>
                  <w:tcW w:w="859" w:type="pct"/>
                  <w:tcBorders>
                    <w:tl2br w:val="nil"/>
                    <w:tr2bl w:val="nil"/>
                  </w:tcBorders>
                  <w:noWrap w:val="0"/>
                  <w:vAlign w:val="center"/>
                </w:tcPr>
                <w:p w14:paraId="554844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864.1</w:t>
                  </w:r>
                </w:p>
              </w:tc>
            </w:tr>
            <w:tr w14:paraId="09AA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blHeader/>
                <w:jc w:val="center"/>
              </w:trPr>
              <w:tc>
                <w:tcPr>
                  <w:tcW w:w="603" w:type="pct"/>
                  <w:vMerge w:val="continue"/>
                  <w:tcBorders>
                    <w:tl2br w:val="nil"/>
                    <w:tr2bl w:val="nil"/>
                  </w:tcBorders>
                  <w:noWrap w:val="0"/>
                  <w:vAlign w:val="center"/>
                </w:tcPr>
                <w:p w14:paraId="2173B9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469DAA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08:00</w:t>
                  </w:r>
                </w:p>
              </w:tc>
              <w:tc>
                <w:tcPr>
                  <w:tcW w:w="992" w:type="pct"/>
                  <w:tcBorders>
                    <w:tl2br w:val="nil"/>
                    <w:tr2bl w:val="nil"/>
                  </w:tcBorders>
                  <w:noWrap w:val="0"/>
                  <w:vAlign w:val="center"/>
                </w:tcPr>
                <w:p w14:paraId="72E016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3CF0F5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134713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-7.2</w:t>
                  </w:r>
                </w:p>
              </w:tc>
              <w:tc>
                <w:tcPr>
                  <w:tcW w:w="859" w:type="pct"/>
                  <w:tcBorders>
                    <w:tl2br w:val="nil"/>
                    <w:tr2bl w:val="nil"/>
                  </w:tcBorders>
                  <w:noWrap w:val="0"/>
                  <w:vAlign w:val="center"/>
                </w:tcPr>
                <w:p w14:paraId="5BF1A1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863.7</w:t>
                  </w:r>
                </w:p>
              </w:tc>
            </w:tr>
            <w:tr w14:paraId="4992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244A07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75F22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14:00</w:t>
                  </w:r>
                </w:p>
              </w:tc>
              <w:tc>
                <w:tcPr>
                  <w:tcW w:w="992" w:type="pct"/>
                  <w:tcBorders>
                    <w:tl2br w:val="nil"/>
                    <w:tr2bl w:val="nil"/>
                  </w:tcBorders>
                  <w:noWrap w:val="0"/>
                  <w:vAlign w:val="center"/>
                </w:tcPr>
                <w:p w14:paraId="14AB26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43D010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5D6B81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1814C5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863.2</w:t>
                  </w:r>
                </w:p>
              </w:tc>
            </w:tr>
            <w:tr w14:paraId="41D4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3C57B5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6C34C3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20:00</w:t>
                  </w:r>
                </w:p>
              </w:tc>
              <w:tc>
                <w:tcPr>
                  <w:tcW w:w="992" w:type="pct"/>
                  <w:tcBorders>
                    <w:tl2br w:val="nil"/>
                    <w:tr2bl w:val="nil"/>
                  </w:tcBorders>
                  <w:noWrap w:val="0"/>
                  <w:vAlign w:val="center"/>
                </w:tcPr>
                <w:p w14:paraId="59AAB4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北</w:t>
                  </w:r>
                </w:p>
              </w:tc>
              <w:tc>
                <w:tcPr>
                  <w:tcW w:w="859" w:type="pct"/>
                  <w:tcBorders>
                    <w:tl2br w:val="nil"/>
                    <w:tr2bl w:val="nil"/>
                  </w:tcBorders>
                  <w:noWrap w:val="0"/>
                  <w:vAlign w:val="center"/>
                </w:tcPr>
                <w:p w14:paraId="4CE3AC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084CA3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59" w:type="pct"/>
                  <w:tcBorders>
                    <w:tl2br w:val="nil"/>
                    <w:tr2bl w:val="nil"/>
                  </w:tcBorders>
                  <w:noWrap w:val="0"/>
                  <w:vAlign w:val="center"/>
                </w:tcPr>
                <w:p w14:paraId="0EDD9A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863.6</w:t>
                  </w:r>
                </w:p>
              </w:tc>
            </w:tr>
            <w:tr w14:paraId="6512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blHeader/>
                <w:jc w:val="center"/>
              </w:trPr>
              <w:tc>
                <w:tcPr>
                  <w:tcW w:w="603" w:type="pct"/>
                  <w:vMerge w:val="restart"/>
                  <w:tcBorders>
                    <w:tl2br w:val="nil"/>
                    <w:tr2bl w:val="nil"/>
                  </w:tcBorders>
                  <w:noWrap w:val="0"/>
                  <w:vAlign w:val="center"/>
                </w:tcPr>
                <w:p w14:paraId="5DFB68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2023.11.13</w:t>
                  </w:r>
                </w:p>
              </w:tc>
              <w:tc>
                <w:tcPr>
                  <w:tcW w:w="825" w:type="pct"/>
                  <w:tcBorders>
                    <w:tl2br w:val="nil"/>
                    <w:tr2bl w:val="nil"/>
                  </w:tcBorders>
                  <w:noWrap w:val="0"/>
                  <w:vAlign w:val="center"/>
                </w:tcPr>
                <w:p w14:paraId="6B32B8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02:00</w:t>
                  </w:r>
                </w:p>
              </w:tc>
              <w:tc>
                <w:tcPr>
                  <w:tcW w:w="992" w:type="pct"/>
                  <w:tcBorders>
                    <w:tl2br w:val="nil"/>
                    <w:tr2bl w:val="nil"/>
                  </w:tcBorders>
                  <w:noWrap w:val="0"/>
                  <w:vAlign w:val="center"/>
                </w:tcPr>
                <w:p w14:paraId="1779ED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789CDC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63C42E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-5.2</w:t>
                  </w:r>
                </w:p>
              </w:tc>
              <w:tc>
                <w:tcPr>
                  <w:tcW w:w="859" w:type="pct"/>
                  <w:tcBorders>
                    <w:tl2br w:val="nil"/>
                    <w:tr2bl w:val="nil"/>
                  </w:tcBorders>
                  <w:noWrap w:val="0"/>
                  <w:vAlign w:val="center"/>
                </w:tcPr>
                <w:p w14:paraId="7D9AD7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863.2</w:t>
                  </w:r>
                </w:p>
              </w:tc>
            </w:tr>
            <w:tr w14:paraId="0FE1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603" w:type="pct"/>
                  <w:vMerge w:val="continue"/>
                  <w:tcBorders>
                    <w:tl2br w:val="nil"/>
                    <w:tr2bl w:val="nil"/>
                  </w:tcBorders>
                  <w:noWrap w:val="0"/>
                  <w:vAlign w:val="center"/>
                </w:tcPr>
                <w:p w14:paraId="2527B9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1DB017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08:00</w:t>
                  </w:r>
                </w:p>
              </w:tc>
              <w:tc>
                <w:tcPr>
                  <w:tcW w:w="992" w:type="pct"/>
                  <w:tcBorders>
                    <w:tl2br w:val="nil"/>
                    <w:tr2bl w:val="nil"/>
                  </w:tcBorders>
                  <w:noWrap w:val="0"/>
                  <w:vAlign w:val="center"/>
                </w:tcPr>
                <w:p w14:paraId="2F078E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755306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7381D6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-4.5</w:t>
                  </w:r>
                </w:p>
              </w:tc>
              <w:tc>
                <w:tcPr>
                  <w:tcW w:w="859" w:type="pct"/>
                  <w:tcBorders>
                    <w:tl2br w:val="nil"/>
                    <w:tr2bl w:val="nil"/>
                  </w:tcBorders>
                  <w:noWrap w:val="0"/>
                  <w:vAlign w:val="center"/>
                </w:tcPr>
                <w:p w14:paraId="2E33B5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863.1</w:t>
                  </w:r>
                </w:p>
              </w:tc>
            </w:tr>
            <w:tr w14:paraId="22C5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4280E8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043557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14:00</w:t>
                  </w:r>
                </w:p>
              </w:tc>
              <w:tc>
                <w:tcPr>
                  <w:tcW w:w="992" w:type="pct"/>
                  <w:tcBorders>
                    <w:tl2br w:val="nil"/>
                    <w:tr2bl w:val="nil"/>
                  </w:tcBorders>
                  <w:noWrap w:val="0"/>
                  <w:vAlign w:val="center"/>
                </w:tcPr>
                <w:p w14:paraId="1FE771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4F4D10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2A3827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3.5</w:t>
                  </w:r>
                </w:p>
              </w:tc>
              <w:tc>
                <w:tcPr>
                  <w:tcW w:w="859" w:type="pct"/>
                  <w:tcBorders>
                    <w:tl2br w:val="nil"/>
                    <w:tr2bl w:val="nil"/>
                  </w:tcBorders>
                  <w:noWrap w:val="0"/>
                  <w:vAlign w:val="center"/>
                </w:tcPr>
                <w:p w14:paraId="329DC3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862.7</w:t>
                  </w:r>
                </w:p>
              </w:tc>
            </w:tr>
            <w:tr w14:paraId="56BF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548C66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5CCE50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20:00</w:t>
                  </w:r>
                </w:p>
              </w:tc>
              <w:tc>
                <w:tcPr>
                  <w:tcW w:w="992" w:type="pct"/>
                  <w:tcBorders>
                    <w:tl2br w:val="nil"/>
                    <w:tr2bl w:val="nil"/>
                  </w:tcBorders>
                  <w:noWrap w:val="0"/>
                  <w:vAlign w:val="center"/>
                </w:tcPr>
                <w:p w14:paraId="04D86D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42BEA1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363FE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-2.3</w:t>
                  </w:r>
                </w:p>
              </w:tc>
              <w:tc>
                <w:tcPr>
                  <w:tcW w:w="859" w:type="pct"/>
                  <w:tcBorders>
                    <w:tl2br w:val="nil"/>
                    <w:tr2bl w:val="nil"/>
                  </w:tcBorders>
                  <w:noWrap w:val="0"/>
                  <w:vAlign w:val="center"/>
                </w:tcPr>
                <w:p w14:paraId="6AC900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863.0</w:t>
                  </w:r>
                </w:p>
              </w:tc>
            </w:tr>
            <w:tr w14:paraId="60D7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restart"/>
                  <w:tcBorders>
                    <w:tl2br w:val="nil"/>
                    <w:tr2bl w:val="nil"/>
                  </w:tcBorders>
                  <w:noWrap w:val="0"/>
                  <w:vAlign w:val="center"/>
                </w:tcPr>
                <w:p w14:paraId="22784D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2023.11.14</w:t>
                  </w:r>
                </w:p>
              </w:tc>
              <w:tc>
                <w:tcPr>
                  <w:tcW w:w="825" w:type="pct"/>
                  <w:tcBorders>
                    <w:tl2br w:val="nil"/>
                    <w:tr2bl w:val="nil"/>
                  </w:tcBorders>
                  <w:noWrap w:val="0"/>
                  <w:vAlign w:val="center"/>
                </w:tcPr>
                <w:p w14:paraId="394107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02:00</w:t>
                  </w:r>
                </w:p>
              </w:tc>
              <w:tc>
                <w:tcPr>
                  <w:tcW w:w="992" w:type="pct"/>
                  <w:tcBorders>
                    <w:tl2br w:val="nil"/>
                    <w:tr2bl w:val="nil"/>
                  </w:tcBorders>
                  <w:noWrap w:val="0"/>
                  <w:vAlign w:val="center"/>
                </w:tcPr>
                <w:p w14:paraId="40F78C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0B1E5B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5BD471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-3.5</w:t>
                  </w:r>
                </w:p>
              </w:tc>
              <w:tc>
                <w:tcPr>
                  <w:tcW w:w="859" w:type="pct"/>
                  <w:tcBorders>
                    <w:tl2br w:val="nil"/>
                    <w:tr2bl w:val="nil"/>
                  </w:tcBorders>
                  <w:noWrap w:val="0"/>
                  <w:vAlign w:val="center"/>
                </w:tcPr>
                <w:p w14:paraId="454294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863.0</w:t>
                  </w:r>
                </w:p>
              </w:tc>
            </w:tr>
            <w:tr w14:paraId="6C05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43BE24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205CF4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08:00</w:t>
                  </w:r>
                </w:p>
              </w:tc>
              <w:tc>
                <w:tcPr>
                  <w:tcW w:w="992" w:type="pct"/>
                  <w:tcBorders>
                    <w:tl2br w:val="nil"/>
                    <w:tr2bl w:val="nil"/>
                  </w:tcBorders>
                  <w:noWrap w:val="0"/>
                  <w:vAlign w:val="center"/>
                </w:tcPr>
                <w:p w14:paraId="069A80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6F3FE2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32D42D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w:t>
                  </w:r>
                </w:p>
              </w:tc>
              <w:tc>
                <w:tcPr>
                  <w:tcW w:w="859" w:type="pct"/>
                  <w:tcBorders>
                    <w:tl2br w:val="nil"/>
                    <w:tr2bl w:val="nil"/>
                  </w:tcBorders>
                  <w:noWrap w:val="0"/>
                  <w:vAlign w:val="center"/>
                </w:tcPr>
                <w:p w14:paraId="09BF98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862.7</w:t>
                  </w:r>
                </w:p>
              </w:tc>
            </w:tr>
            <w:tr w14:paraId="6088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726017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29BC66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14:00</w:t>
                  </w:r>
                </w:p>
              </w:tc>
              <w:tc>
                <w:tcPr>
                  <w:tcW w:w="992" w:type="pct"/>
                  <w:tcBorders>
                    <w:tl2br w:val="nil"/>
                    <w:tr2bl w:val="nil"/>
                  </w:tcBorders>
                  <w:noWrap w:val="0"/>
                  <w:vAlign w:val="center"/>
                </w:tcPr>
                <w:p w14:paraId="3CE18D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0B951B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356A82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6.2</w:t>
                  </w:r>
                </w:p>
              </w:tc>
              <w:tc>
                <w:tcPr>
                  <w:tcW w:w="859" w:type="pct"/>
                  <w:tcBorders>
                    <w:tl2br w:val="nil"/>
                    <w:tr2bl w:val="nil"/>
                  </w:tcBorders>
                  <w:noWrap w:val="0"/>
                  <w:vAlign w:val="center"/>
                </w:tcPr>
                <w:p w14:paraId="66082F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862.0</w:t>
                  </w:r>
                </w:p>
              </w:tc>
            </w:tr>
            <w:tr w14:paraId="64B6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05B426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6A9DB6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20:00</w:t>
                  </w:r>
                </w:p>
              </w:tc>
              <w:tc>
                <w:tcPr>
                  <w:tcW w:w="992" w:type="pct"/>
                  <w:tcBorders>
                    <w:tl2br w:val="nil"/>
                    <w:tr2bl w:val="nil"/>
                  </w:tcBorders>
                  <w:noWrap w:val="0"/>
                  <w:vAlign w:val="center"/>
                </w:tcPr>
                <w:p w14:paraId="5D3C56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3E169A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41DAE0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412C49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862.8</w:t>
                  </w:r>
                </w:p>
              </w:tc>
            </w:tr>
            <w:tr w14:paraId="61EE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restart"/>
                  <w:tcBorders>
                    <w:tl2br w:val="nil"/>
                    <w:tr2bl w:val="nil"/>
                  </w:tcBorders>
                  <w:noWrap w:val="0"/>
                  <w:vAlign w:val="center"/>
                </w:tcPr>
                <w:p w14:paraId="321FBF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2023.11.15</w:t>
                  </w:r>
                </w:p>
              </w:tc>
              <w:tc>
                <w:tcPr>
                  <w:tcW w:w="825" w:type="pct"/>
                  <w:tcBorders>
                    <w:tl2br w:val="nil"/>
                    <w:tr2bl w:val="nil"/>
                  </w:tcBorders>
                  <w:noWrap w:val="0"/>
                  <w:vAlign w:val="center"/>
                </w:tcPr>
                <w:p w14:paraId="0A1DA4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02:00</w:t>
                  </w:r>
                </w:p>
              </w:tc>
              <w:tc>
                <w:tcPr>
                  <w:tcW w:w="992" w:type="pct"/>
                  <w:tcBorders>
                    <w:tl2br w:val="nil"/>
                    <w:tr2bl w:val="nil"/>
                  </w:tcBorders>
                  <w:noWrap w:val="0"/>
                  <w:vAlign w:val="center"/>
                </w:tcPr>
                <w:p w14:paraId="0CDE3A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67D1E0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55E33C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w:t>
                  </w:r>
                </w:p>
              </w:tc>
              <w:tc>
                <w:tcPr>
                  <w:tcW w:w="859" w:type="pct"/>
                  <w:tcBorders>
                    <w:tl2br w:val="nil"/>
                    <w:tr2bl w:val="nil"/>
                  </w:tcBorders>
                  <w:noWrap w:val="0"/>
                  <w:vAlign w:val="center"/>
                </w:tcPr>
                <w:p w14:paraId="799CF3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862.5</w:t>
                  </w:r>
                </w:p>
              </w:tc>
            </w:tr>
            <w:tr w14:paraId="0F0C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3C3987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19B1AD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08:00</w:t>
                  </w:r>
                </w:p>
              </w:tc>
              <w:tc>
                <w:tcPr>
                  <w:tcW w:w="992" w:type="pct"/>
                  <w:tcBorders>
                    <w:tl2br w:val="nil"/>
                    <w:tr2bl w:val="nil"/>
                  </w:tcBorders>
                  <w:noWrap w:val="0"/>
                  <w:vAlign w:val="center"/>
                </w:tcPr>
                <w:p w14:paraId="09C3AF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2B0ABA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210274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0.7</w:t>
                  </w:r>
                </w:p>
              </w:tc>
              <w:tc>
                <w:tcPr>
                  <w:tcW w:w="859" w:type="pct"/>
                  <w:tcBorders>
                    <w:tl2br w:val="nil"/>
                    <w:tr2bl w:val="nil"/>
                  </w:tcBorders>
                  <w:noWrap w:val="0"/>
                  <w:vAlign w:val="center"/>
                </w:tcPr>
                <w:p w14:paraId="7A916B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862.6</w:t>
                  </w:r>
                </w:p>
              </w:tc>
            </w:tr>
            <w:tr w14:paraId="75B9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5EAC09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11DB96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14:00</w:t>
                  </w:r>
                </w:p>
              </w:tc>
              <w:tc>
                <w:tcPr>
                  <w:tcW w:w="992" w:type="pct"/>
                  <w:tcBorders>
                    <w:tl2br w:val="nil"/>
                    <w:tr2bl w:val="nil"/>
                  </w:tcBorders>
                  <w:noWrap w:val="0"/>
                  <w:vAlign w:val="center"/>
                </w:tcPr>
                <w:p w14:paraId="69408F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33A5F6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449AF1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2BDFFF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862.4</w:t>
                  </w:r>
                </w:p>
              </w:tc>
            </w:tr>
            <w:tr w14:paraId="4565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3221BE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79FA63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20:00</w:t>
                  </w:r>
                </w:p>
              </w:tc>
              <w:tc>
                <w:tcPr>
                  <w:tcW w:w="992" w:type="pct"/>
                  <w:tcBorders>
                    <w:tl2br w:val="nil"/>
                    <w:tr2bl w:val="nil"/>
                  </w:tcBorders>
                  <w:noWrap w:val="0"/>
                  <w:vAlign w:val="center"/>
                </w:tcPr>
                <w:p w14:paraId="2BF15E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3052BD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7389EB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-4.3</w:t>
                  </w:r>
                </w:p>
              </w:tc>
              <w:tc>
                <w:tcPr>
                  <w:tcW w:w="859" w:type="pct"/>
                  <w:tcBorders>
                    <w:tl2br w:val="nil"/>
                    <w:tr2bl w:val="nil"/>
                  </w:tcBorders>
                  <w:noWrap w:val="0"/>
                  <w:vAlign w:val="center"/>
                </w:tcPr>
                <w:p w14:paraId="14448D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862.9</w:t>
                  </w:r>
                </w:p>
              </w:tc>
            </w:tr>
            <w:tr w14:paraId="5A94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restart"/>
                  <w:tcBorders>
                    <w:tl2br w:val="nil"/>
                    <w:tr2bl w:val="nil"/>
                  </w:tcBorders>
                  <w:noWrap w:val="0"/>
                  <w:vAlign w:val="center"/>
                </w:tcPr>
                <w:p w14:paraId="669D58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2023.11.16</w:t>
                  </w:r>
                </w:p>
              </w:tc>
              <w:tc>
                <w:tcPr>
                  <w:tcW w:w="825" w:type="pct"/>
                  <w:tcBorders>
                    <w:tl2br w:val="nil"/>
                    <w:tr2bl w:val="nil"/>
                  </w:tcBorders>
                  <w:noWrap w:val="0"/>
                  <w:vAlign w:val="center"/>
                </w:tcPr>
                <w:p w14:paraId="16D292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02:00</w:t>
                  </w:r>
                </w:p>
              </w:tc>
              <w:tc>
                <w:tcPr>
                  <w:tcW w:w="992" w:type="pct"/>
                  <w:tcBorders>
                    <w:tl2br w:val="nil"/>
                    <w:tr2bl w:val="nil"/>
                  </w:tcBorders>
                  <w:noWrap w:val="0"/>
                  <w:vAlign w:val="center"/>
                </w:tcPr>
                <w:p w14:paraId="6B4AC9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2C71EE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6B1D0A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-4.5</w:t>
                  </w:r>
                </w:p>
              </w:tc>
              <w:tc>
                <w:tcPr>
                  <w:tcW w:w="859" w:type="pct"/>
                  <w:tcBorders>
                    <w:tl2br w:val="nil"/>
                    <w:tr2bl w:val="nil"/>
                  </w:tcBorders>
                  <w:noWrap w:val="0"/>
                  <w:vAlign w:val="center"/>
                </w:tcPr>
                <w:p w14:paraId="1C8290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863.1</w:t>
                  </w:r>
                </w:p>
              </w:tc>
            </w:tr>
            <w:tr w14:paraId="255E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2622EA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0BC2C2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08:00</w:t>
                  </w:r>
                </w:p>
              </w:tc>
              <w:tc>
                <w:tcPr>
                  <w:tcW w:w="992" w:type="pct"/>
                  <w:tcBorders>
                    <w:tl2br w:val="nil"/>
                    <w:tr2bl w:val="nil"/>
                  </w:tcBorders>
                  <w:noWrap w:val="0"/>
                  <w:vAlign w:val="center"/>
                </w:tcPr>
                <w:p w14:paraId="33A8CF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7EAB63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1.7</w:t>
                  </w:r>
                </w:p>
              </w:tc>
              <w:tc>
                <w:tcPr>
                  <w:tcW w:w="859" w:type="pct"/>
                  <w:tcBorders>
                    <w:tl2br w:val="nil"/>
                    <w:tr2bl w:val="nil"/>
                  </w:tcBorders>
                  <w:noWrap w:val="0"/>
                  <w:vAlign w:val="center"/>
                </w:tcPr>
                <w:p w14:paraId="591F22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-6.2</w:t>
                  </w:r>
                </w:p>
              </w:tc>
              <w:tc>
                <w:tcPr>
                  <w:tcW w:w="859" w:type="pct"/>
                  <w:tcBorders>
                    <w:tl2br w:val="nil"/>
                    <w:tr2bl w:val="nil"/>
                  </w:tcBorders>
                  <w:noWrap w:val="0"/>
                  <w:vAlign w:val="center"/>
                </w:tcPr>
                <w:p w14:paraId="43C53C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863.5</w:t>
                  </w:r>
                </w:p>
              </w:tc>
            </w:tr>
            <w:tr w14:paraId="0409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22EFA4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3DE8EC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14:00</w:t>
                  </w:r>
                </w:p>
              </w:tc>
              <w:tc>
                <w:tcPr>
                  <w:tcW w:w="992" w:type="pct"/>
                  <w:tcBorders>
                    <w:tl2br w:val="nil"/>
                    <w:tr2bl w:val="nil"/>
                  </w:tcBorders>
                  <w:noWrap w:val="0"/>
                  <w:vAlign w:val="center"/>
                </w:tcPr>
                <w:p w14:paraId="316C86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4C3E5D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1BE70E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3E42E7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862.6</w:t>
                  </w:r>
                </w:p>
              </w:tc>
            </w:tr>
            <w:tr w14:paraId="3A3D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39F1C9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442CF2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20:00</w:t>
                  </w:r>
                </w:p>
              </w:tc>
              <w:tc>
                <w:tcPr>
                  <w:tcW w:w="992" w:type="pct"/>
                  <w:tcBorders>
                    <w:tl2br w:val="nil"/>
                    <w:tr2bl w:val="nil"/>
                  </w:tcBorders>
                  <w:noWrap w:val="0"/>
                  <w:vAlign w:val="center"/>
                </w:tcPr>
                <w:p w14:paraId="30D122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28A7AF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21E0BA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-1.7</w:t>
                  </w:r>
                </w:p>
              </w:tc>
              <w:tc>
                <w:tcPr>
                  <w:tcW w:w="859" w:type="pct"/>
                  <w:tcBorders>
                    <w:tl2br w:val="nil"/>
                    <w:tr2bl w:val="nil"/>
                  </w:tcBorders>
                  <w:noWrap w:val="0"/>
                  <w:vAlign w:val="center"/>
                </w:tcPr>
                <w:p w14:paraId="11C745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862.7</w:t>
                  </w:r>
                </w:p>
              </w:tc>
            </w:tr>
            <w:tr w14:paraId="75B2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restart"/>
                  <w:tcBorders>
                    <w:tl2br w:val="nil"/>
                    <w:tr2bl w:val="nil"/>
                  </w:tcBorders>
                  <w:noWrap w:val="0"/>
                  <w:vAlign w:val="center"/>
                </w:tcPr>
                <w:p w14:paraId="717395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2023.11.17</w:t>
                  </w:r>
                </w:p>
              </w:tc>
              <w:tc>
                <w:tcPr>
                  <w:tcW w:w="825" w:type="pct"/>
                  <w:tcBorders>
                    <w:tl2br w:val="nil"/>
                    <w:tr2bl w:val="nil"/>
                  </w:tcBorders>
                  <w:noWrap w:val="0"/>
                  <w:vAlign w:val="center"/>
                </w:tcPr>
                <w:p w14:paraId="3C1FBF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02:00</w:t>
                  </w:r>
                </w:p>
              </w:tc>
              <w:tc>
                <w:tcPr>
                  <w:tcW w:w="992" w:type="pct"/>
                  <w:tcBorders>
                    <w:tl2br w:val="nil"/>
                    <w:tr2bl w:val="nil"/>
                  </w:tcBorders>
                  <w:noWrap w:val="0"/>
                  <w:vAlign w:val="center"/>
                </w:tcPr>
                <w:p w14:paraId="21D56D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5389C4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7BEE2A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-3.2</w:t>
                  </w:r>
                </w:p>
              </w:tc>
              <w:tc>
                <w:tcPr>
                  <w:tcW w:w="859" w:type="pct"/>
                  <w:tcBorders>
                    <w:tl2br w:val="nil"/>
                    <w:tr2bl w:val="nil"/>
                  </w:tcBorders>
                  <w:noWrap w:val="0"/>
                  <w:vAlign w:val="center"/>
                </w:tcPr>
                <w:p w14:paraId="5E6131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863.0</w:t>
                  </w:r>
                </w:p>
              </w:tc>
            </w:tr>
            <w:tr w14:paraId="4BE0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271105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5E2208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08:00</w:t>
                  </w:r>
                </w:p>
              </w:tc>
              <w:tc>
                <w:tcPr>
                  <w:tcW w:w="992" w:type="pct"/>
                  <w:tcBorders>
                    <w:tl2br w:val="nil"/>
                    <w:tr2bl w:val="nil"/>
                  </w:tcBorders>
                  <w:noWrap w:val="0"/>
                  <w:vAlign w:val="center"/>
                </w:tcPr>
                <w:p w14:paraId="59248B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6EF93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1A6985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-4.8</w:t>
                  </w:r>
                </w:p>
              </w:tc>
              <w:tc>
                <w:tcPr>
                  <w:tcW w:w="859" w:type="pct"/>
                  <w:tcBorders>
                    <w:tl2br w:val="nil"/>
                    <w:tr2bl w:val="nil"/>
                  </w:tcBorders>
                  <w:noWrap w:val="0"/>
                  <w:vAlign w:val="center"/>
                </w:tcPr>
                <w:p w14:paraId="35DCCF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863.2</w:t>
                  </w:r>
                </w:p>
              </w:tc>
            </w:tr>
            <w:tr w14:paraId="37DD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4B8EB4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50FC30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14:00</w:t>
                  </w:r>
                </w:p>
              </w:tc>
              <w:tc>
                <w:tcPr>
                  <w:tcW w:w="992" w:type="pct"/>
                  <w:tcBorders>
                    <w:tl2br w:val="nil"/>
                    <w:tr2bl w:val="nil"/>
                  </w:tcBorders>
                  <w:noWrap w:val="0"/>
                  <w:vAlign w:val="center"/>
                </w:tcPr>
                <w:p w14:paraId="3A1829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229258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76E1F7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5.2</w:t>
                  </w:r>
                </w:p>
              </w:tc>
              <w:tc>
                <w:tcPr>
                  <w:tcW w:w="859" w:type="pct"/>
                  <w:tcBorders>
                    <w:tl2br w:val="nil"/>
                    <w:tr2bl w:val="nil"/>
                  </w:tcBorders>
                  <w:noWrap w:val="0"/>
                  <w:vAlign w:val="center"/>
                </w:tcPr>
                <w:p w14:paraId="60B8F0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862.5</w:t>
                  </w:r>
                </w:p>
              </w:tc>
            </w:tr>
            <w:tr w14:paraId="054C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1DEF7C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654DE6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20:00</w:t>
                  </w:r>
                </w:p>
              </w:tc>
              <w:tc>
                <w:tcPr>
                  <w:tcW w:w="992" w:type="pct"/>
                  <w:tcBorders>
                    <w:tl2br w:val="nil"/>
                    <w:tr2bl w:val="nil"/>
                  </w:tcBorders>
                  <w:noWrap w:val="0"/>
                  <w:vAlign w:val="center"/>
                </w:tcPr>
                <w:p w14:paraId="04655A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1EB60E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3657C9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5CD8A9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862.9</w:t>
                  </w:r>
                </w:p>
              </w:tc>
            </w:tr>
            <w:tr w14:paraId="7FAB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restart"/>
                  <w:tcBorders>
                    <w:tl2br w:val="nil"/>
                    <w:tr2bl w:val="nil"/>
                  </w:tcBorders>
                  <w:noWrap w:val="0"/>
                  <w:vAlign w:val="center"/>
                </w:tcPr>
                <w:p w14:paraId="349DA4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2023.11.18</w:t>
                  </w:r>
                </w:p>
              </w:tc>
              <w:tc>
                <w:tcPr>
                  <w:tcW w:w="825" w:type="pct"/>
                  <w:tcBorders>
                    <w:tl2br w:val="nil"/>
                    <w:tr2bl w:val="nil"/>
                  </w:tcBorders>
                  <w:noWrap w:val="0"/>
                  <w:vAlign w:val="center"/>
                </w:tcPr>
                <w:p w14:paraId="472520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02:00</w:t>
                  </w:r>
                </w:p>
              </w:tc>
              <w:tc>
                <w:tcPr>
                  <w:tcW w:w="992" w:type="pct"/>
                  <w:tcBorders>
                    <w:tl2br w:val="nil"/>
                    <w:tr2bl w:val="nil"/>
                  </w:tcBorders>
                  <w:noWrap w:val="0"/>
                  <w:vAlign w:val="center"/>
                </w:tcPr>
                <w:p w14:paraId="28C41B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18D2FE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50746E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-2.3</w:t>
                  </w:r>
                </w:p>
              </w:tc>
              <w:tc>
                <w:tcPr>
                  <w:tcW w:w="859" w:type="pct"/>
                  <w:tcBorders>
                    <w:tl2br w:val="nil"/>
                    <w:tr2bl w:val="nil"/>
                  </w:tcBorders>
                  <w:noWrap w:val="0"/>
                  <w:vAlign w:val="center"/>
                </w:tcPr>
                <w:p w14:paraId="6C5441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863.1</w:t>
                  </w:r>
                </w:p>
              </w:tc>
            </w:tr>
            <w:tr w14:paraId="2CC6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14AA2C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7FD0EB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08:00</w:t>
                  </w:r>
                </w:p>
              </w:tc>
              <w:tc>
                <w:tcPr>
                  <w:tcW w:w="992" w:type="pct"/>
                  <w:tcBorders>
                    <w:tl2br w:val="nil"/>
                    <w:tr2bl w:val="nil"/>
                  </w:tcBorders>
                  <w:noWrap w:val="0"/>
                  <w:vAlign w:val="center"/>
                </w:tcPr>
                <w:p w14:paraId="16EA55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2EB7EE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1.5</w:t>
                  </w:r>
                </w:p>
              </w:tc>
              <w:tc>
                <w:tcPr>
                  <w:tcW w:w="859" w:type="pct"/>
                  <w:tcBorders>
                    <w:tl2br w:val="nil"/>
                    <w:tr2bl w:val="nil"/>
                  </w:tcBorders>
                  <w:noWrap w:val="0"/>
                  <w:vAlign w:val="center"/>
                </w:tcPr>
                <w:p w14:paraId="4FFB96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-1.3</w:t>
                  </w:r>
                </w:p>
              </w:tc>
              <w:tc>
                <w:tcPr>
                  <w:tcW w:w="859" w:type="pct"/>
                  <w:tcBorders>
                    <w:tl2br w:val="nil"/>
                    <w:tr2bl w:val="nil"/>
                  </w:tcBorders>
                  <w:noWrap w:val="0"/>
                  <w:vAlign w:val="center"/>
                </w:tcPr>
                <w:p w14:paraId="050CC2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862.9</w:t>
                  </w:r>
                </w:p>
              </w:tc>
            </w:tr>
            <w:tr w14:paraId="4D29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69D86B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1786FC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14:00</w:t>
                  </w:r>
                </w:p>
              </w:tc>
              <w:tc>
                <w:tcPr>
                  <w:tcW w:w="992" w:type="pct"/>
                  <w:tcBorders>
                    <w:tl2br w:val="nil"/>
                    <w:tr2bl w:val="nil"/>
                  </w:tcBorders>
                  <w:noWrap w:val="0"/>
                  <w:vAlign w:val="center"/>
                </w:tcPr>
                <w:p w14:paraId="2584BB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w:t>
                  </w:r>
                </w:p>
              </w:tc>
              <w:tc>
                <w:tcPr>
                  <w:tcW w:w="859" w:type="pct"/>
                  <w:tcBorders>
                    <w:tl2br w:val="nil"/>
                    <w:tr2bl w:val="nil"/>
                  </w:tcBorders>
                  <w:noWrap w:val="0"/>
                  <w:vAlign w:val="center"/>
                </w:tcPr>
                <w:p w14:paraId="1FD338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1.7</w:t>
                  </w:r>
                </w:p>
              </w:tc>
              <w:tc>
                <w:tcPr>
                  <w:tcW w:w="859" w:type="pct"/>
                  <w:tcBorders>
                    <w:tl2br w:val="nil"/>
                    <w:tr2bl w:val="nil"/>
                  </w:tcBorders>
                  <w:noWrap w:val="0"/>
                  <w:vAlign w:val="center"/>
                </w:tcPr>
                <w:p w14:paraId="1703C2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8.2</w:t>
                  </w:r>
                </w:p>
              </w:tc>
              <w:tc>
                <w:tcPr>
                  <w:tcW w:w="859" w:type="pct"/>
                  <w:tcBorders>
                    <w:tl2br w:val="nil"/>
                    <w:tr2bl w:val="nil"/>
                  </w:tcBorders>
                  <w:noWrap w:val="0"/>
                  <w:vAlign w:val="center"/>
                </w:tcPr>
                <w:p w14:paraId="74D523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862.1</w:t>
                  </w:r>
                </w:p>
              </w:tc>
            </w:tr>
            <w:tr w14:paraId="2A0A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03" w:type="pct"/>
                  <w:vMerge w:val="continue"/>
                  <w:tcBorders>
                    <w:tl2br w:val="nil"/>
                    <w:tr2bl w:val="nil"/>
                  </w:tcBorders>
                  <w:noWrap w:val="0"/>
                  <w:vAlign w:val="center"/>
                </w:tcPr>
                <w:p w14:paraId="0C6C86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825" w:type="pct"/>
                  <w:tcBorders>
                    <w:tl2br w:val="nil"/>
                    <w:tr2bl w:val="nil"/>
                  </w:tcBorders>
                  <w:noWrap w:val="0"/>
                  <w:vAlign w:val="center"/>
                </w:tcPr>
                <w:p w14:paraId="12A1B7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20:00</w:t>
                  </w:r>
                </w:p>
              </w:tc>
              <w:tc>
                <w:tcPr>
                  <w:tcW w:w="992" w:type="pct"/>
                  <w:tcBorders>
                    <w:tl2br w:val="nil"/>
                    <w:tr2bl w:val="nil"/>
                  </w:tcBorders>
                  <w:noWrap w:val="0"/>
                  <w:vAlign w:val="center"/>
                </w:tcPr>
                <w:p w14:paraId="1BA1F1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西北</w:t>
                  </w:r>
                </w:p>
              </w:tc>
              <w:tc>
                <w:tcPr>
                  <w:tcW w:w="859" w:type="pct"/>
                  <w:tcBorders>
                    <w:tl2br w:val="nil"/>
                    <w:tr2bl w:val="nil"/>
                  </w:tcBorders>
                  <w:noWrap w:val="0"/>
                  <w:vAlign w:val="center"/>
                </w:tcPr>
                <w:p w14:paraId="06B239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1.2</w:t>
                  </w:r>
                </w:p>
              </w:tc>
              <w:tc>
                <w:tcPr>
                  <w:tcW w:w="859" w:type="pct"/>
                  <w:tcBorders>
                    <w:tl2br w:val="nil"/>
                    <w:tr2bl w:val="nil"/>
                  </w:tcBorders>
                  <w:noWrap w:val="0"/>
                  <w:vAlign w:val="center"/>
                </w:tcPr>
                <w:p w14:paraId="4FDBAB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0.3</w:t>
                  </w:r>
                </w:p>
              </w:tc>
              <w:tc>
                <w:tcPr>
                  <w:tcW w:w="859" w:type="pct"/>
                  <w:tcBorders>
                    <w:tl2br w:val="nil"/>
                    <w:tr2bl w:val="nil"/>
                  </w:tcBorders>
                  <w:noWrap w:val="0"/>
                  <w:vAlign w:val="center"/>
                </w:tcPr>
                <w:p w14:paraId="3119DD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862.7</w:t>
                  </w:r>
                </w:p>
              </w:tc>
            </w:tr>
          </w:tbl>
          <w:p w14:paraId="78FC0FD5">
            <w:pPr>
              <w:adjustRightInd w:val="0"/>
              <w:snapToGrid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表3-4环境空气监测结果（1）</w:t>
            </w:r>
          </w:p>
          <w:tbl>
            <w:tblPr>
              <w:tblStyle w:val="27"/>
              <w:tblW w:w="7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248"/>
              <w:gridCol w:w="3036"/>
              <w:gridCol w:w="857"/>
              <w:gridCol w:w="750"/>
              <w:gridCol w:w="753"/>
            </w:tblGrid>
            <w:tr w14:paraId="2294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8" w:type="dxa"/>
                  <w:gridSpan w:val="2"/>
                  <w:tcBorders>
                    <w:tl2br w:val="nil"/>
                    <w:tr2bl w:val="nil"/>
                  </w:tcBorders>
                  <w:noWrap w:val="0"/>
                  <w:vAlign w:val="center"/>
                </w:tcPr>
                <w:p w14:paraId="524F91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检测点位</w:t>
                  </w:r>
                </w:p>
              </w:tc>
              <w:tc>
                <w:tcPr>
                  <w:tcW w:w="5396" w:type="dxa"/>
                  <w:gridSpan w:val="4"/>
                  <w:tcBorders>
                    <w:tl2br w:val="nil"/>
                    <w:tr2bl w:val="nil"/>
                  </w:tcBorders>
                  <w:noWrap w:val="0"/>
                  <w:vAlign w:val="center"/>
                </w:tcPr>
                <w:p w14:paraId="506CDF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引用点位于厂址东南侧950m处</w:t>
                  </w:r>
                </w:p>
                <w:p w14:paraId="546189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E109°49′20.27″，N39°31′45.14″</w:t>
                  </w:r>
                </w:p>
              </w:tc>
            </w:tr>
            <w:tr w14:paraId="0311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578" w:type="dxa"/>
                  <w:gridSpan w:val="2"/>
                  <w:tcBorders>
                    <w:tl2br w:val="nil"/>
                    <w:tr2bl w:val="nil"/>
                  </w:tcBorders>
                  <w:noWrap w:val="0"/>
                  <w:vAlign w:val="center"/>
                </w:tcPr>
                <w:p w14:paraId="4251BD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检测项目</w:t>
                  </w:r>
                </w:p>
              </w:tc>
              <w:tc>
                <w:tcPr>
                  <w:tcW w:w="5396" w:type="dxa"/>
                  <w:gridSpan w:val="4"/>
                  <w:tcBorders>
                    <w:tl2br w:val="nil"/>
                    <w:tr2bl w:val="nil"/>
                  </w:tcBorders>
                  <w:noWrap w:val="0"/>
                  <w:vAlign w:val="center"/>
                </w:tcPr>
                <w:p w14:paraId="6C7E8A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总悬浮颗粒物（单位：ug/m³）</w:t>
                  </w:r>
                </w:p>
              </w:tc>
            </w:tr>
            <w:tr w14:paraId="1086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8" w:type="dxa"/>
                  <w:gridSpan w:val="2"/>
                  <w:tcBorders>
                    <w:tl2br w:val="nil"/>
                    <w:tr2bl w:val="nil"/>
                  </w:tcBorders>
                  <w:noWrap w:val="0"/>
                  <w:vAlign w:val="center"/>
                </w:tcPr>
                <w:p w14:paraId="2F5C57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采样时间</w:t>
                  </w:r>
                </w:p>
              </w:tc>
              <w:tc>
                <w:tcPr>
                  <w:tcW w:w="3036" w:type="dxa"/>
                  <w:tcBorders>
                    <w:tl2br w:val="nil"/>
                    <w:tr2bl w:val="nil"/>
                  </w:tcBorders>
                  <w:noWrap w:val="0"/>
                  <w:vAlign w:val="center"/>
                </w:tcPr>
                <w:p w14:paraId="5236DF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样品编号</w:t>
                  </w:r>
                </w:p>
              </w:tc>
              <w:tc>
                <w:tcPr>
                  <w:tcW w:w="857" w:type="dxa"/>
                  <w:tcBorders>
                    <w:tl2br w:val="nil"/>
                    <w:tr2bl w:val="nil"/>
                  </w:tcBorders>
                  <w:noWrap w:val="0"/>
                  <w:vAlign w:val="center"/>
                </w:tcPr>
                <w:p w14:paraId="0321D8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检测结果</w:t>
                  </w:r>
                </w:p>
              </w:tc>
              <w:tc>
                <w:tcPr>
                  <w:tcW w:w="750" w:type="dxa"/>
                  <w:tcBorders>
                    <w:tl2br w:val="nil"/>
                    <w:tr2bl w:val="nil"/>
                  </w:tcBorders>
                  <w:noWrap w:val="0"/>
                  <w:vAlign w:val="center"/>
                </w:tcPr>
                <w:p w14:paraId="606A08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执行标准限值</w:t>
                  </w:r>
                </w:p>
              </w:tc>
              <w:tc>
                <w:tcPr>
                  <w:tcW w:w="753" w:type="dxa"/>
                  <w:tcBorders>
                    <w:tl2br w:val="nil"/>
                    <w:tr2bl w:val="nil"/>
                  </w:tcBorders>
                  <w:noWrap w:val="0"/>
                  <w:vAlign w:val="center"/>
                </w:tcPr>
                <w:p w14:paraId="38F2CE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评价结论</w:t>
                  </w:r>
                </w:p>
              </w:tc>
            </w:tr>
            <w:tr w14:paraId="3174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nil"/>
                    <w:tr2bl w:val="nil"/>
                  </w:tcBorders>
                  <w:noWrap w:val="0"/>
                  <w:vAlign w:val="center"/>
                </w:tcPr>
                <w:p w14:paraId="0A6A5B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2023.11.12</w:t>
                  </w:r>
                </w:p>
              </w:tc>
              <w:tc>
                <w:tcPr>
                  <w:tcW w:w="1248" w:type="dxa"/>
                  <w:tcBorders>
                    <w:tl2br w:val="nil"/>
                    <w:tr2bl w:val="nil"/>
                  </w:tcBorders>
                  <w:noWrap w:val="0"/>
                  <w:vAlign w:val="center"/>
                </w:tcPr>
                <w:p w14:paraId="65FAB2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24小时值</w:t>
                  </w:r>
                </w:p>
              </w:tc>
              <w:tc>
                <w:tcPr>
                  <w:tcW w:w="3036" w:type="dxa"/>
                  <w:tcBorders>
                    <w:tl2br w:val="nil"/>
                    <w:tr2bl w:val="nil"/>
                  </w:tcBorders>
                  <w:noWrap w:val="0"/>
                  <w:vAlign w:val="center"/>
                </w:tcPr>
                <w:p w14:paraId="56832A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WT202379HQ03-TSP-001</w:t>
                  </w:r>
                </w:p>
              </w:tc>
              <w:tc>
                <w:tcPr>
                  <w:tcW w:w="857" w:type="dxa"/>
                  <w:tcBorders>
                    <w:tl2br w:val="nil"/>
                    <w:tr2bl w:val="nil"/>
                  </w:tcBorders>
                  <w:noWrap w:val="0"/>
                  <w:vAlign w:val="center"/>
                </w:tcPr>
                <w:p w14:paraId="6A17DA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224</w:t>
                  </w:r>
                </w:p>
              </w:tc>
              <w:tc>
                <w:tcPr>
                  <w:tcW w:w="750" w:type="dxa"/>
                  <w:vMerge w:val="restart"/>
                  <w:tcBorders>
                    <w:tl2br w:val="nil"/>
                    <w:tr2bl w:val="nil"/>
                  </w:tcBorders>
                  <w:noWrap w:val="0"/>
                  <w:vAlign w:val="center"/>
                </w:tcPr>
                <w:p w14:paraId="5A91FE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300</w:t>
                  </w:r>
                </w:p>
              </w:tc>
              <w:tc>
                <w:tcPr>
                  <w:tcW w:w="753" w:type="dxa"/>
                  <w:tcBorders>
                    <w:tl2br w:val="nil"/>
                    <w:tr2bl w:val="nil"/>
                  </w:tcBorders>
                  <w:noWrap w:val="0"/>
                  <w:vAlign w:val="center"/>
                </w:tcPr>
                <w:p w14:paraId="63CC81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达标</w:t>
                  </w:r>
                </w:p>
              </w:tc>
            </w:tr>
            <w:tr w14:paraId="079C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nil"/>
                    <w:tr2bl w:val="nil"/>
                  </w:tcBorders>
                  <w:noWrap w:val="0"/>
                  <w:vAlign w:val="center"/>
                </w:tcPr>
                <w:p w14:paraId="2070C7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2023.11.13</w:t>
                  </w:r>
                </w:p>
              </w:tc>
              <w:tc>
                <w:tcPr>
                  <w:tcW w:w="1248" w:type="dxa"/>
                  <w:tcBorders>
                    <w:tl2br w:val="nil"/>
                    <w:tr2bl w:val="nil"/>
                  </w:tcBorders>
                  <w:noWrap w:val="0"/>
                  <w:vAlign w:val="center"/>
                </w:tcPr>
                <w:p w14:paraId="00D40C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24小时值</w:t>
                  </w:r>
                </w:p>
              </w:tc>
              <w:tc>
                <w:tcPr>
                  <w:tcW w:w="3036" w:type="dxa"/>
                  <w:tcBorders>
                    <w:tl2br w:val="nil"/>
                    <w:tr2bl w:val="nil"/>
                  </w:tcBorders>
                  <w:noWrap w:val="0"/>
                  <w:vAlign w:val="center"/>
                </w:tcPr>
                <w:p w14:paraId="541A3C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WT202379HQ03-TSP-002</w:t>
                  </w:r>
                </w:p>
              </w:tc>
              <w:tc>
                <w:tcPr>
                  <w:tcW w:w="857" w:type="dxa"/>
                  <w:tcBorders>
                    <w:tl2br w:val="nil"/>
                    <w:tr2bl w:val="nil"/>
                  </w:tcBorders>
                  <w:noWrap w:val="0"/>
                  <w:vAlign w:val="center"/>
                </w:tcPr>
                <w:p w14:paraId="238742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213</w:t>
                  </w:r>
                </w:p>
              </w:tc>
              <w:tc>
                <w:tcPr>
                  <w:tcW w:w="750" w:type="dxa"/>
                  <w:vMerge w:val="continue"/>
                  <w:tcBorders>
                    <w:tl2br w:val="nil"/>
                    <w:tr2bl w:val="nil"/>
                  </w:tcBorders>
                  <w:noWrap w:val="0"/>
                  <w:vAlign w:val="center"/>
                </w:tcPr>
                <w:p w14:paraId="02D58C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753" w:type="dxa"/>
                  <w:tcBorders>
                    <w:tl2br w:val="nil"/>
                    <w:tr2bl w:val="nil"/>
                  </w:tcBorders>
                  <w:noWrap w:val="0"/>
                  <w:vAlign w:val="center"/>
                </w:tcPr>
                <w:p w14:paraId="7302EB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达标</w:t>
                  </w:r>
                </w:p>
              </w:tc>
            </w:tr>
            <w:tr w14:paraId="55FC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nil"/>
                    <w:tr2bl w:val="nil"/>
                  </w:tcBorders>
                  <w:noWrap w:val="0"/>
                  <w:vAlign w:val="center"/>
                </w:tcPr>
                <w:p w14:paraId="15A63A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2023.11.14</w:t>
                  </w:r>
                </w:p>
              </w:tc>
              <w:tc>
                <w:tcPr>
                  <w:tcW w:w="1248" w:type="dxa"/>
                  <w:tcBorders>
                    <w:tl2br w:val="nil"/>
                    <w:tr2bl w:val="nil"/>
                  </w:tcBorders>
                  <w:noWrap w:val="0"/>
                  <w:vAlign w:val="center"/>
                </w:tcPr>
                <w:p w14:paraId="667B7C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24小时值</w:t>
                  </w:r>
                </w:p>
              </w:tc>
              <w:tc>
                <w:tcPr>
                  <w:tcW w:w="3036" w:type="dxa"/>
                  <w:tcBorders>
                    <w:tl2br w:val="nil"/>
                    <w:tr2bl w:val="nil"/>
                  </w:tcBorders>
                  <w:noWrap w:val="0"/>
                  <w:vAlign w:val="center"/>
                </w:tcPr>
                <w:p w14:paraId="7E426B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WT202379HQ03-TSP-003</w:t>
                  </w:r>
                </w:p>
              </w:tc>
              <w:tc>
                <w:tcPr>
                  <w:tcW w:w="857" w:type="dxa"/>
                  <w:tcBorders>
                    <w:tl2br w:val="nil"/>
                    <w:tr2bl w:val="nil"/>
                  </w:tcBorders>
                  <w:noWrap w:val="0"/>
                  <w:vAlign w:val="center"/>
                </w:tcPr>
                <w:p w14:paraId="6C6001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264</w:t>
                  </w:r>
                </w:p>
              </w:tc>
              <w:tc>
                <w:tcPr>
                  <w:tcW w:w="750" w:type="dxa"/>
                  <w:vMerge w:val="continue"/>
                  <w:tcBorders>
                    <w:tl2br w:val="nil"/>
                    <w:tr2bl w:val="nil"/>
                  </w:tcBorders>
                  <w:noWrap w:val="0"/>
                  <w:vAlign w:val="center"/>
                </w:tcPr>
                <w:p w14:paraId="23304D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753" w:type="dxa"/>
                  <w:tcBorders>
                    <w:tl2br w:val="nil"/>
                    <w:tr2bl w:val="nil"/>
                  </w:tcBorders>
                  <w:noWrap w:val="0"/>
                  <w:vAlign w:val="center"/>
                </w:tcPr>
                <w:p w14:paraId="3C38D9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达标</w:t>
                  </w:r>
                </w:p>
              </w:tc>
            </w:tr>
            <w:tr w14:paraId="016D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nil"/>
                    <w:tr2bl w:val="nil"/>
                  </w:tcBorders>
                  <w:noWrap w:val="0"/>
                  <w:vAlign w:val="center"/>
                </w:tcPr>
                <w:p w14:paraId="17E9EE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2023.11.15</w:t>
                  </w:r>
                </w:p>
              </w:tc>
              <w:tc>
                <w:tcPr>
                  <w:tcW w:w="1248" w:type="dxa"/>
                  <w:tcBorders>
                    <w:tl2br w:val="nil"/>
                    <w:tr2bl w:val="nil"/>
                  </w:tcBorders>
                  <w:noWrap w:val="0"/>
                  <w:vAlign w:val="center"/>
                </w:tcPr>
                <w:p w14:paraId="7D0ACA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24小时值</w:t>
                  </w:r>
                </w:p>
              </w:tc>
              <w:tc>
                <w:tcPr>
                  <w:tcW w:w="3036" w:type="dxa"/>
                  <w:tcBorders>
                    <w:tl2br w:val="nil"/>
                    <w:tr2bl w:val="nil"/>
                  </w:tcBorders>
                  <w:noWrap w:val="0"/>
                  <w:vAlign w:val="center"/>
                </w:tcPr>
                <w:p w14:paraId="7741AF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WT202379HQ03-TSP-004</w:t>
                  </w:r>
                </w:p>
              </w:tc>
              <w:tc>
                <w:tcPr>
                  <w:tcW w:w="857" w:type="dxa"/>
                  <w:tcBorders>
                    <w:tl2br w:val="nil"/>
                    <w:tr2bl w:val="nil"/>
                  </w:tcBorders>
                  <w:noWrap w:val="0"/>
                  <w:vAlign w:val="center"/>
                </w:tcPr>
                <w:p w14:paraId="64FCB1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218</w:t>
                  </w:r>
                </w:p>
              </w:tc>
              <w:tc>
                <w:tcPr>
                  <w:tcW w:w="750" w:type="dxa"/>
                  <w:vMerge w:val="continue"/>
                  <w:tcBorders>
                    <w:tl2br w:val="nil"/>
                    <w:tr2bl w:val="nil"/>
                  </w:tcBorders>
                  <w:noWrap w:val="0"/>
                  <w:vAlign w:val="center"/>
                </w:tcPr>
                <w:p w14:paraId="507C60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753" w:type="dxa"/>
                  <w:tcBorders>
                    <w:tl2br w:val="nil"/>
                    <w:tr2bl w:val="nil"/>
                  </w:tcBorders>
                  <w:noWrap w:val="0"/>
                  <w:vAlign w:val="center"/>
                </w:tcPr>
                <w:p w14:paraId="0C3C48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达标</w:t>
                  </w:r>
                </w:p>
              </w:tc>
            </w:tr>
            <w:tr w14:paraId="6D98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nil"/>
                    <w:tr2bl w:val="nil"/>
                  </w:tcBorders>
                  <w:noWrap w:val="0"/>
                  <w:vAlign w:val="center"/>
                </w:tcPr>
                <w:p w14:paraId="207843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2023.11.16</w:t>
                  </w:r>
                </w:p>
              </w:tc>
              <w:tc>
                <w:tcPr>
                  <w:tcW w:w="1248" w:type="dxa"/>
                  <w:tcBorders>
                    <w:tl2br w:val="nil"/>
                    <w:tr2bl w:val="nil"/>
                  </w:tcBorders>
                  <w:noWrap w:val="0"/>
                  <w:vAlign w:val="center"/>
                </w:tcPr>
                <w:p w14:paraId="4C500B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24小时值</w:t>
                  </w:r>
                </w:p>
              </w:tc>
              <w:tc>
                <w:tcPr>
                  <w:tcW w:w="3036" w:type="dxa"/>
                  <w:tcBorders>
                    <w:tl2br w:val="nil"/>
                    <w:tr2bl w:val="nil"/>
                  </w:tcBorders>
                  <w:noWrap w:val="0"/>
                  <w:vAlign w:val="center"/>
                </w:tcPr>
                <w:p w14:paraId="1CA7E5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WT202379HQ03-TSP-005</w:t>
                  </w:r>
                </w:p>
              </w:tc>
              <w:tc>
                <w:tcPr>
                  <w:tcW w:w="857" w:type="dxa"/>
                  <w:tcBorders>
                    <w:tl2br w:val="nil"/>
                    <w:tr2bl w:val="nil"/>
                  </w:tcBorders>
                  <w:noWrap w:val="0"/>
                  <w:vAlign w:val="center"/>
                </w:tcPr>
                <w:p w14:paraId="048604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220</w:t>
                  </w:r>
                </w:p>
              </w:tc>
              <w:tc>
                <w:tcPr>
                  <w:tcW w:w="750" w:type="dxa"/>
                  <w:vMerge w:val="continue"/>
                  <w:tcBorders>
                    <w:tl2br w:val="nil"/>
                    <w:tr2bl w:val="nil"/>
                  </w:tcBorders>
                  <w:noWrap w:val="0"/>
                  <w:vAlign w:val="center"/>
                </w:tcPr>
                <w:p w14:paraId="1B9AD3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753" w:type="dxa"/>
                  <w:tcBorders>
                    <w:tl2br w:val="nil"/>
                    <w:tr2bl w:val="nil"/>
                  </w:tcBorders>
                  <w:noWrap w:val="0"/>
                  <w:vAlign w:val="center"/>
                </w:tcPr>
                <w:p w14:paraId="381260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达标</w:t>
                  </w:r>
                </w:p>
              </w:tc>
            </w:tr>
            <w:tr w14:paraId="4315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nil"/>
                    <w:tr2bl w:val="nil"/>
                  </w:tcBorders>
                  <w:noWrap w:val="0"/>
                  <w:vAlign w:val="center"/>
                </w:tcPr>
                <w:p w14:paraId="1FD8BC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2023.11.17</w:t>
                  </w:r>
                </w:p>
              </w:tc>
              <w:tc>
                <w:tcPr>
                  <w:tcW w:w="1248" w:type="dxa"/>
                  <w:tcBorders>
                    <w:tl2br w:val="nil"/>
                    <w:tr2bl w:val="nil"/>
                  </w:tcBorders>
                  <w:noWrap w:val="0"/>
                  <w:vAlign w:val="center"/>
                </w:tcPr>
                <w:p w14:paraId="5C7E6A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24小时值</w:t>
                  </w:r>
                </w:p>
              </w:tc>
              <w:tc>
                <w:tcPr>
                  <w:tcW w:w="3036" w:type="dxa"/>
                  <w:tcBorders>
                    <w:tl2br w:val="nil"/>
                    <w:tr2bl w:val="nil"/>
                  </w:tcBorders>
                  <w:noWrap w:val="0"/>
                  <w:vAlign w:val="center"/>
                </w:tcPr>
                <w:p w14:paraId="4E65E2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WT202379HQ03-TSP-006</w:t>
                  </w:r>
                </w:p>
              </w:tc>
              <w:tc>
                <w:tcPr>
                  <w:tcW w:w="857" w:type="dxa"/>
                  <w:tcBorders>
                    <w:tl2br w:val="nil"/>
                    <w:tr2bl w:val="nil"/>
                  </w:tcBorders>
                  <w:noWrap w:val="0"/>
                  <w:vAlign w:val="center"/>
                </w:tcPr>
                <w:p w14:paraId="13F121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179</w:t>
                  </w:r>
                </w:p>
              </w:tc>
              <w:tc>
                <w:tcPr>
                  <w:tcW w:w="750" w:type="dxa"/>
                  <w:vMerge w:val="continue"/>
                  <w:tcBorders>
                    <w:tl2br w:val="nil"/>
                    <w:tr2bl w:val="nil"/>
                  </w:tcBorders>
                  <w:noWrap w:val="0"/>
                  <w:vAlign w:val="center"/>
                </w:tcPr>
                <w:p w14:paraId="569FF7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753" w:type="dxa"/>
                  <w:tcBorders>
                    <w:tl2br w:val="nil"/>
                    <w:tr2bl w:val="nil"/>
                  </w:tcBorders>
                  <w:noWrap w:val="0"/>
                  <w:vAlign w:val="center"/>
                </w:tcPr>
                <w:p w14:paraId="6C94CF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达标</w:t>
                  </w:r>
                </w:p>
              </w:tc>
            </w:tr>
            <w:tr w14:paraId="7FE7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nil"/>
                    <w:tr2bl w:val="nil"/>
                  </w:tcBorders>
                  <w:noWrap w:val="0"/>
                  <w:vAlign w:val="center"/>
                </w:tcPr>
                <w:p w14:paraId="014483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2023.11.18</w:t>
                  </w:r>
                </w:p>
              </w:tc>
              <w:tc>
                <w:tcPr>
                  <w:tcW w:w="1248" w:type="dxa"/>
                  <w:tcBorders>
                    <w:tl2br w:val="nil"/>
                    <w:tr2bl w:val="nil"/>
                  </w:tcBorders>
                  <w:noWrap w:val="0"/>
                  <w:vAlign w:val="center"/>
                </w:tcPr>
                <w:p w14:paraId="72F65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24小时值</w:t>
                  </w:r>
                </w:p>
              </w:tc>
              <w:tc>
                <w:tcPr>
                  <w:tcW w:w="3036" w:type="dxa"/>
                  <w:tcBorders>
                    <w:tl2br w:val="nil"/>
                    <w:tr2bl w:val="nil"/>
                  </w:tcBorders>
                  <w:noWrap w:val="0"/>
                  <w:vAlign w:val="center"/>
                </w:tcPr>
                <w:p w14:paraId="433EE1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WT202379HQ03-TSP-007</w:t>
                  </w:r>
                </w:p>
              </w:tc>
              <w:tc>
                <w:tcPr>
                  <w:tcW w:w="857" w:type="dxa"/>
                  <w:tcBorders>
                    <w:tl2br w:val="nil"/>
                    <w:tr2bl w:val="nil"/>
                  </w:tcBorders>
                  <w:noWrap w:val="0"/>
                  <w:vAlign w:val="center"/>
                </w:tcPr>
                <w:p w14:paraId="78A480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188</w:t>
                  </w:r>
                </w:p>
              </w:tc>
              <w:tc>
                <w:tcPr>
                  <w:tcW w:w="750" w:type="dxa"/>
                  <w:vMerge w:val="continue"/>
                  <w:tcBorders>
                    <w:tl2br w:val="nil"/>
                    <w:tr2bl w:val="nil"/>
                  </w:tcBorders>
                  <w:noWrap w:val="0"/>
                  <w:vAlign w:val="center"/>
                </w:tcPr>
                <w:p w14:paraId="463CF0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p>
              </w:tc>
              <w:tc>
                <w:tcPr>
                  <w:tcW w:w="753" w:type="dxa"/>
                  <w:tcBorders>
                    <w:tl2br w:val="nil"/>
                    <w:tr2bl w:val="nil"/>
                  </w:tcBorders>
                  <w:noWrap w:val="0"/>
                  <w:vAlign w:val="center"/>
                </w:tcPr>
                <w:p w14:paraId="79FF6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达标</w:t>
                  </w:r>
                </w:p>
              </w:tc>
            </w:tr>
            <w:tr w14:paraId="6BF6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578" w:type="dxa"/>
                  <w:gridSpan w:val="2"/>
                  <w:tcBorders>
                    <w:tl2br w:val="nil"/>
                    <w:tr2bl w:val="nil"/>
                  </w:tcBorders>
                  <w:noWrap w:val="0"/>
                  <w:vAlign w:val="center"/>
                </w:tcPr>
                <w:p w14:paraId="15A6DF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备注</w:t>
                  </w:r>
                </w:p>
              </w:tc>
              <w:tc>
                <w:tcPr>
                  <w:tcW w:w="5396" w:type="dxa"/>
                  <w:gridSpan w:val="4"/>
                  <w:tcBorders>
                    <w:tl2br w:val="nil"/>
                    <w:tr2bl w:val="nil"/>
                  </w:tcBorders>
                  <w:noWrap w:val="0"/>
                  <w:vAlign w:val="center"/>
                </w:tcPr>
                <w:p w14:paraId="49EA55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参考标准：《环境空气质量标准》（GB3095-2012）表2中总悬浮颗粒物24小时平均二级浓度限值要求</w:t>
                  </w:r>
                </w:p>
              </w:tc>
            </w:tr>
          </w:tbl>
          <w:p w14:paraId="10E099D0">
            <w:pPr>
              <w:adjustRightInd w:val="0"/>
              <w:snapToGrid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表3-5环境空气监测结果（2）</w:t>
            </w:r>
          </w:p>
          <w:tbl>
            <w:tblPr>
              <w:tblStyle w:val="27"/>
              <w:tblW w:w="7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928"/>
              <w:gridCol w:w="3304"/>
              <w:gridCol w:w="1033"/>
              <w:gridCol w:w="701"/>
              <w:gridCol w:w="698"/>
            </w:tblGrid>
            <w:tr w14:paraId="67D1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8" w:type="dxa"/>
                  <w:gridSpan w:val="2"/>
                  <w:tcBorders>
                    <w:tl2br w:val="nil"/>
                    <w:tr2bl w:val="nil"/>
                  </w:tcBorders>
                  <w:noWrap w:val="0"/>
                  <w:vAlign w:val="center"/>
                </w:tcPr>
                <w:p w14:paraId="53F27A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检测点位</w:t>
                  </w:r>
                </w:p>
              </w:tc>
              <w:tc>
                <w:tcPr>
                  <w:tcW w:w="5736" w:type="dxa"/>
                  <w:gridSpan w:val="4"/>
                  <w:tcBorders>
                    <w:tl2br w:val="nil"/>
                    <w:tr2bl w:val="nil"/>
                  </w:tcBorders>
                  <w:noWrap w:val="0"/>
                  <w:vAlign w:val="center"/>
                </w:tcPr>
                <w:p w14:paraId="75B811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引用点位于厂址东南侧950m处</w:t>
                  </w:r>
                </w:p>
                <w:p w14:paraId="526D6F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E109°49′20.27″，N39°31′45.14″</w:t>
                  </w:r>
                </w:p>
              </w:tc>
            </w:tr>
            <w:tr w14:paraId="55E4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8" w:type="dxa"/>
                  <w:gridSpan w:val="2"/>
                  <w:tcBorders>
                    <w:tl2br w:val="nil"/>
                    <w:tr2bl w:val="nil"/>
                  </w:tcBorders>
                  <w:noWrap w:val="0"/>
                  <w:vAlign w:val="center"/>
                </w:tcPr>
                <w:p w14:paraId="3D88CD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检测项目</w:t>
                  </w:r>
                </w:p>
              </w:tc>
              <w:tc>
                <w:tcPr>
                  <w:tcW w:w="5736" w:type="dxa"/>
                  <w:gridSpan w:val="4"/>
                  <w:tcBorders>
                    <w:tl2br w:val="nil"/>
                    <w:tr2bl w:val="nil"/>
                  </w:tcBorders>
                  <w:noWrap w:val="0"/>
                  <w:vAlign w:val="center"/>
                </w:tcPr>
                <w:p w14:paraId="4033D3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非甲烷总烃（单位：mg/m³）</w:t>
                  </w:r>
                </w:p>
              </w:tc>
            </w:tr>
            <w:tr w14:paraId="2D58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8" w:type="dxa"/>
                  <w:gridSpan w:val="2"/>
                  <w:tcBorders>
                    <w:tl2br w:val="nil"/>
                    <w:tr2bl w:val="nil"/>
                  </w:tcBorders>
                  <w:noWrap w:val="0"/>
                  <w:vAlign w:val="center"/>
                </w:tcPr>
                <w:p w14:paraId="3060D1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采样时间</w:t>
                  </w:r>
                </w:p>
              </w:tc>
              <w:tc>
                <w:tcPr>
                  <w:tcW w:w="3304" w:type="dxa"/>
                  <w:tcBorders>
                    <w:tl2br w:val="nil"/>
                    <w:tr2bl w:val="nil"/>
                  </w:tcBorders>
                  <w:noWrap w:val="0"/>
                  <w:vAlign w:val="center"/>
                </w:tcPr>
                <w:p w14:paraId="512C70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样品编号</w:t>
                  </w:r>
                </w:p>
              </w:tc>
              <w:tc>
                <w:tcPr>
                  <w:tcW w:w="1033" w:type="dxa"/>
                  <w:tcBorders>
                    <w:tl2br w:val="nil"/>
                    <w:tr2bl w:val="nil"/>
                  </w:tcBorders>
                  <w:noWrap w:val="0"/>
                  <w:vAlign w:val="center"/>
                </w:tcPr>
                <w:p w14:paraId="5DA58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检测结果</w:t>
                  </w:r>
                </w:p>
              </w:tc>
              <w:tc>
                <w:tcPr>
                  <w:tcW w:w="701" w:type="dxa"/>
                  <w:tcBorders>
                    <w:tl2br w:val="nil"/>
                    <w:tr2bl w:val="nil"/>
                  </w:tcBorders>
                  <w:noWrap w:val="0"/>
                  <w:vAlign w:val="center"/>
                </w:tcPr>
                <w:p w14:paraId="27C26F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执行标准限值</w:t>
                  </w:r>
                </w:p>
              </w:tc>
              <w:tc>
                <w:tcPr>
                  <w:tcW w:w="698" w:type="dxa"/>
                  <w:tcBorders>
                    <w:tl2br w:val="nil"/>
                    <w:tr2bl w:val="nil"/>
                  </w:tcBorders>
                  <w:noWrap w:val="0"/>
                  <w:vAlign w:val="center"/>
                </w:tcPr>
                <w:p w14:paraId="4F6C49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评价结论</w:t>
                  </w:r>
                </w:p>
              </w:tc>
            </w:tr>
            <w:tr w14:paraId="2452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restart"/>
                  <w:tcBorders>
                    <w:tl2br w:val="nil"/>
                    <w:tr2bl w:val="nil"/>
                  </w:tcBorders>
                  <w:noWrap w:val="0"/>
                  <w:vAlign w:val="center"/>
                </w:tcPr>
                <w:p w14:paraId="5A5EB1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2023.11.12</w:t>
                  </w:r>
                </w:p>
              </w:tc>
              <w:tc>
                <w:tcPr>
                  <w:tcW w:w="928" w:type="dxa"/>
                  <w:tcBorders>
                    <w:tl2br w:val="nil"/>
                    <w:tr2bl w:val="nil"/>
                  </w:tcBorders>
                  <w:noWrap w:val="0"/>
                  <w:vAlign w:val="center"/>
                </w:tcPr>
                <w:p w14:paraId="753170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02:00</w:t>
                  </w:r>
                </w:p>
              </w:tc>
              <w:tc>
                <w:tcPr>
                  <w:tcW w:w="3304" w:type="dxa"/>
                  <w:tcBorders>
                    <w:tl2br w:val="nil"/>
                    <w:tr2bl w:val="nil"/>
                  </w:tcBorders>
                  <w:noWrap w:val="0"/>
                  <w:vAlign w:val="center"/>
                </w:tcPr>
                <w:p w14:paraId="358DEB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WT202379HQ03-FZ-001～004</w:t>
                  </w:r>
                </w:p>
              </w:tc>
              <w:tc>
                <w:tcPr>
                  <w:tcW w:w="1033" w:type="dxa"/>
                  <w:tcBorders>
                    <w:tl2br w:val="nil"/>
                    <w:tr2bl w:val="nil"/>
                  </w:tcBorders>
                  <w:noWrap w:val="0"/>
                  <w:vAlign w:val="center"/>
                </w:tcPr>
                <w:p w14:paraId="13B61C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restart"/>
                  <w:tcBorders>
                    <w:tl2br w:val="nil"/>
                    <w:tr2bl w:val="nil"/>
                  </w:tcBorders>
                  <w:noWrap w:val="0"/>
                  <w:vAlign w:val="center"/>
                </w:tcPr>
                <w:p w14:paraId="400416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w:t>
                  </w:r>
                </w:p>
              </w:tc>
              <w:tc>
                <w:tcPr>
                  <w:tcW w:w="698" w:type="dxa"/>
                  <w:tcBorders>
                    <w:tl2br w:val="nil"/>
                    <w:tr2bl w:val="nil"/>
                  </w:tcBorders>
                  <w:noWrap w:val="0"/>
                  <w:vAlign w:val="center"/>
                </w:tcPr>
                <w:p w14:paraId="078736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270B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28B29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7B84B2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08:00</w:t>
                  </w:r>
                </w:p>
              </w:tc>
              <w:tc>
                <w:tcPr>
                  <w:tcW w:w="3304" w:type="dxa"/>
                  <w:tcBorders>
                    <w:tl2br w:val="nil"/>
                    <w:tr2bl w:val="nil"/>
                  </w:tcBorders>
                  <w:noWrap w:val="0"/>
                  <w:vAlign w:val="center"/>
                </w:tcPr>
                <w:p w14:paraId="1A450B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WT202379HQ03-FZ-005～008</w:t>
                  </w:r>
                </w:p>
              </w:tc>
              <w:tc>
                <w:tcPr>
                  <w:tcW w:w="1033" w:type="dxa"/>
                  <w:tcBorders>
                    <w:tl2br w:val="nil"/>
                    <w:tr2bl w:val="nil"/>
                  </w:tcBorders>
                  <w:noWrap w:val="0"/>
                  <w:vAlign w:val="center"/>
                </w:tcPr>
                <w:p w14:paraId="15BDD0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2D705E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57843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788D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000A36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0C45A5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14:00</w:t>
                  </w:r>
                </w:p>
              </w:tc>
              <w:tc>
                <w:tcPr>
                  <w:tcW w:w="3304" w:type="dxa"/>
                  <w:tcBorders>
                    <w:tl2br w:val="nil"/>
                    <w:tr2bl w:val="nil"/>
                  </w:tcBorders>
                  <w:noWrap w:val="0"/>
                  <w:vAlign w:val="center"/>
                </w:tcPr>
                <w:p w14:paraId="5DA97A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WT202379HQ03-FZ-009～012</w:t>
                  </w:r>
                </w:p>
              </w:tc>
              <w:tc>
                <w:tcPr>
                  <w:tcW w:w="1033" w:type="dxa"/>
                  <w:tcBorders>
                    <w:tl2br w:val="nil"/>
                    <w:tr2bl w:val="nil"/>
                  </w:tcBorders>
                  <w:noWrap w:val="0"/>
                  <w:vAlign w:val="center"/>
                </w:tcPr>
                <w:p w14:paraId="1ED45E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5569D2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34F621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53B4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31D210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12557C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20:00</w:t>
                  </w:r>
                </w:p>
              </w:tc>
              <w:tc>
                <w:tcPr>
                  <w:tcW w:w="3304" w:type="dxa"/>
                  <w:tcBorders>
                    <w:tl2br w:val="nil"/>
                    <w:tr2bl w:val="nil"/>
                  </w:tcBorders>
                  <w:noWrap w:val="0"/>
                  <w:vAlign w:val="center"/>
                </w:tcPr>
                <w:p w14:paraId="04135C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WT202379HQ03-FZ-013～016</w:t>
                  </w:r>
                </w:p>
              </w:tc>
              <w:tc>
                <w:tcPr>
                  <w:tcW w:w="1033" w:type="dxa"/>
                  <w:tcBorders>
                    <w:tl2br w:val="nil"/>
                    <w:tr2bl w:val="nil"/>
                  </w:tcBorders>
                  <w:noWrap w:val="0"/>
                  <w:vAlign w:val="center"/>
                </w:tcPr>
                <w:p w14:paraId="36FC24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56BD21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0CC5D5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5A8E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restart"/>
                  <w:tcBorders>
                    <w:tl2br w:val="nil"/>
                    <w:tr2bl w:val="nil"/>
                  </w:tcBorders>
                  <w:noWrap w:val="0"/>
                  <w:vAlign w:val="center"/>
                </w:tcPr>
                <w:p w14:paraId="24C8ED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2023.11.13</w:t>
                  </w:r>
                </w:p>
              </w:tc>
              <w:tc>
                <w:tcPr>
                  <w:tcW w:w="928" w:type="dxa"/>
                  <w:tcBorders>
                    <w:tl2br w:val="nil"/>
                    <w:tr2bl w:val="nil"/>
                  </w:tcBorders>
                  <w:noWrap w:val="0"/>
                  <w:vAlign w:val="center"/>
                </w:tcPr>
                <w:p w14:paraId="09E677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02:00</w:t>
                  </w:r>
                </w:p>
              </w:tc>
              <w:tc>
                <w:tcPr>
                  <w:tcW w:w="3304" w:type="dxa"/>
                  <w:tcBorders>
                    <w:tl2br w:val="nil"/>
                    <w:tr2bl w:val="nil"/>
                  </w:tcBorders>
                  <w:noWrap w:val="0"/>
                  <w:vAlign w:val="center"/>
                </w:tcPr>
                <w:p w14:paraId="501224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WT202379HQ03-FZ-017～020</w:t>
                  </w:r>
                </w:p>
              </w:tc>
              <w:tc>
                <w:tcPr>
                  <w:tcW w:w="1033" w:type="dxa"/>
                  <w:tcBorders>
                    <w:tl2br w:val="nil"/>
                    <w:tr2bl w:val="nil"/>
                  </w:tcBorders>
                  <w:noWrap w:val="0"/>
                  <w:vAlign w:val="center"/>
                </w:tcPr>
                <w:p w14:paraId="3B7DC6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731B68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216D41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317B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0ABC52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0DA9A2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08:00</w:t>
                  </w:r>
                </w:p>
              </w:tc>
              <w:tc>
                <w:tcPr>
                  <w:tcW w:w="3304" w:type="dxa"/>
                  <w:tcBorders>
                    <w:tl2br w:val="nil"/>
                    <w:tr2bl w:val="nil"/>
                  </w:tcBorders>
                  <w:noWrap w:val="0"/>
                  <w:vAlign w:val="center"/>
                </w:tcPr>
                <w:p w14:paraId="0728D4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WT202379HQ03-FZ-021～024</w:t>
                  </w:r>
                </w:p>
              </w:tc>
              <w:tc>
                <w:tcPr>
                  <w:tcW w:w="1033" w:type="dxa"/>
                  <w:tcBorders>
                    <w:tl2br w:val="nil"/>
                    <w:tr2bl w:val="nil"/>
                  </w:tcBorders>
                  <w:noWrap w:val="0"/>
                  <w:vAlign w:val="center"/>
                </w:tcPr>
                <w:p w14:paraId="73E6FA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0.24</w:t>
                  </w:r>
                </w:p>
              </w:tc>
              <w:tc>
                <w:tcPr>
                  <w:tcW w:w="701" w:type="dxa"/>
                  <w:vMerge w:val="continue"/>
                  <w:tcBorders>
                    <w:tl2br w:val="nil"/>
                    <w:tr2bl w:val="nil"/>
                  </w:tcBorders>
                  <w:noWrap w:val="0"/>
                  <w:vAlign w:val="center"/>
                </w:tcPr>
                <w:p w14:paraId="3BE747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459142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6D59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15C608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7D0DF2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14:00</w:t>
                  </w:r>
                </w:p>
              </w:tc>
              <w:tc>
                <w:tcPr>
                  <w:tcW w:w="3304" w:type="dxa"/>
                  <w:tcBorders>
                    <w:tl2br w:val="nil"/>
                    <w:tr2bl w:val="nil"/>
                  </w:tcBorders>
                  <w:noWrap w:val="0"/>
                  <w:vAlign w:val="center"/>
                </w:tcPr>
                <w:p w14:paraId="5F5299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WT202379HQ03-FZ-025～028</w:t>
                  </w:r>
                </w:p>
              </w:tc>
              <w:tc>
                <w:tcPr>
                  <w:tcW w:w="1033" w:type="dxa"/>
                  <w:tcBorders>
                    <w:tl2br w:val="nil"/>
                    <w:tr2bl w:val="nil"/>
                  </w:tcBorders>
                  <w:noWrap w:val="0"/>
                  <w:vAlign w:val="center"/>
                </w:tcPr>
                <w:p w14:paraId="2B1A71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0.26</w:t>
                  </w:r>
                </w:p>
              </w:tc>
              <w:tc>
                <w:tcPr>
                  <w:tcW w:w="701" w:type="dxa"/>
                  <w:vMerge w:val="continue"/>
                  <w:tcBorders>
                    <w:tl2br w:val="nil"/>
                    <w:tr2bl w:val="nil"/>
                  </w:tcBorders>
                  <w:noWrap w:val="0"/>
                  <w:vAlign w:val="center"/>
                </w:tcPr>
                <w:p w14:paraId="702714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3E0051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5EB3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256C3C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6EC1EF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20:00</w:t>
                  </w:r>
                </w:p>
              </w:tc>
              <w:tc>
                <w:tcPr>
                  <w:tcW w:w="3304" w:type="dxa"/>
                  <w:tcBorders>
                    <w:tl2br w:val="nil"/>
                    <w:tr2bl w:val="nil"/>
                  </w:tcBorders>
                  <w:noWrap w:val="0"/>
                  <w:vAlign w:val="center"/>
                </w:tcPr>
                <w:p w14:paraId="3FE58F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WT202379HQ03-FZ-029～032</w:t>
                  </w:r>
                </w:p>
              </w:tc>
              <w:tc>
                <w:tcPr>
                  <w:tcW w:w="1033" w:type="dxa"/>
                  <w:tcBorders>
                    <w:tl2br w:val="nil"/>
                    <w:tr2bl w:val="nil"/>
                  </w:tcBorders>
                  <w:noWrap w:val="0"/>
                  <w:vAlign w:val="center"/>
                </w:tcPr>
                <w:p w14:paraId="2E86AF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0.24</w:t>
                  </w:r>
                </w:p>
              </w:tc>
              <w:tc>
                <w:tcPr>
                  <w:tcW w:w="701" w:type="dxa"/>
                  <w:vMerge w:val="continue"/>
                  <w:tcBorders>
                    <w:tl2br w:val="nil"/>
                    <w:tr2bl w:val="nil"/>
                  </w:tcBorders>
                  <w:noWrap w:val="0"/>
                  <w:vAlign w:val="center"/>
                </w:tcPr>
                <w:p w14:paraId="3FABA3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298749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0E2B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restart"/>
                  <w:tcBorders>
                    <w:tl2br w:val="nil"/>
                    <w:tr2bl w:val="nil"/>
                  </w:tcBorders>
                  <w:noWrap w:val="0"/>
                  <w:vAlign w:val="center"/>
                </w:tcPr>
                <w:p w14:paraId="6E50A3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2023.11.14</w:t>
                  </w:r>
                </w:p>
              </w:tc>
              <w:tc>
                <w:tcPr>
                  <w:tcW w:w="928" w:type="dxa"/>
                  <w:tcBorders>
                    <w:tl2br w:val="nil"/>
                    <w:tr2bl w:val="nil"/>
                  </w:tcBorders>
                  <w:noWrap w:val="0"/>
                  <w:vAlign w:val="center"/>
                </w:tcPr>
                <w:p w14:paraId="2A7769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02:00</w:t>
                  </w:r>
                </w:p>
              </w:tc>
              <w:tc>
                <w:tcPr>
                  <w:tcW w:w="3304" w:type="dxa"/>
                  <w:tcBorders>
                    <w:tl2br w:val="nil"/>
                    <w:tr2bl w:val="nil"/>
                  </w:tcBorders>
                  <w:noWrap w:val="0"/>
                  <w:vAlign w:val="center"/>
                </w:tcPr>
                <w:p w14:paraId="3D7980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WT202379HQ03-FZ-033～036</w:t>
                  </w:r>
                </w:p>
              </w:tc>
              <w:tc>
                <w:tcPr>
                  <w:tcW w:w="1033" w:type="dxa"/>
                  <w:tcBorders>
                    <w:tl2br w:val="nil"/>
                    <w:tr2bl w:val="nil"/>
                  </w:tcBorders>
                  <w:noWrap w:val="0"/>
                  <w:vAlign w:val="center"/>
                </w:tcPr>
                <w:p w14:paraId="6528FB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7D4AE7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6BE0B0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1917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7AF41D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799562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08:00</w:t>
                  </w:r>
                </w:p>
              </w:tc>
              <w:tc>
                <w:tcPr>
                  <w:tcW w:w="3304" w:type="dxa"/>
                  <w:tcBorders>
                    <w:tl2br w:val="nil"/>
                    <w:tr2bl w:val="nil"/>
                  </w:tcBorders>
                  <w:noWrap w:val="0"/>
                  <w:vAlign w:val="center"/>
                </w:tcPr>
                <w:p w14:paraId="3EE2FF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WT202379HQ03-FZ-037～040</w:t>
                  </w:r>
                </w:p>
              </w:tc>
              <w:tc>
                <w:tcPr>
                  <w:tcW w:w="1033" w:type="dxa"/>
                  <w:tcBorders>
                    <w:tl2br w:val="nil"/>
                    <w:tr2bl w:val="nil"/>
                  </w:tcBorders>
                  <w:noWrap w:val="0"/>
                  <w:vAlign w:val="center"/>
                </w:tcPr>
                <w:p w14:paraId="4DE47A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5B4A22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0A2A66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539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3C7A37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19959E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14:00</w:t>
                  </w:r>
                </w:p>
              </w:tc>
              <w:tc>
                <w:tcPr>
                  <w:tcW w:w="3304" w:type="dxa"/>
                  <w:tcBorders>
                    <w:tl2br w:val="nil"/>
                    <w:tr2bl w:val="nil"/>
                  </w:tcBorders>
                  <w:noWrap w:val="0"/>
                  <w:vAlign w:val="center"/>
                </w:tcPr>
                <w:p w14:paraId="27B4A3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WT202379HQ03-FZ-041～044</w:t>
                  </w:r>
                </w:p>
              </w:tc>
              <w:tc>
                <w:tcPr>
                  <w:tcW w:w="1033" w:type="dxa"/>
                  <w:tcBorders>
                    <w:tl2br w:val="nil"/>
                    <w:tr2bl w:val="nil"/>
                  </w:tcBorders>
                  <w:noWrap w:val="0"/>
                  <w:vAlign w:val="center"/>
                </w:tcPr>
                <w:p w14:paraId="7A131F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26D980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08CAD3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1B9A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2A6396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44EA9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20:00</w:t>
                  </w:r>
                </w:p>
              </w:tc>
              <w:tc>
                <w:tcPr>
                  <w:tcW w:w="3304" w:type="dxa"/>
                  <w:tcBorders>
                    <w:tl2br w:val="nil"/>
                    <w:tr2bl w:val="nil"/>
                  </w:tcBorders>
                  <w:noWrap w:val="0"/>
                  <w:vAlign w:val="center"/>
                </w:tcPr>
                <w:p w14:paraId="7CAB7C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WT202379HQ03-FZ-045～048</w:t>
                  </w:r>
                </w:p>
              </w:tc>
              <w:tc>
                <w:tcPr>
                  <w:tcW w:w="1033" w:type="dxa"/>
                  <w:tcBorders>
                    <w:tl2br w:val="nil"/>
                    <w:tr2bl w:val="nil"/>
                  </w:tcBorders>
                  <w:noWrap w:val="0"/>
                  <w:vAlign w:val="center"/>
                </w:tcPr>
                <w:p w14:paraId="632E4D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6BB648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4149B1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023A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restart"/>
                  <w:tcBorders>
                    <w:tl2br w:val="nil"/>
                    <w:tr2bl w:val="nil"/>
                  </w:tcBorders>
                  <w:noWrap w:val="0"/>
                  <w:vAlign w:val="center"/>
                </w:tcPr>
                <w:p w14:paraId="40502F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2023.11.15</w:t>
                  </w:r>
                </w:p>
              </w:tc>
              <w:tc>
                <w:tcPr>
                  <w:tcW w:w="928" w:type="dxa"/>
                  <w:tcBorders>
                    <w:tl2br w:val="nil"/>
                    <w:tr2bl w:val="nil"/>
                  </w:tcBorders>
                  <w:noWrap w:val="0"/>
                  <w:vAlign w:val="center"/>
                </w:tcPr>
                <w:p w14:paraId="0B481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02:00</w:t>
                  </w:r>
                </w:p>
              </w:tc>
              <w:tc>
                <w:tcPr>
                  <w:tcW w:w="3304" w:type="dxa"/>
                  <w:tcBorders>
                    <w:tl2br w:val="nil"/>
                    <w:tr2bl w:val="nil"/>
                  </w:tcBorders>
                  <w:noWrap w:val="0"/>
                  <w:vAlign w:val="center"/>
                </w:tcPr>
                <w:p w14:paraId="2E52FB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WT202379HQ03-FZ-049～052</w:t>
                  </w:r>
                </w:p>
              </w:tc>
              <w:tc>
                <w:tcPr>
                  <w:tcW w:w="1033" w:type="dxa"/>
                  <w:tcBorders>
                    <w:tl2br w:val="nil"/>
                    <w:tr2bl w:val="nil"/>
                  </w:tcBorders>
                  <w:noWrap w:val="0"/>
                  <w:vAlign w:val="center"/>
                </w:tcPr>
                <w:p w14:paraId="4D7D91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40E9A3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65C110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7026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767527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4FA453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08:00</w:t>
                  </w:r>
                </w:p>
              </w:tc>
              <w:tc>
                <w:tcPr>
                  <w:tcW w:w="3304" w:type="dxa"/>
                  <w:tcBorders>
                    <w:tl2br w:val="nil"/>
                    <w:tr2bl w:val="nil"/>
                  </w:tcBorders>
                  <w:noWrap w:val="0"/>
                  <w:vAlign w:val="center"/>
                </w:tcPr>
                <w:p w14:paraId="550630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WT202379HQ03-FZ-053～056</w:t>
                  </w:r>
                </w:p>
              </w:tc>
              <w:tc>
                <w:tcPr>
                  <w:tcW w:w="1033" w:type="dxa"/>
                  <w:tcBorders>
                    <w:tl2br w:val="nil"/>
                    <w:tr2bl w:val="nil"/>
                  </w:tcBorders>
                  <w:noWrap w:val="0"/>
                  <w:vAlign w:val="center"/>
                </w:tcPr>
                <w:p w14:paraId="40CA8A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01A451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6372A8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3454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772B39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2EDC32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14:00</w:t>
                  </w:r>
                </w:p>
              </w:tc>
              <w:tc>
                <w:tcPr>
                  <w:tcW w:w="3304" w:type="dxa"/>
                  <w:tcBorders>
                    <w:tl2br w:val="nil"/>
                    <w:tr2bl w:val="nil"/>
                  </w:tcBorders>
                  <w:noWrap w:val="0"/>
                  <w:vAlign w:val="center"/>
                </w:tcPr>
                <w:p w14:paraId="773BA0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WT202379HQ03-FZ-057～060</w:t>
                  </w:r>
                </w:p>
              </w:tc>
              <w:tc>
                <w:tcPr>
                  <w:tcW w:w="1033" w:type="dxa"/>
                  <w:tcBorders>
                    <w:tl2br w:val="nil"/>
                    <w:tr2bl w:val="nil"/>
                  </w:tcBorders>
                  <w:noWrap w:val="0"/>
                  <w:vAlign w:val="center"/>
                </w:tcPr>
                <w:p w14:paraId="3CC53F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4C2337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53D83C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4BFE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692B37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7C2A3B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20:00</w:t>
                  </w:r>
                </w:p>
              </w:tc>
              <w:tc>
                <w:tcPr>
                  <w:tcW w:w="3304" w:type="dxa"/>
                  <w:tcBorders>
                    <w:tl2br w:val="nil"/>
                    <w:tr2bl w:val="nil"/>
                  </w:tcBorders>
                  <w:noWrap w:val="0"/>
                  <w:vAlign w:val="center"/>
                </w:tcPr>
                <w:p w14:paraId="3DFC26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WT202379HQ03-FZ-061～064</w:t>
                  </w:r>
                </w:p>
              </w:tc>
              <w:tc>
                <w:tcPr>
                  <w:tcW w:w="1033" w:type="dxa"/>
                  <w:tcBorders>
                    <w:tl2br w:val="nil"/>
                    <w:tr2bl w:val="nil"/>
                  </w:tcBorders>
                  <w:noWrap w:val="0"/>
                  <w:vAlign w:val="center"/>
                </w:tcPr>
                <w:p w14:paraId="6AC366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3ED543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6AE061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49EE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restart"/>
                  <w:tcBorders>
                    <w:tl2br w:val="nil"/>
                    <w:tr2bl w:val="nil"/>
                  </w:tcBorders>
                  <w:noWrap w:val="0"/>
                  <w:vAlign w:val="center"/>
                </w:tcPr>
                <w:p w14:paraId="3B3B2D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2023.11.16</w:t>
                  </w:r>
                </w:p>
              </w:tc>
              <w:tc>
                <w:tcPr>
                  <w:tcW w:w="928" w:type="dxa"/>
                  <w:tcBorders>
                    <w:tl2br w:val="nil"/>
                    <w:tr2bl w:val="nil"/>
                  </w:tcBorders>
                  <w:noWrap w:val="0"/>
                  <w:vAlign w:val="center"/>
                </w:tcPr>
                <w:p w14:paraId="493F91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02:00</w:t>
                  </w:r>
                </w:p>
              </w:tc>
              <w:tc>
                <w:tcPr>
                  <w:tcW w:w="3304" w:type="dxa"/>
                  <w:tcBorders>
                    <w:tl2br w:val="nil"/>
                    <w:tr2bl w:val="nil"/>
                  </w:tcBorders>
                  <w:noWrap w:val="0"/>
                  <w:vAlign w:val="center"/>
                </w:tcPr>
                <w:p w14:paraId="78F17A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WT202379HQ03-FZ-065～068</w:t>
                  </w:r>
                </w:p>
              </w:tc>
              <w:tc>
                <w:tcPr>
                  <w:tcW w:w="1033" w:type="dxa"/>
                  <w:tcBorders>
                    <w:tl2br w:val="nil"/>
                    <w:tr2bl w:val="nil"/>
                  </w:tcBorders>
                  <w:noWrap w:val="0"/>
                  <w:vAlign w:val="center"/>
                </w:tcPr>
                <w:p w14:paraId="195D9A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031F58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4DFA6F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1741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229E94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5CCCCE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08:00</w:t>
                  </w:r>
                </w:p>
              </w:tc>
              <w:tc>
                <w:tcPr>
                  <w:tcW w:w="3304" w:type="dxa"/>
                  <w:tcBorders>
                    <w:tl2br w:val="nil"/>
                    <w:tr2bl w:val="nil"/>
                  </w:tcBorders>
                  <w:noWrap w:val="0"/>
                  <w:vAlign w:val="center"/>
                </w:tcPr>
                <w:p w14:paraId="11E6BC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WT202379HQ03-FZ-069～072</w:t>
                  </w:r>
                </w:p>
              </w:tc>
              <w:tc>
                <w:tcPr>
                  <w:tcW w:w="1033" w:type="dxa"/>
                  <w:tcBorders>
                    <w:tl2br w:val="nil"/>
                    <w:tr2bl w:val="nil"/>
                  </w:tcBorders>
                  <w:noWrap w:val="0"/>
                  <w:vAlign w:val="center"/>
                </w:tcPr>
                <w:p w14:paraId="37A348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66CE7F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50CEAD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6419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17892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30D8A5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14:00</w:t>
                  </w:r>
                </w:p>
              </w:tc>
              <w:tc>
                <w:tcPr>
                  <w:tcW w:w="3304" w:type="dxa"/>
                  <w:tcBorders>
                    <w:tl2br w:val="nil"/>
                    <w:tr2bl w:val="nil"/>
                  </w:tcBorders>
                  <w:noWrap w:val="0"/>
                  <w:vAlign w:val="center"/>
                </w:tcPr>
                <w:p w14:paraId="6B8E9F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WT202379HQ03-FZ-073～076</w:t>
                  </w:r>
                </w:p>
              </w:tc>
              <w:tc>
                <w:tcPr>
                  <w:tcW w:w="1033" w:type="dxa"/>
                  <w:tcBorders>
                    <w:tl2br w:val="nil"/>
                    <w:tr2bl w:val="nil"/>
                  </w:tcBorders>
                  <w:noWrap w:val="0"/>
                  <w:vAlign w:val="center"/>
                </w:tcPr>
                <w:p w14:paraId="45F3D0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136DC5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49CBA1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1906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6AA439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7AB946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20:00</w:t>
                  </w:r>
                </w:p>
              </w:tc>
              <w:tc>
                <w:tcPr>
                  <w:tcW w:w="3304" w:type="dxa"/>
                  <w:tcBorders>
                    <w:tl2br w:val="nil"/>
                    <w:tr2bl w:val="nil"/>
                  </w:tcBorders>
                  <w:noWrap w:val="0"/>
                  <w:vAlign w:val="center"/>
                </w:tcPr>
                <w:p w14:paraId="219135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WT202379HQ03-FZ-077～080</w:t>
                  </w:r>
                </w:p>
              </w:tc>
              <w:tc>
                <w:tcPr>
                  <w:tcW w:w="1033" w:type="dxa"/>
                  <w:tcBorders>
                    <w:tl2br w:val="nil"/>
                    <w:tr2bl w:val="nil"/>
                  </w:tcBorders>
                  <w:noWrap w:val="0"/>
                  <w:vAlign w:val="center"/>
                </w:tcPr>
                <w:p w14:paraId="538DC3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0.24</w:t>
                  </w:r>
                </w:p>
              </w:tc>
              <w:tc>
                <w:tcPr>
                  <w:tcW w:w="701" w:type="dxa"/>
                  <w:vMerge w:val="continue"/>
                  <w:tcBorders>
                    <w:tl2br w:val="nil"/>
                    <w:tr2bl w:val="nil"/>
                  </w:tcBorders>
                  <w:noWrap w:val="0"/>
                  <w:vAlign w:val="center"/>
                </w:tcPr>
                <w:p w14:paraId="7D98FD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1DF11A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6089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restart"/>
                  <w:tcBorders>
                    <w:tl2br w:val="nil"/>
                    <w:tr2bl w:val="nil"/>
                  </w:tcBorders>
                  <w:noWrap w:val="0"/>
                  <w:vAlign w:val="center"/>
                </w:tcPr>
                <w:p w14:paraId="7F58C0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2023.11.17</w:t>
                  </w:r>
                </w:p>
              </w:tc>
              <w:tc>
                <w:tcPr>
                  <w:tcW w:w="928" w:type="dxa"/>
                  <w:tcBorders>
                    <w:tl2br w:val="nil"/>
                    <w:tr2bl w:val="nil"/>
                  </w:tcBorders>
                  <w:noWrap w:val="0"/>
                  <w:vAlign w:val="center"/>
                </w:tcPr>
                <w:p w14:paraId="570ABC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02:00</w:t>
                  </w:r>
                </w:p>
              </w:tc>
              <w:tc>
                <w:tcPr>
                  <w:tcW w:w="3304" w:type="dxa"/>
                  <w:tcBorders>
                    <w:tl2br w:val="nil"/>
                    <w:tr2bl w:val="nil"/>
                  </w:tcBorders>
                  <w:noWrap w:val="0"/>
                  <w:vAlign w:val="center"/>
                </w:tcPr>
                <w:p w14:paraId="48C04A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WT202379HQ03-FZ-081～084</w:t>
                  </w:r>
                </w:p>
              </w:tc>
              <w:tc>
                <w:tcPr>
                  <w:tcW w:w="1033" w:type="dxa"/>
                  <w:tcBorders>
                    <w:tl2br w:val="nil"/>
                    <w:tr2bl w:val="nil"/>
                  </w:tcBorders>
                  <w:noWrap w:val="0"/>
                  <w:vAlign w:val="center"/>
                </w:tcPr>
                <w:p w14:paraId="3EFB44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108145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6C6387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519B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0DDD9F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0EE706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08:00</w:t>
                  </w:r>
                </w:p>
              </w:tc>
              <w:tc>
                <w:tcPr>
                  <w:tcW w:w="3304" w:type="dxa"/>
                  <w:tcBorders>
                    <w:tl2br w:val="nil"/>
                    <w:tr2bl w:val="nil"/>
                  </w:tcBorders>
                  <w:noWrap w:val="0"/>
                  <w:vAlign w:val="center"/>
                </w:tcPr>
                <w:p w14:paraId="65033A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WT202379HQ03-FZ-085～088</w:t>
                  </w:r>
                </w:p>
              </w:tc>
              <w:tc>
                <w:tcPr>
                  <w:tcW w:w="1033" w:type="dxa"/>
                  <w:tcBorders>
                    <w:tl2br w:val="nil"/>
                    <w:tr2bl w:val="nil"/>
                  </w:tcBorders>
                  <w:noWrap w:val="0"/>
                  <w:vAlign w:val="center"/>
                </w:tcPr>
                <w:p w14:paraId="4AE4ED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5BF58E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63327B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7B71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119E80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49FF09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14:00</w:t>
                  </w:r>
                </w:p>
              </w:tc>
              <w:tc>
                <w:tcPr>
                  <w:tcW w:w="3304" w:type="dxa"/>
                  <w:tcBorders>
                    <w:tl2br w:val="nil"/>
                    <w:tr2bl w:val="nil"/>
                  </w:tcBorders>
                  <w:noWrap w:val="0"/>
                  <w:vAlign w:val="center"/>
                </w:tcPr>
                <w:p w14:paraId="0E63AA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WT202379HQ03-FZ-089～092</w:t>
                  </w:r>
                </w:p>
              </w:tc>
              <w:tc>
                <w:tcPr>
                  <w:tcW w:w="1033" w:type="dxa"/>
                  <w:tcBorders>
                    <w:tl2br w:val="nil"/>
                    <w:tr2bl w:val="nil"/>
                  </w:tcBorders>
                  <w:noWrap w:val="0"/>
                  <w:vAlign w:val="center"/>
                </w:tcPr>
                <w:p w14:paraId="3815E4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2286DB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3D15DB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5C37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13780D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26DC32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20:00</w:t>
                  </w:r>
                </w:p>
              </w:tc>
              <w:tc>
                <w:tcPr>
                  <w:tcW w:w="3304" w:type="dxa"/>
                  <w:tcBorders>
                    <w:tl2br w:val="nil"/>
                    <w:tr2bl w:val="nil"/>
                  </w:tcBorders>
                  <w:noWrap w:val="0"/>
                  <w:vAlign w:val="center"/>
                </w:tcPr>
                <w:p w14:paraId="2DF090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WT202379HQ03-FZ-093～096</w:t>
                  </w:r>
                </w:p>
              </w:tc>
              <w:tc>
                <w:tcPr>
                  <w:tcW w:w="1033" w:type="dxa"/>
                  <w:tcBorders>
                    <w:tl2br w:val="nil"/>
                    <w:tr2bl w:val="nil"/>
                  </w:tcBorders>
                  <w:noWrap w:val="0"/>
                  <w:vAlign w:val="center"/>
                </w:tcPr>
                <w:p w14:paraId="2E24CB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7B3CE4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793739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20E4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restart"/>
                  <w:tcBorders>
                    <w:tl2br w:val="nil"/>
                    <w:tr2bl w:val="nil"/>
                  </w:tcBorders>
                  <w:noWrap w:val="0"/>
                  <w:vAlign w:val="center"/>
                </w:tcPr>
                <w:p w14:paraId="2D6ED4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2023.11.18</w:t>
                  </w:r>
                </w:p>
              </w:tc>
              <w:tc>
                <w:tcPr>
                  <w:tcW w:w="928" w:type="dxa"/>
                  <w:tcBorders>
                    <w:tl2br w:val="nil"/>
                    <w:tr2bl w:val="nil"/>
                  </w:tcBorders>
                  <w:noWrap w:val="0"/>
                  <w:vAlign w:val="center"/>
                </w:tcPr>
                <w:p w14:paraId="113BE3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02:00</w:t>
                  </w:r>
                </w:p>
              </w:tc>
              <w:tc>
                <w:tcPr>
                  <w:tcW w:w="3304" w:type="dxa"/>
                  <w:tcBorders>
                    <w:tl2br w:val="nil"/>
                    <w:tr2bl w:val="nil"/>
                  </w:tcBorders>
                  <w:noWrap w:val="0"/>
                  <w:vAlign w:val="center"/>
                </w:tcPr>
                <w:p w14:paraId="59F63D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WT202379HQ03-FZ-097～100</w:t>
                  </w:r>
                </w:p>
              </w:tc>
              <w:tc>
                <w:tcPr>
                  <w:tcW w:w="1033" w:type="dxa"/>
                  <w:tcBorders>
                    <w:tl2br w:val="nil"/>
                    <w:tr2bl w:val="nil"/>
                  </w:tcBorders>
                  <w:noWrap w:val="0"/>
                  <w:vAlign w:val="center"/>
                </w:tcPr>
                <w:p w14:paraId="7A7E13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0CFCCE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02C00D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213F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1B84CF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7E929D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08:00</w:t>
                  </w:r>
                </w:p>
              </w:tc>
              <w:tc>
                <w:tcPr>
                  <w:tcW w:w="3304" w:type="dxa"/>
                  <w:tcBorders>
                    <w:tl2br w:val="nil"/>
                    <w:tr2bl w:val="nil"/>
                  </w:tcBorders>
                  <w:noWrap w:val="0"/>
                  <w:vAlign w:val="center"/>
                </w:tcPr>
                <w:p w14:paraId="698DDE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WT202379HQ03-FZ-101～104</w:t>
                  </w:r>
                </w:p>
              </w:tc>
              <w:tc>
                <w:tcPr>
                  <w:tcW w:w="1033" w:type="dxa"/>
                  <w:tcBorders>
                    <w:tl2br w:val="nil"/>
                    <w:tr2bl w:val="nil"/>
                  </w:tcBorders>
                  <w:noWrap w:val="0"/>
                  <w:vAlign w:val="center"/>
                </w:tcPr>
                <w:p w14:paraId="14F607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0.23</w:t>
                  </w:r>
                </w:p>
              </w:tc>
              <w:tc>
                <w:tcPr>
                  <w:tcW w:w="701" w:type="dxa"/>
                  <w:vMerge w:val="continue"/>
                  <w:tcBorders>
                    <w:tl2br w:val="nil"/>
                    <w:tr2bl w:val="nil"/>
                  </w:tcBorders>
                  <w:noWrap w:val="0"/>
                  <w:vAlign w:val="center"/>
                </w:tcPr>
                <w:p w14:paraId="7FD054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034101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4A62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2160C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555C93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14:00</w:t>
                  </w:r>
                </w:p>
              </w:tc>
              <w:tc>
                <w:tcPr>
                  <w:tcW w:w="3304" w:type="dxa"/>
                  <w:tcBorders>
                    <w:tl2br w:val="nil"/>
                    <w:tr2bl w:val="nil"/>
                  </w:tcBorders>
                  <w:noWrap w:val="0"/>
                  <w:vAlign w:val="center"/>
                </w:tcPr>
                <w:p w14:paraId="29F405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WT202379HQ03-FZ-105～108</w:t>
                  </w:r>
                </w:p>
              </w:tc>
              <w:tc>
                <w:tcPr>
                  <w:tcW w:w="1033" w:type="dxa"/>
                  <w:tcBorders>
                    <w:tl2br w:val="nil"/>
                    <w:tr2bl w:val="nil"/>
                  </w:tcBorders>
                  <w:noWrap w:val="0"/>
                  <w:vAlign w:val="center"/>
                </w:tcPr>
                <w:p w14:paraId="5D4BA5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501428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5FDE46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1DA6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dxa"/>
                  <w:vMerge w:val="continue"/>
                  <w:tcBorders>
                    <w:tl2br w:val="nil"/>
                    <w:tr2bl w:val="nil"/>
                  </w:tcBorders>
                  <w:noWrap w:val="0"/>
                  <w:vAlign w:val="center"/>
                </w:tcPr>
                <w:p w14:paraId="6A9DDD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928" w:type="dxa"/>
                  <w:tcBorders>
                    <w:tl2br w:val="nil"/>
                    <w:tr2bl w:val="nil"/>
                  </w:tcBorders>
                  <w:noWrap w:val="0"/>
                  <w:vAlign w:val="center"/>
                </w:tcPr>
                <w:p w14:paraId="1911A5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20:00</w:t>
                  </w:r>
                </w:p>
              </w:tc>
              <w:tc>
                <w:tcPr>
                  <w:tcW w:w="3304" w:type="dxa"/>
                  <w:tcBorders>
                    <w:tl2br w:val="nil"/>
                    <w:tr2bl w:val="nil"/>
                  </w:tcBorders>
                  <w:noWrap w:val="0"/>
                  <w:vAlign w:val="center"/>
                </w:tcPr>
                <w:p w14:paraId="11ABE1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WT202379HQ03-FZ-109～112</w:t>
                  </w:r>
                </w:p>
              </w:tc>
              <w:tc>
                <w:tcPr>
                  <w:tcW w:w="1033" w:type="dxa"/>
                  <w:tcBorders>
                    <w:tl2br w:val="nil"/>
                    <w:tr2bl w:val="nil"/>
                  </w:tcBorders>
                  <w:noWrap w:val="0"/>
                  <w:vAlign w:val="center"/>
                </w:tcPr>
                <w:p w14:paraId="6A2516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0.22</w:t>
                  </w:r>
                </w:p>
              </w:tc>
              <w:tc>
                <w:tcPr>
                  <w:tcW w:w="701" w:type="dxa"/>
                  <w:vMerge w:val="continue"/>
                  <w:tcBorders>
                    <w:tl2br w:val="nil"/>
                    <w:tr2bl w:val="nil"/>
                  </w:tcBorders>
                  <w:noWrap w:val="0"/>
                  <w:vAlign w:val="center"/>
                </w:tcPr>
                <w:p w14:paraId="1553E3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p>
              </w:tc>
              <w:tc>
                <w:tcPr>
                  <w:tcW w:w="698" w:type="dxa"/>
                  <w:tcBorders>
                    <w:tl2br w:val="nil"/>
                    <w:tr2bl w:val="nil"/>
                  </w:tcBorders>
                  <w:noWrap w:val="0"/>
                  <w:vAlign w:val="center"/>
                </w:tcPr>
                <w:p w14:paraId="02B27F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达标</w:t>
                  </w:r>
                </w:p>
              </w:tc>
            </w:tr>
            <w:tr w14:paraId="390A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8" w:type="dxa"/>
                  <w:gridSpan w:val="2"/>
                  <w:tcBorders>
                    <w:tl2br w:val="nil"/>
                    <w:tr2bl w:val="nil"/>
                  </w:tcBorders>
                  <w:noWrap w:val="0"/>
                  <w:vAlign w:val="center"/>
                </w:tcPr>
                <w:p w14:paraId="4CA53C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备注</w:t>
                  </w:r>
                </w:p>
              </w:tc>
              <w:tc>
                <w:tcPr>
                  <w:tcW w:w="5736" w:type="dxa"/>
                  <w:gridSpan w:val="4"/>
                  <w:tcBorders>
                    <w:tl2br w:val="nil"/>
                    <w:tr2bl w:val="nil"/>
                  </w:tcBorders>
                  <w:noWrap w:val="0"/>
                  <w:vAlign w:val="center"/>
                </w:tcPr>
                <w:p w14:paraId="5C9146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auto"/>
                      <w:highlight w:val="none"/>
                      <w:lang w:val="en-US" w:eastAsia="zh-CN"/>
                    </w:rPr>
                    <w:t>参考标准：《大气污染物综合排放标准详解》（国家环境保护局科技标准司）标准限值</w:t>
                  </w:r>
                </w:p>
              </w:tc>
            </w:tr>
          </w:tbl>
          <w:p w14:paraId="614F6335">
            <w:pPr>
              <w:adjustRightInd w:val="0"/>
              <w:snapToGrid w:val="0"/>
              <w:jc w:val="left"/>
              <w:rPr>
                <w:rFonts w:hint="eastAsia"/>
                <w:color w:val="auto"/>
                <w:highlight w:val="none"/>
                <w:lang w:val="en-US" w:eastAsia="zh-CN"/>
              </w:rPr>
            </w:pPr>
            <w:r>
              <w:rPr>
                <w:rFonts w:hint="eastAsia"/>
                <w:color w:val="auto"/>
                <w:highlight w:val="none"/>
                <w:lang w:val="en-US" w:eastAsia="zh-CN"/>
              </w:rPr>
              <w:t>根据检测结果显示，本项目厂址下风向总悬浮颗粒物（TSP）日均值现状检测结果均符合《环境空气质量标准》（GB3095-2012）二级标准要求，非甲烷总烃1h浓度平均值满足《大气污染物综合排放标准详解》（国家环境保护局科技标准司）标准限值，项目区域大气环境质量良好。</w:t>
            </w:r>
          </w:p>
          <w:p w14:paraId="2F2CF767">
            <w:pPr>
              <w:adjustRightInd w:val="0"/>
              <w:snapToGrid w:val="0"/>
              <w:ind w:left="0" w:leftChars="0" w:firstLine="0" w:firstLineChars="0"/>
              <w:jc w:val="left"/>
              <w:rPr>
                <w:rFonts w:hint="default" w:ascii="Times New Roman" w:hAnsi="Times New Roman" w:cs="Times New Roman"/>
                <w:b/>
                <w:bCs/>
                <w:color w:val="auto"/>
                <w:kern w:val="0"/>
                <w:szCs w:val="21"/>
                <w:highlight w:val="none"/>
                <w:lang w:val="en-US" w:eastAsia="zh-CN"/>
              </w:rPr>
            </w:pPr>
            <w:r>
              <w:rPr>
                <w:color w:val="auto"/>
                <w:highlight w:val="none"/>
              </w:rPr>
              <w:drawing>
                <wp:inline distT="0" distB="0" distL="114300" distR="114300">
                  <wp:extent cx="5039360" cy="3443605"/>
                  <wp:effectExtent l="0" t="0" r="8890" b="4445"/>
                  <wp:docPr id="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
                          <pic:cNvPicPr>
                            <a:picLocks noChangeAspect="1"/>
                          </pic:cNvPicPr>
                        </pic:nvPicPr>
                        <pic:blipFill>
                          <a:blip r:embed="rId18"/>
                          <a:stretch>
                            <a:fillRect/>
                          </a:stretch>
                        </pic:blipFill>
                        <pic:spPr>
                          <a:xfrm>
                            <a:off x="0" y="0"/>
                            <a:ext cx="5039360" cy="3443605"/>
                          </a:xfrm>
                          <a:prstGeom prst="rect">
                            <a:avLst/>
                          </a:prstGeom>
                          <a:noFill/>
                          <a:ln>
                            <a:noFill/>
                          </a:ln>
                        </pic:spPr>
                      </pic:pic>
                    </a:graphicData>
                  </a:graphic>
                </wp:inline>
              </w:drawing>
            </w:r>
          </w:p>
          <w:p w14:paraId="382C59EA">
            <w:pPr>
              <w:adjustRightInd w:val="0"/>
              <w:snapToGrid w:val="0"/>
              <w:ind w:left="0" w:leftChars="0" w:firstLine="0" w:firstLineChars="0"/>
              <w:jc w:val="center"/>
              <w:rPr>
                <w:rFonts w:hint="default" w:ascii="Times New Roman" w:hAnsi="Times New Roman" w:cs="Times New Roman"/>
                <w:b/>
                <w:bCs/>
                <w:color w:val="auto"/>
                <w:kern w:val="0"/>
                <w:szCs w:val="21"/>
                <w:highlight w:val="none"/>
                <w:lang w:val="en-US" w:eastAsia="zh-CN"/>
              </w:rPr>
            </w:pPr>
            <w:r>
              <w:rPr>
                <w:rFonts w:hint="eastAsia" w:cs="Times New Roman"/>
                <w:b/>
                <w:bCs/>
                <w:color w:val="auto"/>
                <w:kern w:val="0"/>
                <w:szCs w:val="21"/>
                <w:highlight w:val="none"/>
                <w:lang w:val="en-US" w:eastAsia="zh-CN"/>
              </w:rPr>
              <w:t>图3-1引用检测点位与本项目的关系图</w:t>
            </w:r>
          </w:p>
          <w:p w14:paraId="2848C8CA">
            <w:pPr>
              <w:adjustRightInd w:val="0"/>
              <w:snapToGrid w:val="0"/>
              <w:jc w:val="left"/>
              <w:rPr>
                <w:rFonts w:hint="default" w:ascii="Times New Roman" w:hAnsi="Times New Roman" w:cs="Times New Roman"/>
                <w:b/>
                <w:bCs/>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2、声环境质量现状</w:t>
            </w:r>
          </w:p>
          <w:p w14:paraId="250FB240">
            <w:pPr>
              <w:adjustRightInd w:val="0"/>
              <w:snapToGrid w:val="0"/>
              <w:jc w:val="left"/>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根据《建设项目环境影响报告表编制技术指南（污染影响类）（试行）》，厂界外周边50米范围内存在声环境保护目标的建设项目，应监测保护目标声环境质量现状并评价达标情况。根据现场踏勘本项目厂界范围50米范围内无声环境保护目标，因此本次不对声环境质量现状进行评价。</w:t>
            </w:r>
          </w:p>
          <w:p w14:paraId="61251B18">
            <w:pPr>
              <w:adjustRightInd w:val="0"/>
              <w:snapToGrid w:val="0"/>
              <w:jc w:val="left"/>
              <w:rPr>
                <w:rFonts w:hint="default" w:ascii="Times New Roman" w:hAnsi="Times New Roman" w:cs="Times New Roman"/>
                <w:b/>
                <w:bCs/>
                <w:color w:val="auto"/>
                <w:kern w:val="0"/>
                <w:szCs w:val="21"/>
                <w:highlight w:val="none"/>
                <w:lang w:val="en-US" w:eastAsia="zh-CN"/>
              </w:rPr>
            </w:pPr>
            <w:r>
              <w:rPr>
                <w:rFonts w:hint="default" w:ascii="Times New Roman" w:hAnsi="Times New Roman" w:cs="Times New Roman"/>
                <w:b/>
                <w:bCs/>
                <w:color w:val="auto"/>
                <w:kern w:val="0"/>
                <w:szCs w:val="21"/>
                <w:highlight w:val="none"/>
                <w:lang w:val="en-US" w:eastAsia="zh-CN"/>
              </w:rPr>
              <w:t>3、地下水</w:t>
            </w:r>
            <w:r>
              <w:rPr>
                <w:rFonts w:hint="eastAsia" w:cs="Times New Roman"/>
                <w:b/>
                <w:bCs/>
                <w:color w:val="auto"/>
                <w:kern w:val="0"/>
                <w:szCs w:val="21"/>
                <w:highlight w:val="none"/>
                <w:lang w:val="en-US" w:eastAsia="zh-CN"/>
              </w:rPr>
              <w:t>、土壤</w:t>
            </w:r>
            <w:r>
              <w:rPr>
                <w:rFonts w:hint="default" w:ascii="Times New Roman" w:hAnsi="Times New Roman" w:cs="Times New Roman"/>
                <w:b/>
                <w:bCs/>
                <w:color w:val="auto"/>
                <w:kern w:val="0"/>
                <w:szCs w:val="21"/>
                <w:highlight w:val="none"/>
                <w:lang w:val="en-US" w:eastAsia="zh-CN"/>
              </w:rPr>
              <w:t>环境质量现状</w:t>
            </w:r>
          </w:p>
          <w:p w14:paraId="732994D2">
            <w:pPr>
              <w:bidi w:val="0"/>
              <w:rPr>
                <w:rFonts w:hint="eastAsia" w:ascii="Times New Roman" w:hAnsi="Times New Roman" w:eastAsia="宋体" w:cs="Times New Roman"/>
                <w:color w:val="auto"/>
                <w:kern w:val="0"/>
                <w:szCs w:val="21"/>
                <w:highlight w:val="none"/>
                <w:lang w:val="en-US" w:eastAsia="zh-CN"/>
              </w:rPr>
            </w:pPr>
            <w:r>
              <w:rPr>
                <w:rFonts w:hint="default"/>
                <w:color w:val="auto"/>
                <w:highlight w:val="none"/>
                <w:lang w:val="en-US" w:eastAsia="zh-CN"/>
              </w:rPr>
              <w:t>根据《建设项目环境影响报告表编制技术指南（污染影响类）（试行）》，地下水、土壤原则上不开展环境质量现状调查。本项目</w:t>
            </w:r>
            <w:r>
              <w:rPr>
                <w:rFonts w:hint="eastAsia"/>
                <w:color w:val="auto"/>
                <w:highlight w:val="none"/>
                <w:lang w:val="en-US" w:eastAsia="zh-CN"/>
              </w:rPr>
              <w:t>喷漆区、</w:t>
            </w:r>
            <w:r>
              <w:rPr>
                <w:rFonts w:hint="default"/>
                <w:color w:val="auto"/>
                <w:highlight w:val="none"/>
                <w:lang w:val="en-US" w:eastAsia="zh-CN"/>
              </w:rPr>
              <w:t>油漆暂存区、危险废物暂存库属于重点防渗区域，防渗层为至少1m厚黏土层（渗透系数</w:t>
            </w:r>
            <w:r>
              <w:rPr>
                <w:rFonts w:hint="eastAsia"/>
                <w:color w:val="auto"/>
                <w:highlight w:val="none"/>
                <w:lang w:val="en-US" w:eastAsia="zh-CN"/>
              </w:rPr>
              <w:t>≤</w:t>
            </w:r>
            <w:r>
              <w:rPr>
                <w:rFonts w:hint="default"/>
                <w:color w:val="auto"/>
                <w:highlight w:val="none"/>
                <w:lang w:val="en-US" w:eastAsia="zh-CN"/>
              </w:rPr>
              <w:t>10</w:t>
            </w:r>
            <w:r>
              <w:rPr>
                <w:rFonts w:hint="default"/>
                <w:color w:val="auto"/>
                <w:highlight w:val="none"/>
                <w:vertAlign w:val="superscript"/>
                <w:lang w:val="en-US" w:eastAsia="zh-CN"/>
              </w:rPr>
              <w:t>-7</w:t>
            </w:r>
            <w:r>
              <w:rPr>
                <w:rFonts w:hint="default"/>
                <w:color w:val="auto"/>
                <w:highlight w:val="none"/>
                <w:lang w:val="en-US" w:eastAsia="zh-CN"/>
              </w:rPr>
              <w:t>cm/s）或至少2mm厚高密度聚乙烯膜等人工防渗材料渗透系数</w:t>
            </w:r>
            <w:r>
              <w:rPr>
                <w:rFonts w:hint="eastAsia"/>
                <w:color w:val="auto"/>
                <w:highlight w:val="none"/>
                <w:lang w:val="en-US" w:eastAsia="zh-CN"/>
              </w:rPr>
              <w:t>≤</w:t>
            </w:r>
            <w:r>
              <w:rPr>
                <w:rFonts w:hint="default"/>
                <w:color w:val="auto"/>
                <w:highlight w:val="none"/>
                <w:lang w:val="en-US" w:eastAsia="zh-CN"/>
              </w:rPr>
              <w:t>10</w:t>
            </w:r>
            <w:r>
              <w:rPr>
                <w:rFonts w:hint="default"/>
                <w:color w:val="auto"/>
                <w:highlight w:val="none"/>
                <w:vertAlign w:val="superscript"/>
                <w:lang w:val="en-US" w:eastAsia="zh-CN"/>
              </w:rPr>
              <w:t>-10</w:t>
            </w:r>
            <w:r>
              <w:rPr>
                <w:rFonts w:hint="default"/>
                <w:color w:val="auto"/>
                <w:highlight w:val="none"/>
                <w:lang w:val="en-US" w:eastAsia="zh-CN"/>
              </w:rPr>
              <w:t>cm/s，或其他防渗性能等效的材料，并涂刷环氧树脂地坪漆。</w:t>
            </w:r>
            <w:r>
              <w:rPr>
                <w:rFonts w:hint="eastAsia" w:cs="Times New Roman"/>
                <w:color w:val="auto"/>
                <w:szCs w:val="21"/>
                <w:highlight w:val="none"/>
                <w:lang w:val="en-US" w:eastAsia="zh-CN"/>
              </w:rPr>
              <w:t>生产车间除去喷漆区、危险废物暂存库其他位置采用一般防渗，</w:t>
            </w:r>
            <w:r>
              <w:rPr>
                <w:rFonts w:hint="default"/>
                <w:color w:val="auto"/>
                <w:highlight w:val="none"/>
                <w:lang w:val="en-US" w:eastAsia="zh-CN"/>
              </w:rPr>
              <w:t>地面均采取混凝土硬化+HDPE膜防渗措施，防渗性能均满足一般防渗要求</w:t>
            </w:r>
            <w:r>
              <w:rPr>
                <w:rFonts w:hint="eastAsia"/>
                <w:color w:val="auto"/>
                <w:highlight w:val="none"/>
                <w:lang w:val="en-US" w:eastAsia="zh-CN"/>
              </w:rPr>
              <w:t>，</w:t>
            </w:r>
            <w:r>
              <w:rPr>
                <w:rFonts w:hint="default"/>
                <w:color w:val="auto"/>
                <w:highlight w:val="none"/>
                <w:lang w:val="en-US" w:eastAsia="zh-CN"/>
              </w:rPr>
              <w:t>等效黏土防渗层Mb</w:t>
            </w:r>
            <w:r>
              <w:rPr>
                <w:rFonts w:hint="eastAsia"/>
                <w:color w:val="auto"/>
                <w:highlight w:val="none"/>
                <w:lang w:val="en-US" w:eastAsia="zh-CN"/>
              </w:rPr>
              <w:t>≥</w:t>
            </w:r>
            <w:r>
              <w:rPr>
                <w:rFonts w:hint="default"/>
                <w:color w:val="auto"/>
                <w:highlight w:val="none"/>
                <w:lang w:val="en-US" w:eastAsia="zh-CN"/>
              </w:rPr>
              <w:t>1.5m，渗透系数</w:t>
            </w:r>
            <w:r>
              <w:rPr>
                <w:rFonts w:hint="eastAsia"/>
                <w:color w:val="auto"/>
                <w:highlight w:val="none"/>
                <w:lang w:val="en-US" w:eastAsia="zh-CN"/>
              </w:rPr>
              <w:t>≤</w:t>
            </w:r>
            <w:r>
              <w:rPr>
                <w:rFonts w:hint="default"/>
                <w:color w:val="auto"/>
                <w:highlight w:val="none"/>
                <w:lang w:val="en-US" w:eastAsia="zh-CN"/>
              </w:rPr>
              <w:t>1.0×10</w:t>
            </w:r>
            <w:r>
              <w:rPr>
                <w:rFonts w:hint="default"/>
                <w:color w:val="auto"/>
                <w:highlight w:val="none"/>
                <w:vertAlign w:val="superscript"/>
                <w:lang w:val="en-US" w:eastAsia="zh-CN"/>
              </w:rPr>
              <w:t>-7</w:t>
            </w:r>
            <w:r>
              <w:rPr>
                <w:rFonts w:hint="default"/>
                <w:color w:val="auto"/>
                <w:highlight w:val="none"/>
                <w:lang w:val="en-US" w:eastAsia="zh-CN"/>
              </w:rPr>
              <w:t>cm/s。生活办公区采用简单防渗，地面采用水泥硬化处理</w:t>
            </w:r>
            <w:r>
              <w:rPr>
                <w:rFonts w:hint="eastAsia"/>
                <w:color w:val="auto"/>
                <w:highlight w:val="none"/>
                <w:lang w:val="en-US" w:eastAsia="zh-CN"/>
              </w:rPr>
              <w:t>。</w:t>
            </w:r>
            <w:r>
              <w:rPr>
                <w:rFonts w:hint="default"/>
                <w:color w:val="auto"/>
                <w:highlight w:val="none"/>
                <w:lang w:val="en-US" w:eastAsia="zh-CN"/>
              </w:rPr>
              <w:t>且项目不产生</w:t>
            </w:r>
            <w:r>
              <w:rPr>
                <w:rFonts w:hint="eastAsia"/>
                <w:color w:val="auto"/>
                <w:highlight w:val="none"/>
                <w:lang w:val="en-US" w:eastAsia="zh-CN"/>
              </w:rPr>
              <w:t>生产</w:t>
            </w:r>
            <w:r>
              <w:rPr>
                <w:rFonts w:hint="default"/>
                <w:color w:val="auto"/>
                <w:highlight w:val="none"/>
                <w:lang w:val="en-US" w:eastAsia="zh-CN"/>
              </w:rPr>
              <w:t>废水，</w:t>
            </w:r>
            <w:r>
              <w:rPr>
                <w:rFonts w:hint="eastAsia"/>
                <w:color w:val="auto"/>
                <w:highlight w:val="none"/>
                <w:lang w:val="en-US" w:eastAsia="zh-CN"/>
              </w:rPr>
              <w:t>生活污水直接排入市政污水管网进行处置，不外排，废纸壳（含废漆渣）、废过滤棉（含废漆渣）、废活性炭、废漆渣、废漆桶、废机油、废油桶分类收集后暂存在危险废物暂存库，定期交由有资质单位进行处置。生活垃圾统由厂区内的垃圾桶统一收集后，定期交由环卫部门统一处理。本项目生产运行过程中产生的污染物均得到妥善处置，本项目对周围环境影响较小，</w:t>
            </w:r>
            <w:r>
              <w:rPr>
                <w:rFonts w:hint="default"/>
                <w:color w:val="auto"/>
                <w:highlight w:val="none"/>
                <w:lang w:val="en-US" w:eastAsia="zh-CN"/>
              </w:rPr>
              <w:t>因此，不进行地下水以及土壤环境质量现状监测</w:t>
            </w:r>
            <w:r>
              <w:rPr>
                <w:rFonts w:hint="default"/>
                <w:color w:val="auto"/>
                <w:highlight w:val="none"/>
              </w:rPr>
              <w:t>。</w:t>
            </w:r>
          </w:p>
        </w:tc>
      </w:tr>
      <w:tr w14:paraId="3C2ED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14:paraId="7C96504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60930FC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保护</w:t>
            </w:r>
          </w:p>
          <w:p w14:paraId="0FC79D3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目标</w:t>
            </w:r>
          </w:p>
        </w:tc>
        <w:tc>
          <w:tcPr>
            <w:tcW w:w="8160" w:type="dxa"/>
            <w:noWrap w:val="0"/>
            <w:vAlign w:val="center"/>
          </w:tcPr>
          <w:p w14:paraId="3D058224">
            <w:pPr>
              <w:adjustRightInd w:val="0"/>
              <w:snapToGrid w:val="0"/>
              <w:jc w:val="both"/>
              <w:rPr>
                <w:rFonts w:hint="default" w:ascii="Times New Roman" w:hAnsi="Times New Roman" w:cs="Times New Roman"/>
                <w:color w:val="auto"/>
                <w:kern w:val="0"/>
                <w:szCs w:val="21"/>
                <w:highlight w:val="none"/>
                <w:lang w:eastAsia="zh-CN"/>
              </w:rPr>
            </w:pPr>
            <w:r>
              <w:rPr>
                <w:rFonts w:hint="default" w:ascii="Times New Roman" w:hAnsi="Times New Roman" w:cs="Times New Roman"/>
                <w:color w:val="auto"/>
                <w:kern w:val="0"/>
                <w:szCs w:val="21"/>
                <w:highlight w:val="none"/>
              </w:rPr>
              <w:t>根据</w:t>
            </w:r>
            <w:r>
              <w:rPr>
                <w:rFonts w:hint="eastAsia" w:cs="Times New Roman"/>
                <w:color w:val="auto"/>
                <w:kern w:val="0"/>
                <w:szCs w:val="21"/>
                <w:highlight w:val="none"/>
                <w:lang w:eastAsia="zh-CN"/>
              </w:rPr>
              <w:t>现场勘查</w:t>
            </w:r>
            <w:r>
              <w:rPr>
                <w:rFonts w:hint="default" w:ascii="Times New Roman" w:hAnsi="Times New Roman" w:cs="Times New Roman"/>
                <w:color w:val="auto"/>
                <w:kern w:val="0"/>
                <w:szCs w:val="21"/>
                <w:highlight w:val="none"/>
              </w:rPr>
              <w:t>，本项目所在区域及其附近没有自然保护区、水源地、重点文物</w:t>
            </w:r>
            <w:r>
              <w:rPr>
                <w:rFonts w:hint="eastAsia" w:cs="Times New Roman"/>
                <w:color w:val="auto"/>
                <w:kern w:val="0"/>
                <w:szCs w:val="21"/>
                <w:highlight w:val="none"/>
                <w:lang w:eastAsia="zh-CN"/>
              </w:rPr>
              <w:t>（</w:t>
            </w:r>
            <w:r>
              <w:rPr>
                <w:rFonts w:hint="eastAsia" w:cs="Times New Roman"/>
                <w:color w:val="auto"/>
                <w:kern w:val="0"/>
                <w:szCs w:val="21"/>
                <w:highlight w:val="none"/>
                <w:lang w:val="en-US" w:eastAsia="zh-CN"/>
              </w:rPr>
              <w:t>不占文物文件见附件5</w:t>
            </w:r>
            <w:r>
              <w:rPr>
                <w:rFonts w:hint="eastAsia" w:cs="Times New Roman"/>
                <w:color w:val="auto"/>
                <w:kern w:val="0"/>
                <w:szCs w:val="21"/>
                <w:highlight w:val="none"/>
                <w:lang w:eastAsia="zh-CN"/>
              </w:rPr>
              <w:t>）</w:t>
            </w:r>
            <w:r>
              <w:rPr>
                <w:rFonts w:hint="default" w:ascii="Times New Roman" w:hAnsi="Times New Roman" w:cs="Times New Roman"/>
                <w:color w:val="auto"/>
                <w:kern w:val="0"/>
                <w:szCs w:val="21"/>
                <w:highlight w:val="none"/>
              </w:rPr>
              <w:t>、珍稀动植物资源等重点保护目标。根据项目性质及周围环境特征，本次调查重点保护对象为调查范围内的村庄散户（居民点），主要保护目标见表3-</w:t>
            </w:r>
            <w:r>
              <w:rPr>
                <w:rFonts w:hint="eastAsia"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w:t>
            </w:r>
          </w:p>
          <w:p w14:paraId="7987517B">
            <w:pPr>
              <w:adjustRightInd w:val="0"/>
              <w:snapToGrid w:val="0"/>
              <w:ind w:left="0" w:leftChars="0" w:firstLine="0" w:firstLineChars="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表3-</w:t>
            </w:r>
            <w:r>
              <w:rPr>
                <w:rFonts w:hint="eastAsia" w:cs="Times New Roman"/>
                <w:b/>
                <w:bCs/>
                <w:color w:val="auto"/>
                <w:kern w:val="0"/>
                <w:szCs w:val="21"/>
                <w:highlight w:val="none"/>
                <w:lang w:val="en-US" w:eastAsia="zh-CN"/>
              </w:rPr>
              <w:t>2</w:t>
            </w:r>
            <w:r>
              <w:rPr>
                <w:rFonts w:hint="default" w:ascii="Times New Roman" w:hAnsi="Times New Roman" w:cs="Times New Roman"/>
                <w:b/>
                <w:bCs/>
                <w:color w:val="auto"/>
                <w:kern w:val="0"/>
                <w:szCs w:val="21"/>
                <w:highlight w:val="none"/>
              </w:rPr>
              <w:t>环境保护目标一览表</w:t>
            </w:r>
          </w:p>
          <w:tbl>
            <w:tblPr>
              <w:tblStyle w:val="26"/>
              <w:tblW w:w="791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327"/>
              <w:gridCol w:w="704"/>
              <w:gridCol w:w="1265"/>
              <w:gridCol w:w="959"/>
              <w:gridCol w:w="2801"/>
            </w:tblGrid>
            <w:tr w14:paraId="4BED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3" w:hRule="atLeast"/>
              </w:trPr>
              <w:tc>
                <w:tcPr>
                  <w:tcW w:w="861" w:type="dxa"/>
                  <w:noWrap w:val="0"/>
                  <w:vAlign w:val="center"/>
                </w:tcPr>
                <w:p w14:paraId="5085BF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环境要素</w:t>
                  </w:r>
                </w:p>
              </w:tc>
              <w:tc>
                <w:tcPr>
                  <w:tcW w:w="1327" w:type="dxa"/>
                  <w:noWrap w:val="0"/>
                  <w:vAlign w:val="center"/>
                </w:tcPr>
                <w:p w14:paraId="114D4B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环境保护对象名称</w:t>
                  </w:r>
                </w:p>
              </w:tc>
              <w:tc>
                <w:tcPr>
                  <w:tcW w:w="704" w:type="dxa"/>
                  <w:noWrap w:val="0"/>
                  <w:vAlign w:val="center"/>
                </w:tcPr>
                <w:p w14:paraId="339731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方位</w:t>
                  </w:r>
                </w:p>
              </w:tc>
              <w:tc>
                <w:tcPr>
                  <w:tcW w:w="1265" w:type="dxa"/>
                  <w:noWrap w:val="0"/>
                  <w:vAlign w:val="center"/>
                </w:tcPr>
                <w:p w14:paraId="02DBF6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与本项目距离（m）</w:t>
                  </w:r>
                </w:p>
              </w:tc>
              <w:tc>
                <w:tcPr>
                  <w:tcW w:w="959" w:type="dxa"/>
                  <w:noWrap w:val="0"/>
                  <w:vAlign w:val="center"/>
                </w:tcPr>
                <w:p w14:paraId="012689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规模</w:t>
                  </w:r>
                </w:p>
              </w:tc>
              <w:tc>
                <w:tcPr>
                  <w:tcW w:w="2801" w:type="dxa"/>
                  <w:noWrap w:val="0"/>
                  <w:vAlign w:val="center"/>
                </w:tcPr>
                <w:p w14:paraId="700710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环境功能区划</w:t>
                  </w:r>
                </w:p>
              </w:tc>
            </w:tr>
            <w:tr w14:paraId="3F45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 w:type="dxa"/>
                  <w:noWrap w:val="0"/>
                  <w:vAlign w:val="center"/>
                </w:tcPr>
                <w:p w14:paraId="2DD7D8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环境空气</w:t>
                  </w:r>
                </w:p>
              </w:tc>
              <w:tc>
                <w:tcPr>
                  <w:tcW w:w="4255" w:type="dxa"/>
                  <w:gridSpan w:val="4"/>
                  <w:noWrap w:val="0"/>
                  <w:vAlign w:val="center"/>
                </w:tcPr>
                <w:p w14:paraId="33660F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项目厂界外500m范围内无环境空气保护目标</w:t>
                  </w:r>
                </w:p>
              </w:tc>
              <w:tc>
                <w:tcPr>
                  <w:tcW w:w="2801" w:type="dxa"/>
                  <w:noWrap w:val="0"/>
                  <w:vAlign w:val="center"/>
                </w:tcPr>
                <w:p w14:paraId="33A8DD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《环境空气质量标准》</w:t>
                  </w:r>
                  <w:r>
                    <w:rPr>
                      <w:rFonts w:hint="eastAsia" w:cs="Times New Roman"/>
                      <w:color w:val="auto"/>
                      <w:kern w:val="0"/>
                      <w:szCs w:val="21"/>
                      <w:highlight w:val="none"/>
                      <w:lang w:eastAsia="zh-CN"/>
                    </w:rPr>
                    <w:t>（</w:t>
                  </w:r>
                  <w:r>
                    <w:rPr>
                      <w:rFonts w:hint="default" w:ascii="Times New Roman" w:hAnsi="Times New Roman" w:cs="Times New Roman"/>
                      <w:color w:val="auto"/>
                      <w:kern w:val="0"/>
                      <w:szCs w:val="21"/>
                      <w:highlight w:val="none"/>
                    </w:rPr>
                    <w:t>GB3095-2012</w:t>
                  </w:r>
                  <w:r>
                    <w:rPr>
                      <w:rFonts w:hint="eastAsia" w:cs="Times New Roman"/>
                      <w:color w:val="auto"/>
                      <w:kern w:val="0"/>
                      <w:szCs w:val="21"/>
                      <w:highlight w:val="none"/>
                      <w:lang w:eastAsia="zh-CN"/>
                    </w:rPr>
                    <w:t>）</w:t>
                  </w:r>
                  <w:r>
                    <w:rPr>
                      <w:rFonts w:hint="default" w:ascii="Times New Roman" w:hAnsi="Times New Roman" w:cs="Times New Roman"/>
                      <w:color w:val="auto"/>
                      <w:kern w:val="0"/>
                      <w:szCs w:val="21"/>
                      <w:highlight w:val="none"/>
                    </w:rPr>
                    <w:t>二类区</w:t>
                  </w:r>
                </w:p>
              </w:tc>
            </w:tr>
            <w:tr w14:paraId="364C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 w:type="dxa"/>
                  <w:noWrap w:val="0"/>
                  <w:vAlign w:val="center"/>
                </w:tcPr>
                <w:p w14:paraId="1C1959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声环境</w:t>
                  </w:r>
                </w:p>
              </w:tc>
              <w:tc>
                <w:tcPr>
                  <w:tcW w:w="4255" w:type="dxa"/>
                  <w:gridSpan w:val="4"/>
                  <w:noWrap w:val="0"/>
                  <w:vAlign w:val="center"/>
                </w:tcPr>
                <w:p w14:paraId="0AE5AD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rPr>
                    <w:t>项目外50m范围内无声环境保护目标</w:t>
                  </w:r>
                </w:p>
              </w:tc>
              <w:tc>
                <w:tcPr>
                  <w:tcW w:w="2801" w:type="dxa"/>
                  <w:noWrap w:val="0"/>
                  <w:vAlign w:val="center"/>
                </w:tcPr>
                <w:p w14:paraId="0CC818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《声环境质量标准》(GB3096-2008)</w:t>
                  </w:r>
                  <w:r>
                    <w:rPr>
                      <w:rFonts w:hint="eastAsia" w:cs="Times New Roman"/>
                      <w:color w:val="auto"/>
                      <w:kern w:val="0"/>
                      <w:szCs w:val="21"/>
                      <w:highlight w:val="none"/>
                      <w:lang w:eastAsia="zh-CN"/>
                    </w:rPr>
                    <w:t>3类</w:t>
                  </w:r>
                  <w:r>
                    <w:rPr>
                      <w:rFonts w:hint="default" w:ascii="Times New Roman" w:hAnsi="Times New Roman" w:cs="Times New Roman"/>
                      <w:color w:val="auto"/>
                      <w:kern w:val="0"/>
                      <w:szCs w:val="21"/>
                      <w:highlight w:val="none"/>
                    </w:rPr>
                    <w:t>标准</w:t>
                  </w:r>
                </w:p>
              </w:tc>
            </w:tr>
            <w:tr w14:paraId="277B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861" w:type="dxa"/>
                  <w:noWrap w:val="0"/>
                  <w:vAlign w:val="center"/>
                </w:tcPr>
                <w:p w14:paraId="32290F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水环境</w:t>
                  </w:r>
                </w:p>
              </w:tc>
              <w:tc>
                <w:tcPr>
                  <w:tcW w:w="4255" w:type="dxa"/>
                  <w:gridSpan w:val="4"/>
                  <w:noWrap w:val="0"/>
                  <w:vAlign w:val="center"/>
                </w:tcPr>
                <w:p w14:paraId="5F549F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项目外500m范围内无地下水集中式饮用水水源和热水、矿泉水、温水等特殊地下水资源</w:t>
                  </w:r>
                </w:p>
              </w:tc>
              <w:tc>
                <w:tcPr>
                  <w:tcW w:w="2801" w:type="dxa"/>
                  <w:noWrap w:val="0"/>
                  <w:vAlign w:val="center"/>
                </w:tcPr>
                <w:p w14:paraId="6278EA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《地下水质量标准》（GB/T14848-2017）中Ⅲ类标准</w:t>
                  </w:r>
                </w:p>
              </w:tc>
            </w:tr>
          </w:tbl>
          <w:p w14:paraId="56807827">
            <w:pPr>
              <w:adjustRightInd w:val="0"/>
              <w:snapToGrid w:val="0"/>
              <w:jc w:val="both"/>
              <w:rPr>
                <w:rFonts w:hint="default" w:ascii="Times New Roman" w:hAnsi="Times New Roman" w:cs="Times New Roman"/>
                <w:color w:val="auto"/>
                <w:kern w:val="0"/>
                <w:szCs w:val="21"/>
                <w:highlight w:val="none"/>
              </w:rPr>
            </w:pPr>
          </w:p>
        </w:tc>
      </w:tr>
      <w:tr w14:paraId="10308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00" w:type="dxa"/>
            <w:noWrap w:val="0"/>
            <w:tcMar>
              <w:left w:w="28" w:type="dxa"/>
              <w:right w:w="28" w:type="dxa"/>
            </w:tcMar>
            <w:vAlign w:val="center"/>
          </w:tcPr>
          <w:p w14:paraId="11AEE69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污染</w:t>
            </w:r>
          </w:p>
          <w:p w14:paraId="6FDF6B9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物排</w:t>
            </w:r>
          </w:p>
          <w:p w14:paraId="4A37814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放控</w:t>
            </w:r>
          </w:p>
          <w:p w14:paraId="23CD5AB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制标</w:t>
            </w:r>
          </w:p>
          <w:p w14:paraId="4E1DAAE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准</w:t>
            </w:r>
          </w:p>
        </w:tc>
        <w:tc>
          <w:tcPr>
            <w:tcW w:w="8160" w:type="dxa"/>
            <w:noWrap w:val="0"/>
            <w:vAlign w:val="center"/>
          </w:tcPr>
          <w:p w14:paraId="6539ADB5">
            <w:pPr>
              <w:bidi w:val="0"/>
              <w:rPr>
                <w:rFonts w:hint="default"/>
                <w:b/>
                <w:bCs/>
                <w:color w:val="auto"/>
                <w:highlight w:val="none"/>
              </w:rPr>
            </w:pPr>
            <w:r>
              <w:rPr>
                <w:rFonts w:hint="eastAsia"/>
                <w:b/>
                <w:bCs/>
                <w:color w:val="auto"/>
                <w:highlight w:val="none"/>
                <w:lang w:val="en-US" w:eastAsia="zh-CN"/>
              </w:rPr>
              <w:t>一、</w:t>
            </w:r>
            <w:r>
              <w:rPr>
                <w:rFonts w:hint="default"/>
                <w:b/>
                <w:bCs/>
                <w:color w:val="auto"/>
                <w:highlight w:val="none"/>
              </w:rPr>
              <w:t>大气污染物排放标准</w:t>
            </w:r>
          </w:p>
          <w:p w14:paraId="145A9F23">
            <w:pPr>
              <w:bidi w:val="0"/>
              <w:rPr>
                <w:rFonts w:hint="default"/>
                <w:color w:val="auto"/>
                <w:highlight w:val="none"/>
                <w:lang w:val="en-US" w:eastAsia="zh-CN"/>
              </w:rPr>
            </w:pPr>
            <w:r>
              <w:rPr>
                <w:rFonts w:hint="default"/>
                <w:color w:val="auto"/>
                <w:highlight w:val="none"/>
                <w:lang w:val="en-US"/>
              </w:rPr>
              <w:t>本项目施工期产生粉尘执行《大气污染物综合排放标准》（GB16297-1996）中的表2新污染源大气排放限值中无组织排放监控浓度限值</w:t>
            </w:r>
            <w:r>
              <w:rPr>
                <w:rFonts w:hint="default"/>
                <w:color w:val="auto"/>
                <w:highlight w:val="none"/>
                <w:lang w:val="en-US" w:eastAsia="zh-CN"/>
              </w:rPr>
              <w:t>。</w:t>
            </w:r>
            <w:r>
              <w:rPr>
                <w:rFonts w:hint="eastAsia"/>
                <w:color w:val="auto"/>
                <w:highlight w:val="none"/>
                <w:lang w:val="en-US" w:eastAsia="zh-CN"/>
              </w:rPr>
              <w:t xml:space="preserve"> </w:t>
            </w:r>
          </w:p>
          <w:p w14:paraId="03CD11D4">
            <w:pPr>
              <w:bidi w:val="0"/>
              <w:jc w:val="center"/>
              <w:rPr>
                <w:rFonts w:hint="default"/>
                <w:b/>
                <w:bCs/>
                <w:color w:val="auto"/>
                <w:sz w:val="24"/>
                <w:szCs w:val="24"/>
                <w:highlight w:val="none"/>
              </w:rPr>
            </w:pPr>
            <w:r>
              <w:rPr>
                <w:rFonts w:hint="default"/>
                <w:b/>
                <w:bCs/>
                <w:color w:val="auto"/>
                <w:sz w:val="24"/>
                <w:szCs w:val="24"/>
                <w:highlight w:val="none"/>
              </w:rPr>
              <w:t>表3-4本项目施工期废气排放标准一览表</w:t>
            </w:r>
          </w:p>
          <w:tbl>
            <w:tblPr>
              <w:tblStyle w:val="26"/>
              <w:tblW w:w="7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59"/>
              <w:gridCol w:w="1347"/>
              <w:gridCol w:w="1296"/>
              <w:gridCol w:w="4496"/>
            </w:tblGrid>
            <w:tr w14:paraId="67D3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3" w:hRule="atLeast"/>
              </w:trPr>
              <w:tc>
                <w:tcPr>
                  <w:tcW w:w="537" w:type="pct"/>
                  <w:noWrap w:val="0"/>
                  <w:tcMar>
                    <w:left w:w="0" w:type="dxa"/>
                    <w:right w:w="0" w:type="dxa"/>
                  </w:tcMar>
                  <w:vAlign w:val="center"/>
                </w:tcPr>
                <w:p w14:paraId="52A90D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default"/>
                      <w:color w:val="auto"/>
                      <w:sz w:val="24"/>
                      <w:szCs w:val="24"/>
                      <w:highlight w:val="none"/>
                    </w:rPr>
                    <w:t>时期</w:t>
                  </w:r>
                </w:p>
              </w:tc>
              <w:tc>
                <w:tcPr>
                  <w:tcW w:w="842" w:type="pct"/>
                  <w:noWrap w:val="0"/>
                  <w:vAlign w:val="center"/>
                </w:tcPr>
                <w:p w14:paraId="0E9987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default"/>
                      <w:color w:val="auto"/>
                      <w:sz w:val="24"/>
                      <w:szCs w:val="24"/>
                      <w:highlight w:val="none"/>
                    </w:rPr>
                    <w:t>污染物</w:t>
                  </w:r>
                </w:p>
              </w:tc>
              <w:tc>
                <w:tcPr>
                  <w:tcW w:w="810" w:type="pct"/>
                  <w:noWrap w:val="0"/>
                  <w:tcMar>
                    <w:left w:w="0" w:type="dxa"/>
                    <w:right w:w="0" w:type="dxa"/>
                  </w:tcMar>
                  <w:vAlign w:val="center"/>
                </w:tcPr>
                <w:p w14:paraId="4479EF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default"/>
                      <w:color w:val="auto"/>
                      <w:sz w:val="24"/>
                      <w:szCs w:val="24"/>
                      <w:highlight w:val="none"/>
                    </w:rPr>
                    <w:t>排放标准值</w:t>
                  </w:r>
                </w:p>
              </w:tc>
              <w:tc>
                <w:tcPr>
                  <w:tcW w:w="2810" w:type="pct"/>
                  <w:noWrap w:val="0"/>
                  <w:tcMar>
                    <w:left w:w="0" w:type="dxa"/>
                    <w:right w:w="0" w:type="dxa"/>
                  </w:tcMar>
                  <w:vAlign w:val="center"/>
                </w:tcPr>
                <w:p w14:paraId="414ADD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default"/>
                      <w:color w:val="auto"/>
                      <w:sz w:val="24"/>
                      <w:szCs w:val="24"/>
                      <w:highlight w:val="none"/>
                    </w:rPr>
                    <w:t>标准来源</w:t>
                  </w:r>
                </w:p>
              </w:tc>
            </w:tr>
            <w:tr w14:paraId="7DE9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0" w:hRule="atLeast"/>
              </w:trPr>
              <w:tc>
                <w:tcPr>
                  <w:tcW w:w="537" w:type="pct"/>
                  <w:noWrap w:val="0"/>
                  <w:tcMar>
                    <w:left w:w="0" w:type="dxa"/>
                    <w:right w:w="0" w:type="dxa"/>
                  </w:tcMar>
                  <w:vAlign w:val="center"/>
                </w:tcPr>
                <w:p w14:paraId="60E1F4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default"/>
                      <w:color w:val="auto"/>
                      <w:sz w:val="24"/>
                      <w:szCs w:val="24"/>
                      <w:highlight w:val="none"/>
                    </w:rPr>
                    <w:t>施工期</w:t>
                  </w:r>
                </w:p>
              </w:tc>
              <w:tc>
                <w:tcPr>
                  <w:tcW w:w="842" w:type="pct"/>
                  <w:noWrap w:val="0"/>
                  <w:vAlign w:val="center"/>
                </w:tcPr>
                <w:p w14:paraId="17570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default"/>
                      <w:color w:val="auto"/>
                      <w:sz w:val="24"/>
                      <w:szCs w:val="24"/>
                      <w:highlight w:val="none"/>
                    </w:rPr>
                    <w:t>颗粒物</w:t>
                  </w:r>
                </w:p>
              </w:tc>
              <w:tc>
                <w:tcPr>
                  <w:tcW w:w="810" w:type="pct"/>
                  <w:noWrap w:val="0"/>
                  <w:tcMar>
                    <w:left w:w="0" w:type="dxa"/>
                    <w:right w:w="0" w:type="dxa"/>
                  </w:tcMar>
                  <w:vAlign w:val="center"/>
                </w:tcPr>
                <w:p w14:paraId="7A85B8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lang w:eastAsia="zh-CN"/>
                    </w:rPr>
                  </w:pPr>
                  <w:r>
                    <w:rPr>
                      <w:rFonts w:hint="default"/>
                      <w:color w:val="auto"/>
                      <w:sz w:val="24"/>
                      <w:szCs w:val="24"/>
                      <w:highlight w:val="none"/>
                    </w:rPr>
                    <w:t>1.0mg/</w:t>
                  </w:r>
                  <w:r>
                    <w:rPr>
                      <w:rFonts w:hint="default"/>
                      <w:color w:val="auto"/>
                      <w:sz w:val="24"/>
                      <w:szCs w:val="24"/>
                      <w:highlight w:val="none"/>
                      <w:lang w:val="en-US" w:eastAsia="zh-CN"/>
                    </w:rPr>
                    <w:t>m³</w:t>
                  </w:r>
                </w:p>
              </w:tc>
              <w:tc>
                <w:tcPr>
                  <w:tcW w:w="2810" w:type="pct"/>
                  <w:noWrap w:val="0"/>
                  <w:tcMar>
                    <w:left w:w="0" w:type="dxa"/>
                    <w:right w:w="0" w:type="dxa"/>
                  </w:tcMar>
                  <w:vAlign w:val="center"/>
                </w:tcPr>
                <w:p w14:paraId="16634C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lang w:eastAsia="zh-CN"/>
                    </w:rPr>
                  </w:pPr>
                  <w:r>
                    <w:rPr>
                      <w:rFonts w:hint="default"/>
                      <w:color w:val="auto"/>
                      <w:sz w:val="24"/>
                      <w:szCs w:val="24"/>
                      <w:highlight w:val="none"/>
                    </w:rPr>
                    <w:t>《大气污染物综合排放标准》（GB16297-1996）表2新污染源大气排放限值中无组织排放监控浓度限值</w:t>
                  </w:r>
                  <w:r>
                    <w:rPr>
                      <w:rFonts w:hint="default"/>
                      <w:color w:val="auto"/>
                      <w:sz w:val="24"/>
                      <w:szCs w:val="24"/>
                      <w:highlight w:val="none"/>
                      <w:lang w:eastAsia="zh-CN"/>
                    </w:rPr>
                    <w:t>。</w:t>
                  </w:r>
                </w:p>
              </w:tc>
            </w:tr>
          </w:tbl>
          <w:p w14:paraId="375E2B95">
            <w:pPr>
              <w:keepNext w:val="0"/>
              <w:keepLines w:val="0"/>
              <w:widowControl/>
              <w:suppressLineNumbers w:val="0"/>
              <w:jc w:val="left"/>
              <w:rPr>
                <w:rFonts w:hint="default"/>
                <w:color w:val="auto"/>
                <w:highlight w:val="none"/>
                <w:lang w:val="en-US" w:eastAsia="zh-CN"/>
              </w:rPr>
            </w:pPr>
            <w:r>
              <w:rPr>
                <w:rFonts w:hint="eastAsia"/>
                <w:color w:val="auto"/>
                <w:highlight w:val="none"/>
              </w:rPr>
              <w:t>运营期</w:t>
            </w:r>
            <w:r>
              <w:rPr>
                <w:rFonts w:hint="eastAsia"/>
                <w:color w:val="auto"/>
                <w:highlight w:val="none"/>
                <w:lang w:val="en-US" w:eastAsia="zh-CN"/>
              </w:rPr>
              <w:t>喷漆过程中产生的有组织废气颗粒物、非甲烷总烃排放</w:t>
            </w:r>
            <w:r>
              <w:rPr>
                <w:rFonts w:hint="eastAsia"/>
                <w:color w:val="auto"/>
                <w:highlight w:val="none"/>
              </w:rPr>
              <w:t>执行《大气污染物综合排放标准》（GB16297-1996）表2新污染源大气排放限值中</w:t>
            </w:r>
            <w:r>
              <w:rPr>
                <w:rFonts w:hint="eastAsia"/>
                <w:color w:val="auto"/>
                <w:highlight w:val="none"/>
                <w:lang w:val="en-US" w:eastAsia="zh-CN"/>
              </w:rPr>
              <w:t>二级排放限值要求</w:t>
            </w:r>
            <w:r>
              <w:rPr>
                <w:rFonts w:hint="eastAsia"/>
                <w:color w:val="auto"/>
                <w:highlight w:val="none"/>
              </w:rPr>
              <w:t>。</w:t>
            </w:r>
            <w:r>
              <w:rPr>
                <w:rFonts w:hint="eastAsia"/>
                <w:color w:val="auto"/>
                <w:highlight w:val="none"/>
                <w:lang w:val="en-US" w:eastAsia="zh-CN"/>
              </w:rPr>
              <w:t>抛丸过程中产生的有组织颗粒物排放执行</w:t>
            </w:r>
            <w:r>
              <w:rPr>
                <w:rFonts w:hint="eastAsia"/>
                <w:color w:val="auto"/>
                <w:highlight w:val="none"/>
              </w:rPr>
              <w:t>《大气污染物综合排放标准》（GB16297-1996）表2新污染源大气排放限值中</w:t>
            </w:r>
            <w:r>
              <w:rPr>
                <w:rFonts w:hint="eastAsia"/>
                <w:color w:val="auto"/>
                <w:highlight w:val="none"/>
                <w:lang w:val="en-US" w:eastAsia="zh-CN"/>
              </w:rPr>
              <w:t>二级排放限值要求</w:t>
            </w:r>
            <w:r>
              <w:rPr>
                <w:rFonts w:hint="eastAsia"/>
                <w:color w:val="auto"/>
                <w:highlight w:val="none"/>
                <w:lang w:eastAsia="zh-CN"/>
              </w:rPr>
              <w:t>，</w:t>
            </w:r>
            <w:r>
              <w:rPr>
                <w:rFonts w:hint="eastAsia"/>
                <w:color w:val="auto"/>
                <w:highlight w:val="none"/>
                <w:lang w:val="en-US" w:eastAsia="zh-CN"/>
              </w:rPr>
              <w:t>厂界无组织颗粒物、非甲烷总烃排放</w:t>
            </w:r>
            <w:r>
              <w:rPr>
                <w:rFonts w:hint="eastAsia"/>
                <w:color w:val="auto"/>
                <w:highlight w:val="none"/>
              </w:rPr>
              <w:t>执行《大气污染物综合排放标准》（GB16297-1996）表2新污染源大气排放限值中</w:t>
            </w:r>
            <w:r>
              <w:rPr>
                <w:rFonts w:hint="eastAsia"/>
                <w:color w:val="auto"/>
                <w:highlight w:val="none"/>
                <w:lang w:val="en-US" w:eastAsia="zh-CN"/>
              </w:rPr>
              <w:t>无组织排放限值要求，厂区内有机废气无组织排放监控点浓度应符合《挥发性有机物无组织排放控制标准》（GB37822-2019）表A.1厂区内VOCs无组织排放限值要求。</w:t>
            </w:r>
          </w:p>
          <w:p w14:paraId="1DE41B22">
            <w:pPr>
              <w:bidi w:val="0"/>
              <w:ind w:left="0" w:leftChars="0" w:firstLine="0" w:firstLineChars="0"/>
              <w:jc w:val="center"/>
              <w:rPr>
                <w:rFonts w:hint="eastAsia"/>
                <w:b/>
                <w:bCs/>
                <w:color w:val="auto"/>
                <w:highlight w:val="none"/>
                <w:lang w:val="en-US" w:eastAsia="zh-CN"/>
              </w:rPr>
            </w:pPr>
            <w:r>
              <w:rPr>
                <w:rFonts w:hint="default"/>
                <w:b/>
                <w:bCs/>
                <w:color w:val="auto"/>
                <w:highlight w:val="none"/>
              </w:rPr>
              <w:t>表3-</w:t>
            </w:r>
            <w:r>
              <w:rPr>
                <w:rFonts w:hint="eastAsia"/>
                <w:b/>
                <w:bCs/>
                <w:color w:val="auto"/>
                <w:highlight w:val="none"/>
                <w:lang w:val="en-US" w:eastAsia="zh-CN"/>
              </w:rPr>
              <w:t>3废气污染物综合排放标准</w:t>
            </w:r>
          </w:p>
          <w:tbl>
            <w:tblPr>
              <w:tblStyle w:val="27"/>
              <w:tblW w:w="797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602"/>
              <w:gridCol w:w="1233"/>
              <w:gridCol w:w="1434"/>
              <w:gridCol w:w="1108"/>
              <w:gridCol w:w="1650"/>
            </w:tblGrid>
            <w:tr w14:paraId="22BD76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Merge w:val="restart"/>
                  <w:tcBorders>
                    <w:left w:val="single" w:color="auto" w:sz="0" w:space="0"/>
                    <w:tl2br w:val="nil"/>
                    <w:tr2bl w:val="nil"/>
                  </w:tcBorders>
                  <w:noWrap w:val="0"/>
                  <w:vAlign w:val="center"/>
                </w:tcPr>
                <w:p w14:paraId="0A54F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污染物</w:t>
                  </w:r>
                </w:p>
              </w:tc>
              <w:tc>
                <w:tcPr>
                  <w:tcW w:w="1602" w:type="dxa"/>
                  <w:vMerge w:val="restart"/>
                  <w:tcBorders>
                    <w:tl2br w:val="nil"/>
                    <w:tr2bl w:val="nil"/>
                  </w:tcBorders>
                  <w:noWrap w:val="0"/>
                  <w:vAlign w:val="center"/>
                </w:tcPr>
                <w:p w14:paraId="5ED0C3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最高允许排放浓度（mg/m³）</w:t>
                  </w:r>
                </w:p>
              </w:tc>
              <w:tc>
                <w:tcPr>
                  <w:tcW w:w="1233" w:type="dxa"/>
                  <w:vMerge w:val="restart"/>
                  <w:tcBorders>
                    <w:tl2br w:val="nil"/>
                    <w:tr2bl w:val="nil"/>
                  </w:tcBorders>
                  <w:noWrap w:val="0"/>
                  <w:vAlign w:val="center"/>
                </w:tcPr>
                <w:p w14:paraId="16DF2C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排气筒高度（m）</w:t>
                  </w:r>
                </w:p>
              </w:tc>
              <w:tc>
                <w:tcPr>
                  <w:tcW w:w="1434" w:type="dxa"/>
                  <w:vMerge w:val="restart"/>
                  <w:tcBorders>
                    <w:tl2br w:val="nil"/>
                    <w:tr2bl w:val="nil"/>
                  </w:tcBorders>
                  <w:noWrap w:val="0"/>
                  <w:vAlign w:val="center"/>
                </w:tcPr>
                <w:p w14:paraId="6F7209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最高允许排放速率（kg/h）</w:t>
                  </w:r>
                </w:p>
              </w:tc>
              <w:tc>
                <w:tcPr>
                  <w:tcW w:w="2758" w:type="dxa"/>
                  <w:gridSpan w:val="2"/>
                  <w:tcBorders>
                    <w:right w:val="single" w:color="auto" w:sz="4" w:space="0"/>
                    <w:tl2br w:val="nil"/>
                    <w:tr2bl w:val="nil"/>
                  </w:tcBorders>
                  <w:noWrap w:val="0"/>
                  <w:vAlign w:val="center"/>
                </w:tcPr>
                <w:p w14:paraId="1FC37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无组织排放监控浓度</w:t>
                  </w:r>
                </w:p>
              </w:tc>
            </w:tr>
            <w:tr w14:paraId="342157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47" w:type="dxa"/>
                  <w:vMerge w:val="continue"/>
                  <w:tcBorders>
                    <w:left w:val="single" w:color="auto" w:sz="4" w:space="0"/>
                    <w:tl2br w:val="nil"/>
                    <w:tr2bl w:val="nil"/>
                  </w:tcBorders>
                  <w:noWrap w:val="0"/>
                  <w:vAlign w:val="center"/>
                </w:tcPr>
                <w:p w14:paraId="2F1E85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p>
              </w:tc>
              <w:tc>
                <w:tcPr>
                  <w:tcW w:w="1602" w:type="dxa"/>
                  <w:vMerge w:val="continue"/>
                  <w:tcBorders>
                    <w:tl2br w:val="nil"/>
                    <w:tr2bl w:val="nil"/>
                  </w:tcBorders>
                  <w:noWrap w:val="0"/>
                  <w:vAlign w:val="center"/>
                </w:tcPr>
                <w:p w14:paraId="01F568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p>
              </w:tc>
              <w:tc>
                <w:tcPr>
                  <w:tcW w:w="1233" w:type="dxa"/>
                  <w:vMerge w:val="continue"/>
                  <w:tcBorders>
                    <w:tl2br w:val="nil"/>
                    <w:tr2bl w:val="nil"/>
                  </w:tcBorders>
                  <w:noWrap w:val="0"/>
                  <w:vAlign w:val="center"/>
                </w:tcPr>
                <w:p w14:paraId="62D733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p>
              </w:tc>
              <w:tc>
                <w:tcPr>
                  <w:tcW w:w="1434" w:type="dxa"/>
                  <w:vMerge w:val="continue"/>
                  <w:tcBorders>
                    <w:tl2br w:val="nil"/>
                    <w:tr2bl w:val="nil"/>
                  </w:tcBorders>
                  <w:noWrap w:val="0"/>
                  <w:vAlign w:val="center"/>
                </w:tcPr>
                <w:p w14:paraId="4DCE96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p>
              </w:tc>
              <w:tc>
                <w:tcPr>
                  <w:tcW w:w="1108" w:type="dxa"/>
                  <w:tcBorders>
                    <w:tl2br w:val="nil"/>
                    <w:tr2bl w:val="nil"/>
                  </w:tcBorders>
                  <w:noWrap w:val="0"/>
                  <w:vAlign w:val="center"/>
                </w:tcPr>
                <w:p w14:paraId="4805CA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监控点</w:t>
                  </w:r>
                </w:p>
              </w:tc>
              <w:tc>
                <w:tcPr>
                  <w:tcW w:w="1650" w:type="dxa"/>
                  <w:tcBorders>
                    <w:right w:val="single" w:color="auto" w:sz="4" w:space="0"/>
                    <w:tl2br w:val="nil"/>
                    <w:tr2bl w:val="nil"/>
                  </w:tcBorders>
                  <w:noWrap w:val="0"/>
                  <w:vAlign w:val="center"/>
                </w:tcPr>
                <w:p w14:paraId="5D4478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浓度（mg/m³）</w:t>
                  </w:r>
                </w:p>
              </w:tc>
            </w:tr>
            <w:tr w14:paraId="4AC0A9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tcBorders>
                    <w:left w:val="single" w:color="auto" w:sz="4" w:space="0"/>
                    <w:tl2br w:val="nil"/>
                    <w:tr2bl w:val="nil"/>
                  </w:tcBorders>
                  <w:noWrap w:val="0"/>
                  <w:vAlign w:val="center"/>
                </w:tcPr>
                <w:p w14:paraId="1A84C6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颗粒物</w:t>
                  </w:r>
                </w:p>
              </w:tc>
              <w:tc>
                <w:tcPr>
                  <w:tcW w:w="1602" w:type="dxa"/>
                  <w:tcBorders>
                    <w:tl2br w:val="nil"/>
                    <w:tr2bl w:val="nil"/>
                  </w:tcBorders>
                  <w:noWrap w:val="0"/>
                  <w:vAlign w:val="center"/>
                </w:tcPr>
                <w:p w14:paraId="0B3ED1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rPr>
                    <w:t>120</w:t>
                  </w:r>
                </w:p>
              </w:tc>
              <w:tc>
                <w:tcPr>
                  <w:tcW w:w="1233" w:type="dxa"/>
                  <w:vMerge w:val="restart"/>
                  <w:tcBorders>
                    <w:tl2br w:val="nil"/>
                    <w:tr2bl w:val="nil"/>
                  </w:tcBorders>
                  <w:noWrap w:val="0"/>
                  <w:vAlign w:val="center"/>
                </w:tcPr>
                <w:p w14:paraId="6EBB8B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15</w:t>
                  </w:r>
                </w:p>
              </w:tc>
              <w:tc>
                <w:tcPr>
                  <w:tcW w:w="1434" w:type="dxa"/>
                  <w:tcBorders>
                    <w:tl2br w:val="nil"/>
                    <w:tr2bl w:val="nil"/>
                  </w:tcBorders>
                  <w:noWrap w:val="0"/>
                  <w:vAlign w:val="center"/>
                </w:tcPr>
                <w:p w14:paraId="102A41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rPr>
                    <w:t>3.5</w:t>
                  </w:r>
                </w:p>
              </w:tc>
              <w:tc>
                <w:tcPr>
                  <w:tcW w:w="1108" w:type="dxa"/>
                  <w:vMerge w:val="restart"/>
                  <w:tcBorders>
                    <w:tl2br w:val="nil"/>
                    <w:tr2bl w:val="nil"/>
                  </w:tcBorders>
                  <w:noWrap w:val="0"/>
                  <w:vAlign w:val="center"/>
                </w:tcPr>
                <w:p w14:paraId="26B90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周界外浓度最高点</w:t>
                  </w:r>
                </w:p>
              </w:tc>
              <w:tc>
                <w:tcPr>
                  <w:tcW w:w="1650" w:type="dxa"/>
                  <w:tcBorders>
                    <w:right w:val="single" w:color="auto" w:sz="4" w:space="0"/>
                    <w:tl2br w:val="nil"/>
                    <w:tr2bl w:val="nil"/>
                  </w:tcBorders>
                  <w:noWrap w:val="0"/>
                  <w:vAlign w:val="center"/>
                </w:tcPr>
                <w:p w14:paraId="7D32E7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rPr>
                    <w:t>1.0</w:t>
                  </w:r>
                </w:p>
              </w:tc>
            </w:tr>
            <w:tr w14:paraId="187468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tcBorders>
                    <w:left w:val="single" w:color="auto" w:sz="4" w:space="0"/>
                    <w:tl2br w:val="nil"/>
                    <w:tr2bl w:val="nil"/>
                  </w:tcBorders>
                  <w:noWrap w:val="0"/>
                  <w:vAlign w:val="center"/>
                </w:tcPr>
                <w:p w14:paraId="62193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非甲烷总烃</w:t>
                  </w:r>
                </w:p>
              </w:tc>
              <w:tc>
                <w:tcPr>
                  <w:tcW w:w="1602" w:type="dxa"/>
                  <w:tcBorders>
                    <w:tl2br w:val="nil"/>
                    <w:tr2bl w:val="nil"/>
                  </w:tcBorders>
                  <w:noWrap w:val="0"/>
                  <w:vAlign w:val="center"/>
                </w:tcPr>
                <w:p w14:paraId="5473F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rPr>
                    <w:t>120</w:t>
                  </w:r>
                </w:p>
              </w:tc>
              <w:tc>
                <w:tcPr>
                  <w:tcW w:w="1233" w:type="dxa"/>
                  <w:vMerge w:val="continue"/>
                  <w:tcBorders>
                    <w:tl2br w:val="nil"/>
                    <w:tr2bl w:val="nil"/>
                  </w:tcBorders>
                  <w:noWrap w:val="0"/>
                  <w:vAlign w:val="center"/>
                </w:tcPr>
                <w:p w14:paraId="40D500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1434" w:type="dxa"/>
                  <w:tcBorders>
                    <w:tl2br w:val="nil"/>
                    <w:tr2bl w:val="nil"/>
                  </w:tcBorders>
                  <w:noWrap w:val="0"/>
                  <w:vAlign w:val="center"/>
                </w:tcPr>
                <w:p w14:paraId="683034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rPr>
                    <w:t>10</w:t>
                  </w:r>
                </w:p>
              </w:tc>
              <w:tc>
                <w:tcPr>
                  <w:tcW w:w="1108" w:type="dxa"/>
                  <w:vMerge w:val="continue"/>
                  <w:tcBorders>
                    <w:tl2br w:val="nil"/>
                    <w:tr2bl w:val="nil"/>
                  </w:tcBorders>
                  <w:noWrap w:val="0"/>
                  <w:vAlign w:val="center"/>
                </w:tcPr>
                <w:p w14:paraId="1711EB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1650" w:type="dxa"/>
                  <w:tcBorders>
                    <w:right w:val="single" w:color="auto" w:sz="4" w:space="0"/>
                    <w:tl2br w:val="nil"/>
                    <w:tr2bl w:val="nil"/>
                  </w:tcBorders>
                  <w:noWrap w:val="0"/>
                  <w:vAlign w:val="center"/>
                </w:tcPr>
                <w:p w14:paraId="07B3F1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rPr>
                    <w:t>4.0</w:t>
                  </w:r>
                </w:p>
              </w:tc>
            </w:tr>
          </w:tbl>
          <w:p w14:paraId="49920A71">
            <w:pPr>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表3-4《挥发性有机物无组织排放控制标准》排放限值</w:t>
            </w:r>
          </w:p>
          <w:tbl>
            <w:tblPr>
              <w:tblStyle w:val="26"/>
              <w:tblW w:w="7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258"/>
              <w:gridCol w:w="1464"/>
              <w:gridCol w:w="2739"/>
              <w:gridCol w:w="1498"/>
            </w:tblGrid>
            <w:tr w14:paraId="4AE4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98" w:type="dxa"/>
                  <w:tcBorders>
                    <w:tl2br w:val="nil"/>
                    <w:tr2bl w:val="nil"/>
                  </w:tcBorders>
                  <w:noWrap w:val="0"/>
                  <w:vAlign w:val="center"/>
                </w:tcPr>
                <w:p w14:paraId="4A4556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污染物</w:t>
                  </w:r>
                </w:p>
              </w:tc>
              <w:tc>
                <w:tcPr>
                  <w:tcW w:w="1258" w:type="dxa"/>
                  <w:tcBorders>
                    <w:tl2br w:val="nil"/>
                    <w:tr2bl w:val="nil"/>
                  </w:tcBorders>
                  <w:noWrap w:val="0"/>
                  <w:vAlign w:val="center"/>
                </w:tcPr>
                <w:p w14:paraId="107DF6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排放限值（mg/m³）</w:t>
                  </w:r>
                </w:p>
              </w:tc>
              <w:tc>
                <w:tcPr>
                  <w:tcW w:w="1464" w:type="dxa"/>
                  <w:tcBorders>
                    <w:tl2br w:val="nil"/>
                    <w:tr2bl w:val="nil"/>
                  </w:tcBorders>
                  <w:noWrap w:val="0"/>
                  <w:vAlign w:val="center"/>
                </w:tcPr>
                <w:p w14:paraId="6C9569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特别排放限值（mg/m³）</w:t>
                  </w:r>
                </w:p>
              </w:tc>
              <w:tc>
                <w:tcPr>
                  <w:tcW w:w="2739" w:type="dxa"/>
                  <w:tcBorders>
                    <w:tl2br w:val="nil"/>
                    <w:tr2bl w:val="nil"/>
                  </w:tcBorders>
                  <w:noWrap w:val="0"/>
                  <w:vAlign w:val="center"/>
                </w:tcPr>
                <w:p w14:paraId="0F966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限制含义</w:t>
                  </w:r>
                </w:p>
              </w:tc>
              <w:tc>
                <w:tcPr>
                  <w:tcW w:w="1498" w:type="dxa"/>
                  <w:tcBorders>
                    <w:tl2br w:val="nil"/>
                    <w:tr2bl w:val="nil"/>
                  </w:tcBorders>
                  <w:noWrap w:val="0"/>
                  <w:vAlign w:val="center"/>
                </w:tcPr>
                <w:p w14:paraId="32F86F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无组织排放监控位置</w:t>
                  </w:r>
                </w:p>
              </w:tc>
            </w:tr>
            <w:tr w14:paraId="1F55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98" w:type="dxa"/>
                  <w:vMerge w:val="restart"/>
                  <w:tcBorders>
                    <w:tl2br w:val="nil"/>
                    <w:tr2bl w:val="nil"/>
                  </w:tcBorders>
                  <w:noWrap w:val="0"/>
                  <w:vAlign w:val="center"/>
                </w:tcPr>
                <w:p w14:paraId="72BE15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NMHC</w:t>
                  </w:r>
                </w:p>
              </w:tc>
              <w:tc>
                <w:tcPr>
                  <w:tcW w:w="1258" w:type="dxa"/>
                  <w:tcBorders>
                    <w:tl2br w:val="nil"/>
                    <w:tr2bl w:val="nil"/>
                  </w:tcBorders>
                  <w:noWrap w:val="0"/>
                  <w:vAlign w:val="center"/>
                </w:tcPr>
                <w:p w14:paraId="33E18D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10</w:t>
                  </w:r>
                </w:p>
              </w:tc>
              <w:tc>
                <w:tcPr>
                  <w:tcW w:w="1464" w:type="dxa"/>
                  <w:tcBorders>
                    <w:tl2br w:val="nil"/>
                    <w:tr2bl w:val="nil"/>
                  </w:tcBorders>
                  <w:noWrap w:val="0"/>
                  <w:vAlign w:val="center"/>
                </w:tcPr>
                <w:p w14:paraId="5F0B66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w:t>
                  </w:r>
                </w:p>
              </w:tc>
              <w:tc>
                <w:tcPr>
                  <w:tcW w:w="2739" w:type="dxa"/>
                  <w:tcBorders>
                    <w:tl2br w:val="nil"/>
                    <w:tr2bl w:val="nil"/>
                  </w:tcBorders>
                  <w:noWrap w:val="0"/>
                  <w:vAlign w:val="center"/>
                </w:tcPr>
                <w:p w14:paraId="44DE68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监控点处1h平均浓度</w:t>
                  </w:r>
                </w:p>
              </w:tc>
              <w:tc>
                <w:tcPr>
                  <w:tcW w:w="1498" w:type="dxa"/>
                  <w:vMerge w:val="restart"/>
                  <w:tcBorders>
                    <w:tl2br w:val="nil"/>
                    <w:tr2bl w:val="nil"/>
                  </w:tcBorders>
                  <w:noWrap w:val="0"/>
                  <w:vAlign w:val="center"/>
                </w:tcPr>
                <w:p w14:paraId="3F3328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在厂房外设置监控点</w:t>
                  </w:r>
                </w:p>
              </w:tc>
            </w:tr>
            <w:tr w14:paraId="7A88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vMerge w:val="continue"/>
                  <w:tcBorders>
                    <w:tl2br w:val="nil"/>
                    <w:tr2bl w:val="nil"/>
                  </w:tcBorders>
                  <w:noWrap w:val="0"/>
                  <w:vAlign w:val="center"/>
                </w:tcPr>
                <w:p w14:paraId="130FD7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1258" w:type="dxa"/>
                  <w:tcBorders>
                    <w:tl2br w:val="nil"/>
                    <w:tr2bl w:val="nil"/>
                  </w:tcBorders>
                  <w:noWrap w:val="0"/>
                  <w:vAlign w:val="center"/>
                </w:tcPr>
                <w:p w14:paraId="00B92E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30</w:t>
                  </w:r>
                </w:p>
              </w:tc>
              <w:tc>
                <w:tcPr>
                  <w:tcW w:w="1464" w:type="dxa"/>
                  <w:tcBorders>
                    <w:tl2br w:val="nil"/>
                    <w:tr2bl w:val="nil"/>
                  </w:tcBorders>
                  <w:noWrap w:val="0"/>
                  <w:vAlign w:val="center"/>
                </w:tcPr>
                <w:p w14:paraId="2879FE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20</w:t>
                  </w:r>
                </w:p>
              </w:tc>
              <w:tc>
                <w:tcPr>
                  <w:tcW w:w="2739" w:type="dxa"/>
                  <w:tcBorders>
                    <w:tl2br w:val="nil"/>
                    <w:tr2bl w:val="nil"/>
                  </w:tcBorders>
                  <w:noWrap w:val="0"/>
                  <w:vAlign w:val="center"/>
                </w:tcPr>
                <w:p w14:paraId="38542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监控点处任意一次浓度值</w:t>
                  </w:r>
                </w:p>
              </w:tc>
              <w:tc>
                <w:tcPr>
                  <w:tcW w:w="1498" w:type="dxa"/>
                  <w:vMerge w:val="continue"/>
                  <w:tcBorders>
                    <w:tl2br w:val="nil"/>
                    <w:tr2bl w:val="nil"/>
                  </w:tcBorders>
                  <w:noWrap w:val="0"/>
                  <w:vAlign w:val="center"/>
                </w:tcPr>
                <w:p w14:paraId="0760E1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bl>
          <w:p w14:paraId="0C9431C0">
            <w:pPr>
              <w:bidi w:val="0"/>
              <w:rPr>
                <w:rFonts w:hint="default"/>
                <w:b/>
                <w:bCs/>
                <w:color w:val="auto"/>
                <w:highlight w:val="none"/>
              </w:rPr>
            </w:pPr>
            <w:r>
              <w:rPr>
                <w:rFonts w:hint="eastAsia"/>
                <w:b/>
                <w:bCs/>
                <w:color w:val="auto"/>
                <w:highlight w:val="none"/>
                <w:lang w:val="en-US" w:eastAsia="zh-CN"/>
              </w:rPr>
              <w:t>二、</w:t>
            </w:r>
            <w:r>
              <w:rPr>
                <w:rFonts w:hint="default"/>
                <w:b/>
                <w:bCs/>
                <w:color w:val="auto"/>
                <w:highlight w:val="none"/>
              </w:rPr>
              <w:t>噪声排放标准</w:t>
            </w:r>
          </w:p>
          <w:p w14:paraId="2518D5ED">
            <w:pPr>
              <w:bidi w:val="0"/>
              <w:rPr>
                <w:rFonts w:hint="default"/>
                <w:color w:val="auto"/>
                <w:highlight w:val="none"/>
              </w:rPr>
            </w:pPr>
            <w:r>
              <w:rPr>
                <w:rFonts w:hint="default"/>
                <w:color w:val="auto"/>
                <w:highlight w:val="none"/>
              </w:rPr>
              <w:t>本项目施工期施工场界噪声排放执行《建筑施工场界环境噪声排放标准》（GB12523-2011）标准限值</w:t>
            </w:r>
            <w:r>
              <w:rPr>
                <w:rFonts w:hint="eastAsia"/>
                <w:color w:val="auto"/>
                <w:highlight w:val="none"/>
                <w:lang w:eastAsia="zh-CN"/>
              </w:rPr>
              <w:t>。</w:t>
            </w:r>
            <w:r>
              <w:rPr>
                <w:rFonts w:hint="default"/>
                <w:color w:val="auto"/>
                <w:highlight w:val="none"/>
              </w:rPr>
              <w:t>项目厂界噪声排放执行《工业企业厂界环境噪声排放标准》（GB12348-2008）</w:t>
            </w:r>
            <w:r>
              <w:rPr>
                <w:rFonts w:hint="eastAsia"/>
                <w:color w:val="auto"/>
                <w:highlight w:val="none"/>
                <w:lang w:val="en-US" w:eastAsia="zh-CN"/>
              </w:rPr>
              <w:t>3类</w:t>
            </w:r>
            <w:r>
              <w:rPr>
                <w:rFonts w:hint="default"/>
                <w:color w:val="auto"/>
                <w:highlight w:val="none"/>
              </w:rPr>
              <w:t>标准，标准值详见下表。</w:t>
            </w:r>
          </w:p>
          <w:p w14:paraId="45DB265A">
            <w:pPr>
              <w:bidi w:val="0"/>
              <w:ind w:left="0" w:leftChars="0" w:firstLine="0" w:firstLineChars="0"/>
              <w:jc w:val="center"/>
              <w:rPr>
                <w:rFonts w:hint="default"/>
                <w:b/>
                <w:bCs/>
                <w:color w:val="auto"/>
                <w:highlight w:val="none"/>
              </w:rPr>
            </w:pPr>
            <w:r>
              <w:rPr>
                <w:rFonts w:hint="default"/>
                <w:b/>
                <w:bCs/>
                <w:color w:val="auto"/>
                <w:highlight w:val="none"/>
              </w:rPr>
              <w:t>表3-</w:t>
            </w:r>
            <w:r>
              <w:rPr>
                <w:rFonts w:hint="eastAsia"/>
                <w:b/>
                <w:bCs/>
                <w:color w:val="auto"/>
                <w:highlight w:val="none"/>
                <w:lang w:val="en-US" w:eastAsia="zh-CN"/>
              </w:rPr>
              <w:t>5</w:t>
            </w:r>
            <w:r>
              <w:rPr>
                <w:rFonts w:hint="default"/>
                <w:b/>
                <w:bCs/>
                <w:color w:val="auto"/>
                <w:highlight w:val="none"/>
              </w:rPr>
              <w:t>《建筑施工场界环境噪声排放标准》（GB12523-2011）</w:t>
            </w:r>
          </w:p>
          <w:tbl>
            <w:tblPr>
              <w:tblStyle w:val="26"/>
              <w:tblW w:w="4901"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3754"/>
              <w:gridCol w:w="4033"/>
            </w:tblGrid>
            <w:tr w14:paraId="0111ED9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cantSplit/>
                <w:trHeight w:val="263" w:hRule="atLeast"/>
                <w:jc w:val="center"/>
              </w:trPr>
              <w:tc>
                <w:tcPr>
                  <w:tcW w:w="5000" w:type="pct"/>
                  <w:gridSpan w:val="2"/>
                  <w:tcBorders>
                    <w:top w:val="single" w:color="auto" w:sz="4" w:space="0"/>
                    <w:left w:val="single" w:color="auto" w:sz="0" w:space="0"/>
                    <w:bottom w:val="single" w:color="auto" w:sz="4" w:space="0"/>
                    <w:right w:val="single" w:color="auto" w:sz="4" w:space="0"/>
                  </w:tcBorders>
                  <w:noWrap w:val="0"/>
                  <w:vAlign w:val="center"/>
                </w:tcPr>
                <w:p w14:paraId="579CDC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噪声限值Leq[dB(A)]</w:t>
                  </w:r>
                </w:p>
              </w:tc>
            </w:tr>
            <w:tr w14:paraId="1F60ECA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13" w:hRule="atLeast"/>
                <w:jc w:val="center"/>
              </w:trPr>
              <w:tc>
                <w:tcPr>
                  <w:tcW w:w="2410" w:type="pct"/>
                  <w:tcBorders>
                    <w:top w:val="single" w:color="auto" w:sz="4" w:space="0"/>
                    <w:left w:val="single" w:color="auto" w:sz="4" w:space="0"/>
                    <w:bottom w:val="single" w:color="auto" w:sz="4" w:space="0"/>
                    <w:right w:val="single" w:color="auto" w:sz="4" w:space="0"/>
                  </w:tcBorders>
                  <w:noWrap w:val="0"/>
                  <w:vAlign w:val="center"/>
                </w:tcPr>
                <w:p w14:paraId="1DC679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昼间</w:t>
                  </w:r>
                </w:p>
              </w:tc>
              <w:tc>
                <w:tcPr>
                  <w:tcW w:w="2590" w:type="pct"/>
                  <w:tcBorders>
                    <w:top w:val="single" w:color="auto" w:sz="4" w:space="0"/>
                    <w:left w:val="single" w:color="auto" w:sz="4" w:space="0"/>
                    <w:bottom w:val="single" w:color="auto" w:sz="4" w:space="0"/>
                    <w:right w:val="single" w:color="auto" w:sz="4" w:space="0"/>
                  </w:tcBorders>
                  <w:noWrap w:val="0"/>
                  <w:vAlign w:val="center"/>
                </w:tcPr>
                <w:p w14:paraId="456117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夜间</w:t>
                  </w:r>
                </w:p>
              </w:tc>
            </w:tr>
            <w:tr w14:paraId="5B1DFC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83" w:hRule="atLeast"/>
                <w:jc w:val="center"/>
              </w:trPr>
              <w:tc>
                <w:tcPr>
                  <w:tcW w:w="2410" w:type="pct"/>
                  <w:tcBorders>
                    <w:top w:val="single" w:color="auto" w:sz="4" w:space="0"/>
                    <w:left w:val="single" w:color="auto" w:sz="4" w:space="0"/>
                    <w:bottom w:val="single" w:color="auto" w:sz="4" w:space="0"/>
                    <w:right w:val="single" w:color="auto" w:sz="4" w:space="0"/>
                  </w:tcBorders>
                  <w:noWrap w:val="0"/>
                  <w:vAlign w:val="center"/>
                </w:tcPr>
                <w:p w14:paraId="005D1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70</w:t>
                  </w:r>
                </w:p>
              </w:tc>
              <w:tc>
                <w:tcPr>
                  <w:tcW w:w="2590" w:type="pct"/>
                  <w:tcBorders>
                    <w:top w:val="single" w:color="auto" w:sz="4" w:space="0"/>
                    <w:left w:val="single" w:color="auto" w:sz="4" w:space="0"/>
                    <w:bottom w:val="single" w:color="auto" w:sz="4" w:space="0"/>
                    <w:right w:val="single" w:color="auto" w:sz="4" w:space="0"/>
                  </w:tcBorders>
                  <w:noWrap w:val="0"/>
                  <w:vAlign w:val="center"/>
                </w:tcPr>
                <w:p w14:paraId="2448B6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bl>
          <w:p w14:paraId="36512AB3">
            <w:pPr>
              <w:bidi w:val="0"/>
              <w:rPr>
                <w:rFonts w:hint="default"/>
                <w:b/>
                <w:bCs/>
                <w:color w:val="auto"/>
                <w:highlight w:val="none"/>
              </w:rPr>
            </w:pPr>
            <w:r>
              <w:rPr>
                <w:rFonts w:hint="default"/>
                <w:b/>
                <w:bCs/>
                <w:color w:val="auto"/>
                <w:highlight w:val="none"/>
              </w:rPr>
              <w:t>表3-</w:t>
            </w:r>
            <w:r>
              <w:rPr>
                <w:rFonts w:hint="eastAsia"/>
                <w:b/>
                <w:bCs/>
                <w:color w:val="auto"/>
                <w:highlight w:val="none"/>
                <w:lang w:val="en-US" w:eastAsia="zh-CN"/>
              </w:rPr>
              <w:t>6</w:t>
            </w:r>
            <w:r>
              <w:rPr>
                <w:rFonts w:hint="default"/>
                <w:b/>
                <w:bCs/>
                <w:color w:val="auto"/>
                <w:highlight w:val="none"/>
              </w:rPr>
              <w:t>《工业企业厂界环境噪声排放标准》（GB12348-2008）</w:t>
            </w:r>
          </w:p>
          <w:tbl>
            <w:tblPr>
              <w:tblStyle w:val="26"/>
              <w:tblW w:w="783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26"/>
              <w:gridCol w:w="2755"/>
              <w:gridCol w:w="2651"/>
            </w:tblGrid>
            <w:tr w14:paraId="73C2C2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426" w:type="dxa"/>
                  <w:tcBorders>
                    <w:top w:val="single" w:color="auto" w:sz="4" w:space="0"/>
                    <w:left w:val="single" w:color="auto" w:sz="0" w:space="0"/>
                  </w:tcBorders>
                  <w:noWrap w:val="0"/>
                  <w:vAlign w:val="center"/>
                </w:tcPr>
                <w:p w14:paraId="786107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类别</w:t>
                  </w:r>
                </w:p>
              </w:tc>
              <w:tc>
                <w:tcPr>
                  <w:tcW w:w="2755" w:type="dxa"/>
                  <w:tcBorders>
                    <w:top w:val="single" w:color="auto" w:sz="4" w:space="0"/>
                  </w:tcBorders>
                  <w:noWrap w:val="0"/>
                  <w:vAlign w:val="center"/>
                </w:tcPr>
                <w:p w14:paraId="0E9296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昼间dB（A）</w:t>
                  </w:r>
                </w:p>
              </w:tc>
              <w:tc>
                <w:tcPr>
                  <w:tcW w:w="2651" w:type="dxa"/>
                  <w:tcBorders>
                    <w:top w:val="single" w:color="auto" w:sz="4" w:space="0"/>
                    <w:right w:val="single" w:color="auto" w:sz="4" w:space="0"/>
                  </w:tcBorders>
                  <w:noWrap w:val="0"/>
                  <w:vAlign w:val="center"/>
                </w:tcPr>
                <w:p w14:paraId="0D299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夜间dB（A）</w:t>
                  </w:r>
                </w:p>
              </w:tc>
            </w:tr>
            <w:tr w14:paraId="66B57D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2426" w:type="dxa"/>
                  <w:tcBorders>
                    <w:left w:val="single" w:color="auto" w:sz="4" w:space="0"/>
                    <w:bottom w:val="single" w:color="auto" w:sz="4" w:space="0"/>
                  </w:tcBorders>
                  <w:noWrap w:val="0"/>
                  <w:vAlign w:val="center"/>
                </w:tcPr>
                <w:p w14:paraId="6FC2A4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3类标准限值dB（A）</w:t>
                  </w:r>
                </w:p>
              </w:tc>
              <w:tc>
                <w:tcPr>
                  <w:tcW w:w="2755" w:type="dxa"/>
                  <w:tcBorders>
                    <w:bottom w:val="single" w:color="auto" w:sz="4" w:space="0"/>
                  </w:tcBorders>
                  <w:noWrap w:val="0"/>
                  <w:vAlign w:val="center"/>
                </w:tcPr>
                <w:p w14:paraId="19090D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65</w:t>
                  </w:r>
                </w:p>
              </w:tc>
              <w:tc>
                <w:tcPr>
                  <w:tcW w:w="2651" w:type="dxa"/>
                  <w:tcBorders>
                    <w:bottom w:val="single" w:color="auto" w:sz="4" w:space="0"/>
                    <w:right w:val="single" w:color="auto" w:sz="4" w:space="0"/>
                  </w:tcBorders>
                  <w:noWrap w:val="0"/>
                  <w:vAlign w:val="center"/>
                </w:tcPr>
                <w:p w14:paraId="5D7060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55</w:t>
                  </w:r>
                </w:p>
              </w:tc>
            </w:tr>
          </w:tbl>
          <w:p w14:paraId="72BC011D">
            <w:pPr>
              <w:bidi w:val="0"/>
              <w:rPr>
                <w:rFonts w:hint="default"/>
                <w:color w:val="auto"/>
                <w:highlight w:val="none"/>
              </w:rPr>
            </w:pPr>
            <w:r>
              <w:rPr>
                <w:rFonts w:hint="eastAsia"/>
                <w:b/>
                <w:bCs/>
                <w:color w:val="auto"/>
                <w:highlight w:val="none"/>
                <w:lang w:val="en-US" w:eastAsia="zh-CN"/>
              </w:rPr>
              <w:t>三、</w:t>
            </w:r>
            <w:r>
              <w:rPr>
                <w:rFonts w:hint="default"/>
                <w:b/>
                <w:bCs/>
                <w:color w:val="auto"/>
                <w:highlight w:val="none"/>
              </w:rPr>
              <w:t>固体废物排放</w:t>
            </w:r>
          </w:p>
          <w:p w14:paraId="2EE5E8C2">
            <w:pPr>
              <w:bidi w:val="0"/>
              <w:rPr>
                <w:rFonts w:hint="default"/>
                <w:color w:val="auto"/>
                <w:highlight w:val="none"/>
              </w:rPr>
            </w:pPr>
            <w:r>
              <w:rPr>
                <w:rFonts w:hint="default"/>
                <w:color w:val="auto"/>
                <w:highlight w:val="none"/>
              </w:rPr>
              <w:t>一般固体执行《一般工业固体废物贮存和填埋污染控制标准》</w:t>
            </w:r>
            <w:r>
              <w:rPr>
                <w:rFonts w:hint="eastAsia"/>
                <w:color w:val="auto"/>
                <w:highlight w:val="none"/>
                <w:lang w:eastAsia="zh-CN"/>
              </w:rPr>
              <w:t>（</w:t>
            </w:r>
            <w:r>
              <w:rPr>
                <w:rFonts w:hint="default"/>
                <w:color w:val="auto"/>
                <w:highlight w:val="none"/>
              </w:rPr>
              <w:t>GB18599-2020</w:t>
            </w:r>
            <w:r>
              <w:rPr>
                <w:rFonts w:hint="eastAsia"/>
                <w:color w:val="auto"/>
                <w:highlight w:val="none"/>
                <w:lang w:eastAsia="zh-CN"/>
              </w:rPr>
              <w:t>）</w:t>
            </w:r>
            <w:r>
              <w:rPr>
                <w:rFonts w:hint="default"/>
                <w:color w:val="auto"/>
                <w:highlight w:val="none"/>
              </w:rPr>
              <w:t>的有关规定要求。危险废物厂内暂存执行《危险废物贮存污染控制标准》（GB18597-20</w:t>
            </w:r>
            <w:r>
              <w:rPr>
                <w:rFonts w:hint="default"/>
                <w:color w:val="auto"/>
                <w:highlight w:val="none"/>
                <w:lang w:val="en-US" w:eastAsia="zh-CN"/>
              </w:rPr>
              <w:t>23</w:t>
            </w:r>
            <w:r>
              <w:rPr>
                <w:rFonts w:hint="default"/>
                <w:color w:val="auto"/>
                <w:highlight w:val="none"/>
              </w:rPr>
              <w:t>）标准</w:t>
            </w:r>
            <w:r>
              <w:rPr>
                <w:rFonts w:hint="default"/>
                <w:color w:val="auto"/>
                <w:highlight w:val="none"/>
                <w:lang w:val="en-US" w:eastAsia="zh-CN"/>
              </w:rPr>
              <w:t>要求</w:t>
            </w:r>
            <w:r>
              <w:rPr>
                <w:rFonts w:hint="default"/>
                <w:color w:val="auto"/>
                <w:highlight w:val="none"/>
              </w:rPr>
              <w:t>。</w:t>
            </w:r>
          </w:p>
        </w:tc>
      </w:tr>
      <w:tr w14:paraId="2278D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800" w:type="dxa"/>
            <w:noWrap w:val="0"/>
            <w:vAlign w:val="center"/>
          </w:tcPr>
          <w:p w14:paraId="5469E55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总量</w:t>
            </w:r>
          </w:p>
          <w:p w14:paraId="36D1BC2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控制</w:t>
            </w:r>
          </w:p>
          <w:p w14:paraId="0276E34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指标</w:t>
            </w:r>
          </w:p>
        </w:tc>
        <w:tc>
          <w:tcPr>
            <w:tcW w:w="8160" w:type="dxa"/>
            <w:noWrap w:val="0"/>
            <w:vAlign w:val="center"/>
          </w:tcPr>
          <w:p w14:paraId="049A940F">
            <w:pPr>
              <w:bidi w:val="0"/>
              <w:rPr>
                <w:rFonts w:hint="default"/>
                <w:color w:val="auto"/>
                <w:highlight w:val="none"/>
                <w:lang w:val="en-US" w:eastAsia="zh-CN"/>
              </w:rPr>
            </w:pPr>
            <w:r>
              <w:rPr>
                <w:rFonts w:hint="default"/>
                <w:color w:val="auto"/>
                <w:highlight w:val="none"/>
                <w:lang w:val="en-US" w:eastAsia="zh-CN"/>
              </w:rPr>
              <w:t>根据国家的相关规定，现阶段我国进行总量控制的指标为SO</w:t>
            </w:r>
            <w:r>
              <w:rPr>
                <w:rFonts w:hint="default"/>
                <w:color w:val="auto"/>
                <w:highlight w:val="none"/>
                <w:vertAlign w:val="subscript"/>
                <w:lang w:val="en-US" w:eastAsia="zh-CN"/>
              </w:rPr>
              <w:t>2</w:t>
            </w:r>
            <w:r>
              <w:rPr>
                <w:rFonts w:hint="default"/>
                <w:color w:val="auto"/>
                <w:highlight w:val="none"/>
                <w:lang w:val="en-US" w:eastAsia="zh-CN"/>
              </w:rPr>
              <w:t>、</w:t>
            </w:r>
            <w:r>
              <w:rPr>
                <w:rFonts w:hint="default"/>
                <w:color w:val="auto"/>
                <w:highlight w:val="none"/>
              </w:rPr>
              <w:t>NO</w:t>
            </w:r>
            <w:r>
              <w:rPr>
                <w:rFonts w:hint="default"/>
                <w:color w:val="auto"/>
                <w:highlight w:val="none"/>
                <w:vertAlign w:val="subscript"/>
              </w:rPr>
              <w:t>X</w:t>
            </w:r>
            <w:r>
              <w:rPr>
                <w:rFonts w:hint="default"/>
                <w:color w:val="auto"/>
                <w:highlight w:val="none"/>
                <w:lang w:val="en-US" w:eastAsia="zh-CN"/>
              </w:rPr>
              <w:t>和COD、NH</w:t>
            </w:r>
            <w:r>
              <w:rPr>
                <w:rFonts w:hint="default"/>
                <w:color w:val="auto"/>
                <w:highlight w:val="none"/>
                <w:vertAlign w:val="subscript"/>
                <w:lang w:val="en-US" w:eastAsia="zh-CN"/>
              </w:rPr>
              <w:t>3</w:t>
            </w:r>
            <w:r>
              <w:rPr>
                <w:rFonts w:hint="default"/>
                <w:color w:val="auto"/>
                <w:highlight w:val="none"/>
                <w:lang w:val="en-US" w:eastAsia="zh-CN"/>
              </w:rPr>
              <w:t>-N四项。</w:t>
            </w:r>
          </w:p>
          <w:p w14:paraId="49DC3A71">
            <w:pPr>
              <w:bidi w:val="0"/>
              <w:rPr>
                <w:rFonts w:hint="default"/>
                <w:color w:val="auto"/>
                <w:highlight w:val="none"/>
                <w:lang w:val="en-US" w:eastAsia="zh-CN"/>
              </w:rPr>
            </w:pPr>
            <w:r>
              <w:rPr>
                <w:rFonts w:hint="default"/>
                <w:color w:val="auto"/>
                <w:highlight w:val="none"/>
                <w:lang w:val="en-US" w:eastAsia="zh-CN"/>
              </w:rPr>
              <w:t>根据自治区“十四五”环境保护规划，将VOCs新纳入总量控制指标。</w:t>
            </w:r>
          </w:p>
          <w:p w14:paraId="18193F4E">
            <w:pPr>
              <w:bidi w:val="0"/>
              <w:rPr>
                <w:rFonts w:hint="default"/>
                <w:color w:val="auto"/>
                <w:highlight w:val="none"/>
                <w:lang w:val="en-US" w:eastAsia="zh-CN"/>
              </w:rPr>
            </w:pPr>
            <w:r>
              <w:rPr>
                <w:rFonts w:hint="default"/>
                <w:color w:val="auto"/>
                <w:highlight w:val="none"/>
              </w:rPr>
              <w:t>本项目</w:t>
            </w:r>
            <w:r>
              <w:rPr>
                <w:rFonts w:hint="eastAsia"/>
                <w:color w:val="auto"/>
                <w:highlight w:val="none"/>
              </w:rPr>
              <w:t>无生产废水</w:t>
            </w:r>
            <w:r>
              <w:rPr>
                <w:rFonts w:hint="eastAsia"/>
                <w:color w:val="auto"/>
                <w:highlight w:val="none"/>
                <w:lang w:eastAsia="zh-CN"/>
              </w:rPr>
              <w:t>，</w:t>
            </w:r>
            <w:r>
              <w:rPr>
                <w:rFonts w:hint="eastAsia"/>
                <w:color w:val="auto"/>
                <w:highlight w:val="none"/>
                <w:lang w:val="en-US" w:eastAsia="zh-CN"/>
              </w:rPr>
              <w:t>生活污水排入市政污水管网</w:t>
            </w:r>
            <w:r>
              <w:rPr>
                <w:rFonts w:hint="eastAsia"/>
                <w:color w:val="auto"/>
                <w:highlight w:val="none"/>
                <w:lang w:eastAsia="zh-CN"/>
              </w:rPr>
              <w:t>。</w:t>
            </w:r>
            <w:r>
              <w:rPr>
                <w:rFonts w:hint="default"/>
                <w:color w:val="auto"/>
                <w:highlight w:val="none"/>
                <w:lang w:val="en-US" w:eastAsia="zh-CN"/>
              </w:rPr>
              <w:t>因此无需申请COD、NH</w:t>
            </w:r>
            <w:r>
              <w:rPr>
                <w:rFonts w:hint="default"/>
                <w:color w:val="auto"/>
                <w:highlight w:val="none"/>
                <w:vertAlign w:val="subscript"/>
                <w:lang w:val="en-US" w:eastAsia="zh-CN"/>
              </w:rPr>
              <w:t>3</w:t>
            </w:r>
            <w:r>
              <w:rPr>
                <w:rFonts w:hint="default"/>
                <w:color w:val="auto"/>
                <w:highlight w:val="none"/>
                <w:lang w:val="en-US" w:eastAsia="zh-CN"/>
              </w:rPr>
              <w:t>-N总量控制指标。</w:t>
            </w:r>
          </w:p>
          <w:p w14:paraId="0EC19D37">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根据工程分析，本项</w:t>
            </w:r>
            <w:r>
              <w:rPr>
                <w:rFonts w:hint="eastAsia" w:ascii="Times New Roman" w:hAnsi="Times New Roman" w:eastAsia="宋体" w:cs="Times New Roman"/>
                <w:color w:val="auto"/>
                <w:highlight w:val="none"/>
                <w:lang w:val="en-US" w:eastAsia="zh-CN"/>
              </w:rPr>
              <w:t>目非甲烷总烃</w:t>
            </w:r>
            <w:r>
              <w:rPr>
                <w:rFonts w:hint="default" w:ascii="Times New Roman" w:hAnsi="Times New Roman" w:eastAsia="宋体" w:cs="Times New Roman"/>
                <w:color w:val="auto"/>
                <w:highlight w:val="none"/>
                <w:lang w:val="en-US" w:eastAsia="zh-CN"/>
              </w:rPr>
              <w:t>排放量为</w:t>
            </w:r>
            <w:r>
              <w:rPr>
                <w:rFonts w:hint="eastAsia" w:ascii="Times New Roman" w:hAnsi="Times New Roman" w:eastAsia="宋体" w:cs="Times New Roman"/>
                <w:color w:val="auto"/>
                <w:highlight w:val="none"/>
                <w:lang w:val="en-US" w:eastAsia="zh-CN"/>
              </w:rPr>
              <w:t>0.06</w:t>
            </w:r>
            <w:r>
              <w:rPr>
                <w:rFonts w:hint="default" w:ascii="Times New Roman" w:hAnsi="Times New Roman" w:eastAsia="宋体" w:cs="Times New Roman"/>
                <w:color w:val="auto"/>
                <w:highlight w:val="none"/>
                <w:lang w:val="en-US" w:eastAsia="zh-CN"/>
              </w:rPr>
              <w:t>t/a。</w:t>
            </w:r>
          </w:p>
          <w:p w14:paraId="68C4C785">
            <w:pPr>
              <w:bidi w:val="0"/>
              <w:rPr>
                <w:rFonts w:hint="default"/>
                <w:color w:val="auto"/>
                <w:highlight w:val="none"/>
              </w:rPr>
            </w:pPr>
            <w:r>
              <w:rPr>
                <w:rFonts w:hint="default"/>
                <w:color w:val="auto"/>
                <w:highlight w:val="none"/>
              </w:rPr>
              <w:t>综上所述，本环评提出总量控制指标，具体见</w:t>
            </w:r>
            <w:r>
              <w:rPr>
                <w:rFonts w:hint="eastAsia"/>
                <w:color w:val="auto"/>
                <w:highlight w:val="none"/>
                <w:lang w:val="en-US" w:eastAsia="zh-CN"/>
              </w:rPr>
              <w:t>下</w:t>
            </w:r>
            <w:r>
              <w:rPr>
                <w:rFonts w:hint="default"/>
                <w:color w:val="auto"/>
                <w:highlight w:val="none"/>
              </w:rPr>
              <w:t>表。</w:t>
            </w:r>
          </w:p>
          <w:p w14:paraId="58CA737B">
            <w:pPr>
              <w:bidi w:val="0"/>
              <w:ind w:left="0" w:leftChars="0" w:firstLine="0" w:firstLineChars="0"/>
              <w:jc w:val="center"/>
              <w:rPr>
                <w:rFonts w:hint="default"/>
                <w:b/>
                <w:bCs/>
                <w:color w:val="auto"/>
                <w:highlight w:val="none"/>
              </w:rPr>
            </w:pPr>
            <w:r>
              <w:rPr>
                <w:rFonts w:hint="default"/>
                <w:b/>
                <w:bCs/>
                <w:color w:val="auto"/>
                <w:highlight w:val="none"/>
              </w:rPr>
              <w:t>表3-</w:t>
            </w:r>
            <w:r>
              <w:rPr>
                <w:rFonts w:hint="eastAsia"/>
                <w:b/>
                <w:bCs/>
                <w:color w:val="auto"/>
                <w:highlight w:val="none"/>
                <w:lang w:val="en-US" w:eastAsia="zh-CN"/>
              </w:rPr>
              <w:t>7</w:t>
            </w:r>
            <w:r>
              <w:rPr>
                <w:rFonts w:hint="default"/>
                <w:b/>
                <w:bCs/>
                <w:color w:val="auto"/>
                <w:highlight w:val="none"/>
              </w:rPr>
              <w:t>本项目总量控制指标</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0"/>
              <w:gridCol w:w="4359"/>
            </w:tblGrid>
            <w:tr w14:paraId="088E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1" w:type="pct"/>
                  <w:noWrap w:val="0"/>
                  <w:vAlign w:val="center"/>
                </w:tcPr>
                <w:p w14:paraId="714E66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rPr>
                  </w:pPr>
                  <w:r>
                    <w:rPr>
                      <w:rFonts w:hint="default"/>
                      <w:color w:val="auto"/>
                      <w:highlight w:val="none"/>
                    </w:rPr>
                    <w:t>项目</w:t>
                  </w:r>
                </w:p>
              </w:tc>
              <w:tc>
                <w:tcPr>
                  <w:tcW w:w="2748" w:type="pct"/>
                  <w:noWrap w:val="0"/>
                  <w:vAlign w:val="center"/>
                </w:tcPr>
                <w:p w14:paraId="2EDAB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rPr>
                  </w:pPr>
                  <w:r>
                    <w:rPr>
                      <w:rFonts w:hint="default"/>
                      <w:color w:val="auto"/>
                      <w:highlight w:val="none"/>
                    </w:rPr>
                    <w:t>VOC</w:t>
                  </w:r>
                </w:p>
              </w:tc>
            </w:tr>
            <w:tr w14:paraId="2208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51" w:type="pct"/>
                  <w:noWrap w:val="0"/>
                  <w:vAlign w:val="center"/>
                </w:tcPr>
                <w:p w14:paraId="6DCD5D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rPr>
                  </w:pPr>
                  <w:r>
                    <w:rPr>
                      <w:rFonts w:hint="default"/>
                      <w:color w:val="auto"/>
                      <w:highlight w:val="none"/>
                    </w:rPr>
                    <w:t>排放量（t/a）</w:t>
                  </w:r>
                </w:p>
              </w:tc>
              <w:tc>
                <w:tcPr>
                  <w:tcW w:w="2748" w:type="pct"/>
                  <w:noWrap w:val="0"/>
                  <w:vAlign w:val="center"/>
                </w:tcPr>
                <w:p w14:paraId="5961FB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rPr>
                  </w:pPr>
                  <w:r>
                    <w:rPr>
                      <w:rFonts w:hint="default"/>
                      <w:color w:val="auto"/>
                      <w:highlight w:val="none"/>
                      <w:lang w:val="en-US" w:eastAsia="zh-CN"/>
                    </w:rPr>
                    <w:t>0.0</w:t>
                  </w:r>
                  <w:r>
                    <w:rPr>
                      <w:rFonts w:hint="eastAsia"/>
                      <w:color w:val="auto"/>
                      <w:highlight w:val="none"/>
                      <w:lang w:val="en-US" w:eastAsia="zh-CN"/>
                    </w:rPr>
                    <w:t>6</w:t>
                  </w:r>
                </w:p>
              </w:tc>
            </w:tr>
          </w:tbl>
          <w:p w14:paraId="12EF698A">
            <w:pPr>
              <w:adjustRightInd w:val="0"/>
              <w:snapToGrid w:val="0"/>
              <w:ind w:left="0" w:leftChars="0" w:firstLine="0" w:firstLineChars="0"/>
              <w:jc w:val="both"/>
              <w:rPr>
                <w:rFonts w:hint="default" w:ascii="Times New Roman" w:hAnsi="Times New Roman" w:cs="Times New Roman"/>
                <w:color w:val="auto"/>
                <w:kern w:val="0"/>
                <w:szCs w:val="21"/>
                <w:highlight w:val="none"/>
              </w:rPr>
            </w:pPr>
          </w:p>
        </w:tc>
      </w:tr>
    </w:tbl>
    <w:p w14:paraId="47F2CDDE">
      <w:pPr>
        <w:pStyle w:val="21"/>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13902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746" w:type="dxa"/>
            <w:noWrap w:val="0"/>
            <w:tcMar>
              <w:left w:w="28" w:type="dxa"/>
              <w:right w:w="28" w:type="dxa"/>
            </w:tcMar>
            <w:vAlign w:val="center"/>
          </w:tcPr>
          <w:p w14:paraId="4CCF0A5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施工期环境保护措施</w:t>
            </w:r>
          </w:p>
        </w:tc>
        <w:tc>
          <w:tcPr>
            <w:tcW w:w="8162" w:type="dxa"/>
            <w:noWrap w:val="0"/>
            <w:vAlign w:val="center"/>
          </w:tcPr>
          <w:p w14:paraId="0ACC4013">
            <w:pPr>
              <w:bidi w:val="0"/>
              <w:rPr>
                <w:rFonts w:hint="default"/>
                <w:color w:val="auto"/>
                <w:highlight w:val="none"/>
              </w:rPr>
            </w:pPr>
            <w:r>
              <w:rPr>
                <w:rFonts w:hint="default"/>
                <w:color w:val="auto"/>
                <w:highlight w:val="none"/>
              </w:rPr>
              <w:t>本项目在现有厂房内进行生产活动。项目施工期只对厂房进行简单的装修、旧设备的拆卸、新设备的安装，污染物产生量较小，通过对施工现场定期洒水抑尘、合理安排施工作业时间，加强施工管理等措施后，项目施工期污染物不会对周围环境产生明显影响。</w:t>
            </w:r>
          </w:p>
          <w:p w14:paraId="1060BD4F">
            <w:pPr>
              <w:bidi w:val="0"/>
              <w:rPr>
                <w:rFonts w:hint="default"/>
                <w:b/>
                <w:bCs/>
                <w:color w:val="auto"/>
                <w:highlight w:val="none"/>
                <w:lang w:val="en-US" w:eastAsia="zh-CN"/>
              </w:rPr>
            </w:pPr>
            <w:r>
              <w:rPr>
                <w:rFonts w:hint="eastAsia"/>
                <w:b/>
                <w:bCs/>
                <w:color w:val="auto"/>
                <w:highlight w:val="none"/>
                <w:lang w:val="en-US" w:eastAsia="zh-CN"/>
              </w:rPr>
              <w:t>一</w:t>
            </w:r>
            <w:r>
              <w:rPr>
                <w:rFonts w:hint="default"/>
                <w:b/>
                <w:bCs/>
                <w:color w:val="auto"/>
                <w:highlight w:val="none"/>
                <w:lang w:val="en-US" w:eastAsia="zh-CN"/>
              </w:rPr>
              <w:t>、施工期大气环境影响分析</w:t>
            </w:r>
          </w:p>
          <w:p w14:paraId="0F7C684D">
            <w:pPr>
              <w:bidi w:val="0"/>
              <w:rPr>
                <w:rFonts w:hint="default"/>
                <w:color w:val="auto"/>
                <w:highlight w:val="none"/>
                <w:lang w:val="en-US" w:eastAsia="zh-CN"/>
              </w:rPr>
            </w:pPr>
            <w:r>
              <w:rPr>
                <w:rFonts w:hint="default"/>
                <w:color w:val="auto"/>
                <w:highlight w:val="none"/>
                <w:lang w:val="en-US" w:eastAsia="zh-CN"/>
              </w:rPr>
              <w:t>施工期</w:t>
            </w:r>
            <w:r>
              <w:rPr>
                <w:rFonts w:hint="eastAsia"/>
                <w:color w:val="auto"/>
                <w:highlight w:val="none"/>
                <w:lang w:val="en-US" w:eastAsia="zh-CN"/>
              </w:rPr>
              <w:t>厂房</w:t>
            </w:r>
            <w:r>
              <w:rPr>
                <w:rFonts w:hint="default"/>
                <w:color w:val="auto"/>
                <w:highlight w:val="none"/>
                <w:lang w:val="en-US" w:eastAsia="zh-CN"/>
              </w:rPr>
              <w:t>装修会产生一定量的废气，若处置不当，不采取有效的防治措施，会对施工人员的身体健康产生不利影响，甚至因为装修废气不能有效散发出去，导致室内空气污染。因此建设单位须采取有效的防治措施将上述影响降至最低。具体如下：</w:t>
            </w:r>
          </w:p>
          <w:p w14:paraId="650BDCDE">
            <w:pPr>
              <w:bidi w:val="0"/>
              <w:rPr>
                <w:rFonts w:hint="default"/>
                <w:color w:val="auto"/>
                <w:highlight w:val="none"/>
                <w:lang w:val="en-US" w:eastAsia="zh-CN"/>
              </w:rPr>
            </w:pPr>
            <w:r>
              <w:rPr>
                <w:rFonts w:hint="default"/>
                <w:color w:val="auto"/>
                <w:highlight w:val="none"/>
                <w:lang w:val="en-US" w:eastAsia="zh-CN"/>
              </w:rPr>
              <w:t>（1）装修过程要加强</w:t>
            </w:r>
            <w:r>
              <w:rPr>
                <w:rFonts w:hint="eastAsia"/>
                <w:color w:val="auto"/>
                <w:highlight w:val="none"/>
                <w:lang w:val="en-US" w:eastAsia="zh-CN"/>
              </w:rPr>
              <w:t>室内</w:t>
            </w:r>
            <w:r>
              <w:rPr>
                <w:rFonts w:hint="default"/>
                <w:color w:val="auto"/>
                <w:highlight w:val="none"/>
                <w:lang w:val="en-US" w:eastAsia="zh-CN"/>
              </w:rPr>
              <w:t>通风，刷环氧地坪，墙体上刷涂料的时候会产生有机废气，应加强通风，便于气体扩散，以免对施工人员造成影响。</w:t>
            </w:r>
          </w:p>
          <w:p w14:paraId="0B2151A4">
            <w:pPr>
              <w:bidi w:val="0"/>
              <w:rPr>
                <w:rFonts w:hint="default"/>
                <w:color w:val="auto"/>
                <w:highlight w:val="none"/>
                <w:lang w:val="en-US" w:eastAsia="zh-CN"/>
              </w:rPr>
            </w:pPr>
            <w:r>
              <w:rPr>
                <w:rFonts w:hint="default"/>
                <w:color w:val="auto"/>
                <w:highlight w:val="none"/>
                <w:lang w:val="en-US" w:eastAsia="zh-CN"/>
              </w:rPr>
              <w:t>（2）加强施工队伍的管理，提升施工人员自身素质，做到有序施工、文明施工，减少施工期环境污染影响。</w:t>
            </w:r>
          </w:p>
          <w:p w14:paraId="126B88DF">
            <w:pPr>
              <w:bidi w:val="0"/>
              <w:rPr>
                <w:rFonts w:hint="default"/>
                <w:color w:val="auto"/>
                <w:highlight w:val="none"/>
              </w:rPr>
            </w:pPr>
            <w:r>
              <w:rPr>
                <w:rFonts w:hint="default"/>
                <w:color w:val="auto"/>
                <w:highlight w:val="none"/>
                <w:lang w:eastAsia="zh-CN"/>
              </w:rPr>
              <w:t>（</w:t>
            </w:r>
            <w:r>
              <w:rPr>
                <w:rFonts w:hint="default"/>
                <w:color w:val="auto"/>
                <w:highlight w:val="none"/>
                <w:lang w:val="en-US" w:eastAsia="zh-CN"/>
              </w:rPr>
              <w:t>3</w:t>
            </w:r>
            <w:r>
              <w:rPr>
                <w:rFonts w:hint="default"/>
                <w:color w:val="auto"/>
                <w:highlight w:val="none"/>
                <w:lang w:eastAsia="zh-CN"/>
              </w:rPr>
              <w:t>）</w:t>
            </w:r>
            <w:r>
              <w:rPr>
                <w:rFonts w:hint="default"/>
                <w:color w:val="auto"/>
                <w:highlight w:val="none"/>
              </w:rPr>
              <w:t>项目建设过程中车辆进出场地低速慢行，大风天停止施工等措施，扬尘产生量得到明显降低。加之本项目无土建工程量，施工周期短，项目施工对周边环境影响较小。</w:t>
            </w:r>
          </w:p>
          <w:p w14:paraId="1700E12A">
            <w:pPr>
              <w:bidi w:val="0"/>
              <w:rPr>
                <w:rFonts w:hint="default"/>
                <w:b/>
                <w:bCs/>
                <w:color w:val="auto"/>
                <w:highlight w:val="none"/>
                <w:lang w:eastAsia="zh-CN"/>
              </w:rPr>
            </w:pPr>
            <w:r>
              <w:rPr>
                <w:rFonts w:hint="eastAsia"/>
                <w:b/>
                <w:bCs/>
                <w:color w:val="auto"/>
                <w:highlight w:val="none"/>
                <w:lang w:val="en-US" w:eastAsia="zh-CN"/>
              </w:rPr>
              <w:t>二</w:t>
            </w:r>
            <w:r>
              <w:rPr>
                <w:rFonts w:hint="default"/>
                <w:b/>
                <w:bCs/>
                <w:color w:val="auto"/>
                <w:highlight w:val="none"/>
                <w:lang w:val="en-US" w:eastAsia="zh-CN"/>
              </w:rPr>
              <w:t>、</w:t>
            </w:r>
            <w:r>
              <w:rPr>
                <w:rFonts w:hint="default"/>
                <w:b/>
                <w:bCs/>
                <w:color w:val="auto"/>
                <w:highlight w:val="none"/>
              </w:rPr>
              <w:t>施工期噪声环境保护措施</w:t>
            </w:r>
          </w:p>
          <w:p w14:paraId="48177A69">
            <w:pPr>
              <w:bidi w:val="0"/>
              <w:rPr>
                <w:rFonts w:hint="default"/>
                <w:color w:val="auto"/>
                <w:highlight w:val="none"/>
              </w:rPr>
            </w:pPr>
            <w:r>
              <w:rPr>
                <w:rFonts w:hint="default"/>
                <w:color w:val="auto"/>
                <w:highlight w:val="none"/>
              </w:rPr>
              <w:t>本项目施工期噪声主要包括建筑施工噪声和交通噪声两类。根据施工主要的噪声源有：电锯、设备等。此外在整个施工过程中，以重型卡车为主的运输车辆所产生的交通噪声。项目200m范围内无居民等敏感点，施工期产生的噪声对当地环境影响不大。</w:t>
            </w:r>
          </w:p>
          <w:p w14:paraId="42DF1467">
            <w:pPr>
              <w:bidi w:val="0"/>
              <w:rPr>
                <w:rFonts w:hint="default"/>
                <w:b/>
                <w:bCs/>
                <w:color w:val="auto"/>
                <w:highlight w:val="none"/>
                <w:lang w:eastAsia="zh-CN"/>
              </w:rPr>
            </w:pPr>
            <w:r>
              <w:rPr>
                <w:rFonts w:hint="eastAsia"/>
                <w:b/>
                <w:bCs/>
                <w:color w:val="auto"/>
                <w:highlight w:val="none"/>
                <w:lang w:val="en-US" w:eastAsia="zh-CN"/>
              </w:rPr>
              <w:t>三</w:t>
            </w:r>
            <w:r>
              <w:rPr>
                <w:rFonts w:hint="default"/>
                <w:b/>
                <w:bCs/>
                <w:color w:val="auto"/>
                <w:highlight w:val="none"/>
                <w:lang w:val="en-US" w:eastAsia="zh-CN"/>
              </w:rPr>
              <w:t>、</w:t>
            </w:r>
            <w:r>
              <w:rPr>
                <w:rFonts w:hint="default"/>
                <w:b/>
                <w:bCs/>
                <w:color w:val="auto"/>
                <w:highlight w:val="none"/>
              </w:rPr>
              <w:t>施工期水环境保护措施</w:t>
            </w:r>
          </w:p>
          <w:p w14:paraId="1470777C">
            <w:pPr>
              <w:bidi w:val="0"/>
              <w:rPr>
                <w:rFonts w:hint="default"/>
                <w:color w:val="auto"/>
                <w:highlight w:val="none"/>
                <w:lang w:val="en-US" w:eastAsia="zh-CN"/>
              </w:rPr>
            </w:pPr>
            <w:r>
              <w:rPr>
                <w:rFonts w:hint="default"/>
                <w:color w:val="auto"/>
                <w:highlight w:val="none"/>
                <w:lang w:val="en-US" w:eastAsia="zh-CN"/>
              </w:rPr>
              <w:t>本项目施工期废水主要为施工生产废水和施工人员的生活污水。施工人员雇用当地居民，不设置施工营地。生活污水主要为施工队伍的盥洗废水，盥洗废水中主要污染物为COD、NH</w:t>
            </w:r>
            <w:r>
              <w:rPr>
                <w:rFonts w:hint="default"/>
                <w:color w:val="auto"/>
                <w:highlight w:val="none"/>
                <w:vertAlign w:val="subscript"/>
                <w:lang w:val="en-US" w:eastAsia="zh-CN"/>
              </w:rPr>
              <w:t>3</w:t>
            </w:r>
            <w:r>
              <w:rPr>
                <w:rFonts w:hint="default"/>
                <w:color w:val="auto"/>
                <w:highlight w:val="none"/>
                <w:lang w:val="en-US" w:eastAsia="zh-CN"/>
              </w:rPr>
              <w:t>-N及SS，施工人员生活污水依托当地居民现有卫生设施解决。施工废水集中收集，定期排至临时沉淀池沉淀后回用于施工和厂区绿化。</w:t>
            </w:r>
          </w:p>
          <w:p w14:paraId="2A59C3F2">
            <w:pPr>
              <w:bidi w:val="0"/>
              <w:rPr>
                <w:rFonts w:hint="default"/>
                <w:b/>
                <w:bCs/>
                <w:color w:val="auto"/>
                <w:highlight w:val="none"/>
                <w:lang w:eastAsia="zh-CN"/>
              </w:rPr>
            </w:pPr>
            <w:r>
              <w:rPr>
                <w:rFonts w:hint="eastAsia"/>
                <w:b/>
                <w:bCs/>
                <w:color w:val="auto"/>
                <w:highlight w:val="none"/>
                <w:lang w:val="en-US" w:eastAsia="zh-CN"/>
              </w:rPr>
              <w:t>四</w:t>
            </w:r>
            <w:r>
              <w:rPr>
                <w:rFonts w:hint="default"/>
                <w:b/>
                <w:bCs/>
                <w:color w:val="auto"/>
                <w:highlight w:val="none"/>
                <w:lang w:val="en-US" w:eastAsia="zh-CN"/>
              </w:rPr>
              <w:t>、</w:t>
            </w:r>
            <w:r>
              <w:rPr>
                <w:rFonts w:hint="default"/>
                <w:b/>
                <w:bCs/>
                <w:color w:val="auto"/>
                <w:highlight w:val="none"/>
              </w:rPr>
              <w:t>施工期固废环境保护措施</w:t>
            </w:r>
          </w:p>
          <w:p w14:paraId="0E373587">
            <w:pPr>
              <w:bidi w:val="0"/>
              <w:rPr>
                <w:rFonts w:hint="default"/>
                <w:color w:val="auto"/>
                <w:highlight w:val="none"/>
              </w:rPr>
            </w:pPr>
            <w:r>
              <w:rPr>
                <w:rFonts w:hint="default"/>
                <w:color w:val="auto"/>
                <w:highlight w:val="none"/>
                <w:lang w:val="en-US" w:eastAsia="zh-CN"/>
              </w:rPr>
              <w:t>施工中产生的固体废物主要是建筑垃圾、地基挖掘产生的土方和生活垃圾。工程厂区地势平坦、无大型构筑物，挖方大部分用于回填地基，剩余部分用于厂区沟坑的填埋及厂区的平整；建筑垃圾送市政部门指定地点填埋；生活垃圾产生量较小，暂存于垃圾箱，定期交由环卫部门处置。</w:t>
            </w:r>
          </w:p>
        </w:tc>
      </w:tr>
      <w:tr w14:paraId="4E3C5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43" w:hRule="atLeast"/>
          <w:jc w:val="center"/>
        </w:trPr>
        <w:tc>
          <w:tcPr>
            <w:tcW w:w="746" w:type="dxa"/>
            <w:noWrap w:val="0"/>
            <w:tcMar>
              <w:left w:w="28" w:type="dxa"/>
              <w:right w:w="28" w:type="dxa"/>
            </w:tcMar>
            <w:vAlign w:val="center"/>
          </w:tcPr>
          <w:p w14:paraId="420C55A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运营期环境影响和保护措施</w:t>
            </w:r>
          </w:p>
        </w:tc>
        <w:tc>
          <w:tcPr>
            <w:tcW w:w="8162" w:type="dxa"/>
            <w:noWrap w:val="0"/>
            <w:vAlign w:val="center"/>
          </w:tcPr>
          <w:p w14:paraId="5F2D8A61">
            <w:pPr>
              <w:bidi w:val="0"/>
              <w:rPr>
                <w:rFonts w:hint="default"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lang w:val="en-US" w:eastAsia="zh-CN"/>
              </w:rPr>
              <w:t>一、</w:t>
            </w:r>
            <w:r>
              <w:rPr>
                <w:rFonts w:hint="default" w:ascii="Times New Roman" w:hAnsi="Times New Roman" w:eastAsia="宋体" w:cs="Times New Roman"/>
                <w:b/>
                <w:bCs/>
                <w:color w:val="auto"/>
                <w:highlight w:val="none"/>
              </w:rPr>
              <w:t>运营期环境影响分析</w:t>
            </w:r>
          </w:p>
          <w:p w14:paraId="3C3AFA31">
            <w:pPr>
              <w:bidi w:val="0"/>
              <w:rPr>
                <w:rFonts w:hint="eastAsia"/>
                <w:b/>
                <w:bCs/>
                <w:color w:val="auto"/>
                <w:highlight w:val="none"/>
                <w:lang w:val="en-US" w:eastAsia="zh-CN"/>
              </w:rPr>
            </w:pPr>
            <w:r>
              <w:rPr>
                <w:rFonts w:hint="eastAsia"/>
                <w:b/>
                <w:bCs/>
                <w:color w:val="auto"/>
                <w:highlight w:val="none"/>
                <w:lang w:val="en-US" w:eastAsia="zh-CN"/>
              </w:rPr>
              <w:t>1、废气源强核算</w:t>
            </w:r>
          </w:p>
          <w:p w14:paraId="47AC00CE">
            <w:pPr>
              <w:bidi w:val="0"/>
              <w:rPr>
                <w:rFonts w:hint="default"/>
                <w:b/>
                <w:bCs/>
                <w:color w:val="auto"/>
                <w:highlight w:val="none"/>
                <w:lang w:val="en-US" w:eastAsia="zh-CN"/>
              </w:rPr>
            </w:pPr>
            <w:r>
              <w:rPr>
                <w:rFonts w:hint="eastAsia"/>
                <w:b/>
                <w:bCs/>
                <w:color w:val="auto"/>
                <w:highlight w:val="none"/>
                <w:lang w:val="en-US" w:eastAsia="zh-CN"/>
              </w:rPr>
              <w:t>（1）抛丸废气</w:t>
            </w:r>
          </w:p>
          <w:p w14:paraId="3A86E139">
            <w:pPr>
              <w:bidi w:val="0"/>
              <w:rPr>
                <w:rFonts w:hint="eastAsia" w:eastAsia="宋体"/>
                <w:color w:val="auto"/>
                <w:highlight w:val="none"/>
                <w:lang w:val="en-US" w:eastAsia="zh-CN"/>
              </w:rPr>
            </w:pPr>
            <w:r>
              <w:rPr>
                <w:rFonts w:hint="eastAsia"/>
                <w:color w:val="auto"/>
                <w:highlight w:val="none"/>
                <w:lang w:val="en-US" w:eastAsia="zh-CN"/>
              </w:rPr>
              <w:t>本项目抛丸工序在全封闭生产车间内进行，利用抛丸机对喷漆设备进行抛丸处理，清除表面的锈迹保证表面质量。本项目设置2台抛丸机，一备一用，根据建设单位提供资料，本项目年处理约12000吨工件进行抛丸处理，采用半自动机械进行抛丸。参考《排放源统计调查产排污核算方法和系数手册》生态环境部公告2021年第24号，机械行业系数手册，06预处理-抛丸的产污系数按2.19kg/（吨-原料）计，工业废气量为8500立方米/吨-原料，则工业废气量为10200万m³/a，颗粒物产生量为26.28t/a，生产车间全封闭，抛丸粉尘经集气罩收集后，通过管道连接至袋式除尘器，处理后通过一根15m高排气筒（DA001）排放。根据《排放源统计调查产排污核算方法和系数手册》06预处理-抛丸，末端治理技术采用袋式除尘时，治理效率可达95%，集气罩收集效率按90%计，袋式除尘器处理效率为95%，抛丸工序年工作时长为2120h。经计算，颗粒物排放量为26.28×0.9×（1-95%）=1.18t/a，排放浓度为11.57mg/m³，排放速率为0.56kg/h，抛丸过程中产生的颗粒物有组织排放浓度计排放速率均满足《大气污染物综合排放标准》（GB16297-1996）表2新污染源大气污染物排放限值二级标准限值。</w:t>
            </w:r>
          </w:p>
          <w:p w14:paraId="0127219D">
            <w:pPr>
              <w:bidi w:val="0"/>
              <w:rPr>
                <w:rFonts w:hint="default"/>
                <w:color w:val="auto"/>
                <w:highlight w:val="none"/>
                <w:lang w:val="en-US" w:eastAsia="zh-CN"/>
              </w:rPr>
            </w:pPr>
            <w:r>
              <w:rPr>
                <w:rFonts w:hint="eastAsia"/>
                <w:color w:val="auto"/>
                <w:highlight w:val="none"/>
                <w:lang w:val="en-US" w:eastAsia="zh-CN"/>
              </w:rPr>
              <w:t>抛丸无组织颗粒物排放量为2.63t/a，抛丸无组织颗粒物排放速率为1.24kg/h，无组织颗粒物排放量较小，在全封闭生产车间内逸散。</w:t>
            </w:r>
          </w:p>
          <w:p w14:paraId="07D4B331">
            <w:pPr>
              <w:bidi w:val="0"/>
              <w:rPr>
                <w:rFonts w:hint="default"/>
                <w:b/>
                <w:bCs/>
                <w:color w:val="auto"/>
                <w:highlight w:val="none"/>
                <w:lang w:val="en-US" w:eastAsia="zh-CN"/>
              </w:rPr>
            </w:pPr>
            <w:r>
              <w:rPr>
                <w:rFonts w:hint="eastAsia"/>
                <w:b/>
                <w:bCs/>
                <w:color w:val="auto"/>
                <w:highlight w:val="none"/>
                <w:lang w:val="en-US" w:eastAsia="zh-CN"/>
              </w:rPr>
              <w:t>（2）焊接废气</w:t>
            </w:r>
          </w:p>
          <w:p w14:paraId="1C56ED8C">
            <w:pPr>
              <w:bidi w:val="0"/>
              <w:rPr>
                <w:rFonts w:hint="eastAsia"/>
                <w:color w:val="auto"/>
                <w:highlight w:val="none"/>
                <w:lang w:val="en-US" w:eastAsia="zh-CN"/>
              </w:rPr>
            </w:pPr>
            <w:r>
              <w:rPr>
                <w:rFonts w:hint="eastAsia"/>
                <w:color w:val="auto"/>
                <w:highlight w:val="none"/>
                <w:lang w:val="en-US" w:eastAsia="zh-CN"/>
              </w:rPr>
              <w:t>本项目焊接过程在全封闭生产车间内进行，主要用于将金属部件连接在一起，形成稳固的结构。根据建设单位提供资料，本项目年处理约8000吨工件进行抛丸处理，采用半自动机械进行焊接。参考《排放源统计调查产排污核算方法和系数手册》生态环境部公告2021年第24号，机械行业系数手册，09焊接-药芯焊丝，工业废气量为2130193立方米/吨-原料，颗粒物产污系数按20.5kg/（吨-原料）计，则工业废气量为17041544000m³/a，颗粒物产生量为164t/a，生产车间全封闭，产生的焊接废气经过移动式焊接烟尘净化器净化处理后无组织排放，根据《排放源统计调查产排污核算方法和系数手册》09焊接-药芯焊丝，末端治理采用移动式净化器处理时，处理效率可达95%，则本项目颗粒物排放量为164×（1-95%）=8.2t/a，颗粒物排放量为排放浓度为0.48mg/m³，年工作时长为2120h，排放速率为3.87kg/h，焊接过程中产生的颗粒物最终以无组织形式逸散。</w:t>
            </w:r>
          </w:p>
          <w:p w14:paraId="07E63690">
            <w:pPr>
              <w:bidi w:val="0"/>
              <w:rPr>
                <w:rFonts w:hint="default" w:eastAsia="宋体"/>
                <w:b w:val="0"/>
                <w:bCs w:val="0"/>
                <w:color w:val="auto"/>
                <w:highlight w:val="none"/>
                <w:lang w:val="en-US" w:eastAsia="zh-CN"/>
              </w:rPr>
            </w:pPr>
            <w:r>
              <w:rPr>
                <w:rFonts w:hint="eastAsia"/>
                <w:b w:val="0"/>
                <w:bCs w:val="0"/>
                <w:color w:val="auto"/>
                <w:highlight w:val="none"/>
                <w:lang w:val="en-US" w:eastAsia="zh-CN"/>
              </w:rPr>
              <w:t>（3）喷漆工艺</w:t>
            </w:r>
            <w:r>
              <w:rPr>
                <w:rFonts w:hint="eastAsia"/>
                <w:b w:val="0"/>
                <w:bCs w:val="0"/>
                <w:color w:val="auto"/>
                <w:highlight w:val="none"/>
                <w:lang w:eastAsia="zh-CN"/>
              </w:rPr>
              <w:t>（</w:t>
            </w:r>
            <w:r>
              <w:rPr>
                <w:rFonts w:hint="eastAsia"/>
                <w:b w:val="0"/>
                <w:bCs w:val="0"/>
                <w:color w:val="auto"/>
                <w:highlight w:val="none"/>
                <w:lang w:val="en-US" w:eastAsia="zh-CN"/>
              </w:rPr>
              <w:t>含底漆喷涂、面漆喷涂、自然晾干</w:t>
            </w:r>
            <w:r>
              <w:rPr>
                <w:rFonts w:hint="eastAsia"/>
                <w:b w:val="0"/>
                <w:bCs w:val="0"/>
                <w:color w:val="auto"/>
                <w:highlight w:val="none"/>
                <w:lang w:eastAsia="zh-CN"/>
              </w:rPr>
              <w:t>）</w:t>
            </w:r>
            <w:r>
              <w:rPr>
                <w:rFonts w:hint="eastAsia"/>
                <w:b w:val="0"/>
                <w:bCs w:val="0"/>
                <w:color w:val="auto"/>
                <w:highlight w:val="none"/>
                <w:lang w:val="en-US" w:eastAsia="zh-CN"/>
              </w:rPr>
              <w:t>产生的有机废气</w:t>
            </w:r>
          </w:p>
          <w:p w14:paraId="5FEB5A63">
            <w:pPr>
              <w:bidi w:val="0"/>
              <w:rPr>
                <w:rFonts w:hint="eastAsia"/>
                <w:color w:val="auto"/>
                <w:highlight w:val="none"/>
                <w:lang w:val="eu-ES"/>
              </w:rPr>
            </w:pPr>
            <w:r>
              <w:rPr>
                <w:rFonts w:hint="eastAsia"/>
                <w:color w:val="auto"/>
                <w:highlight w:val="none"/>
              </w:rPr>
              <w:t>本项目喷漆</w:t>
            </w:r>
            <w:r>
              <w:rPr>
                <w:rFonts w:hint="eastAsia"/>
                <w:color w:val="auto"/>
                <w:highlight w:val="none"/>
                <w:lang w:eastAsia="zh-CN"/>
              </w:rPr>
              <w:t>、</w:t>
            </w:r>
            <w:r>
              <w:rPr>
                <w:rFonts w:hint="eastAsia"/>
                <w:color w:val="auto"/>
                <w:highlight w:val="none"/>
                <w:lang w:val="en-US" w:eastAsia="zh-CN"/>
              </w:rPr>
              <w:t>晾干</w:t>
            </w:r>
            <w:r>
              <w:rPr>
                <w:rFonts w:hint="eastAsia"/>
                <w:color w:val="auto"/>
                <w:highlight w:val="none"/>
              </w:rPr>
              <w:t>在密闭的喷漆房内进行，喷漆和晾干过程会产生喷漆废气，主要污染物为漆雾</w:t>
            </w:r>
            <w:r>
              <w:rPr>
                <w:rFonts w:hint="eastAsia"/>
                <w:color w:val="auto"/>
                <w:highlight w:val="none"/>
                <w:lang w:eastAsia="zh-CN"/>
              </w:rPr>
              <w:t>（</w:t>
            </w:r>
            <w:r>
              <w:rPr>
                <w:rFonts w:hint="eastAsia"/>
                <w:color w:val="auto"/>
                <w:highlight w:val="none"/>
                <w:lang w:val="en-US" w:eastAsia="zh-CN"/>
              </w:rPr>
              <w:t>即颗粒物</w:t>
            </w:r>
            <w:r>
              <w:rPr>
                <w:rFonts w:hint="eastAsia"/>
                <w:color w:val="auto"/>
                <w:highlight w:val="none"/>
                <w:lang w:eastAsia="zh-CN"/>
              </w:rPr>
              <w:t>）</w:t>
            </w:r>
            <w:r>
              <w:rPr>
                <w:rFonts w:hint="eastAsia"/>
                <w:color w:val="auto"/>
                <w:highlight w:val="none"/>
              </w:rPr>
              <w:t>和</w:t>
            </w:r>
            <w:r>
              <w:rPr>
                <w:rFonts w:hint="eastAsia"/>
                <w:color w:val="auto"/>
                <w:highlight w:val="none"/>
                <w:lang w:val="en-US" w:eastAsia="zh-CN"/>
              </w:rPr>
              <w:t>挥发性有机物</w:t>
            </w:r>
            <w:r>
              <w:rPr>
                <w:rFonts w:hint="eastAsia"/>
                <w:color w:val="auto"/>
                <w:highlight w:val="none"/>
              </w:rPr>
              <w:t>。</w:t>
            </w:r>
          </w:p>
          <w:p w14:paraId="2DF654CB">
            <w:pPr>
              <w:bidi w:val="0"/>
              <w:rPr>
                <w:rFonts w:hint="eastAsia"/>
                <w:color w:val="auto"/>
                <w:highlight w:val="none"/>
                <w:lang w:val="en-US" w:eastAsia="zh-CN"/>
              </w:rPr>
            </w:pPr>
            <w:r>
              <w:rPr>
                <w:rFonts w:hint="eastAsia"/>
                <w:color w:val="auto"/>
                <w:highlight w:val="none"/>
                <w:lang w:val="en-US" w:eastAsia="zh-CN"/>
              </w:rPr>
              <w:t>本项目主要使用原料水性漆质量指标参照执行《低挥发性有机化合物含量涂料产品技术要求》（GB/T38597-2020）中4.要求-表1水性涂料中VOC含量的要求：工业防护涂料-机械设备涂料-工程机械和农业机械涂料（含零部件涂料）VOC含量的要求为底漆≤250g/L，面漆≤300g/L，根据建设单位提供资料，底漆</w:t>
            </w:r>
            <w:r>
              <w:rPr>
                <w:rFonts w:hint="eastAsia"/>
                <w:color w:val="auto"/>
                <w:highlight w:val="none"/>
              </w:rPr>
              <w:t>中固体份</w:t>
            </w:r>
            <w:r>
              <w:rPr>
                <w:rFonts w:hint="eastAsia"/>
                <w:color w:val="auto"/>
                <w:highlight w:val="none"/>
                <w:lang w:val="en-US" w:eastAsia="zh-CN"/>
              </w:rPr>
              <w:t>占70%，面漆</w:t>
            </w:r>
            <w:r>
              <w:rPr>
                <w:rFonts w:hint="eastAsia"/>
                <w:color w:val="auto"/>
                <w:highlight w:val="none"/>
              </w:rPr>
              <w:t>中固体份</w:t>
            </w:r>
            <w:r>
              <w:rPr>
                <w:rFonts w:hint="eastAsia"/>
                <w:color w:val="auto"/>
                <w:highlight w:val="none"/>
                <w:lang w:val="en-US" w:eastAsia="zh-CN"/>
              </w:rPr>
              <w:t>占75%。原料成分含量情况表4-2。</w:t>
            </w:r>
          </w:p>
          <w:p w14:paraId="4A76A07C">
            <w:pPr>
              <w:bidi w:val="0"/>
              <w:ind w:left="0" w:leftChars="0" w:firstLine="0" w:firstLineChars="0"/>
              <w:jc w:val="center"/>
              <w:rPr>
                <w:rFonts w:hint="eastAsia"/>
                <w:b/>
                <w:bCs/>
                <w:color w:val="auto"/>
                <w:highlight w:val="none"/>
              </w:rPr>
            </w:pPr>
            <w:r>
              <w:rPr>
                <w:rFonts w:hint="eastAsia"/>
                <w:b/>
                <w:bCs/>
                <w:color w:val="auto"/>
                <w:highlight w:val="none"/>
              </w:rPr>
              <w:t>表</w:t>
            </w:r>
            <w:r>
              <w:rPr>
                <w:rFonts w:hint="eastAsia"/>
                <w:b/>
                <w:bCs/>
                <w:color w:val="auto"/>
                <w:highlight w:val="none"/>
                <w:lang w:val="en-US" w:eastAsia="zh-CN"/>
              </w:rPr>
              <w:t>4-2</w:t>
            </w:r>
            <w:r>
              <w:rPr>
                <w:rFonts w:hint="eastAsia"/>
                <w:b/>
                <w:bCs/>
                <w:color w:val="auto"/>
                <w:highlight w:val="none"/>
              </w:rPr>
              <w:t>油漆中挥发性有机物</w:t>
            </w:r>
            <w:r>
              <w:rPr>
                <w:rFonts w:hint="eastAsia"/>
                <w:b/>
                <w:bCs/>
                <w:color w:val="auto"/>
                <w:highlight w:val="none"/>
                <w:lang w:eastAsia="zh-CN"/>
              </w:rPr>
              <w:t>（</w:t>
            </w:r>
            <w:r>
              <w:rPr>
                <w:rFonts w:hint="eastAsia"/>
                <w:b/>
                <w:bCs/>
                <w:color w:val="auto"/>
                <w:highlight w:val="none"/>
                <w:lang w:val="en-US" w:eastAsia="zh-CN"/>
              </w:rPr>
              <w:t>以非甲烷总烃</w:t>
            </w:r>
            <w:r>
              <w:rPr>
                <w:rFonts w:hint="eastAsia"/>
                <w:b/>
                <w:bCs/>
                <w:color w:val="auto"/>
                <w:highlight w:val="none"/>
                <w:lang w:eastAsia="zh-CN"/>
              </w:rPr>
              <w:t>）</w:t>
            </w:r>
            <w:r>
              <w:rPr>
                <w:rFonts w:hint="eastAsia"/>
                <w:b/>
                <w:bCs/>
                <w:color w:val="auto"/>
                <w:highlight w:val="none"/>
              </w:rPr>
              <w:t>含量情况表</w:t>
            </w:r>
          </w:p>
          <w:tbl>
            <w:tblPr>
              <w:tblStyle w:val="27"/>
              <w:tblW w:w="7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2774"/>
              <w:gridCol w:w="1333"/>
              <w:gridCol w:w="1391"/>
              <w:gridCol w:w="1598"/>
            </w:tblGrid>
            <w:tr w14:paraId="34FE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84" w:type="pct"/>
                  <w:noWrap w:val="0"/>
                  <w:vAlign w:val="center"/>
                </w:tcPr>
                <w:p w14:paraId="72DE4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名称</w:t>
                  </w:r>
                </w:p>
              </w:tc>
              <w:tc>
                <w:tcPr>
                  <w:tcW w:w="1765" w:type="pct"/>
                  <w:noWrap w:val="0"/>
                  <w:vAlign w:val="center"/>
                </w:tcPr>
                <w:p w14:paraId="6C7AC6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挥发成分</w:t>
                  </w:r>
                </w:p>
              </w:tc>
              <w:tc>
                <w:tcPr>
                  <w:tcW w:w="848" w:type="pct"/>
                  <w:noWrap w:val="0"/>
                  <w:vAlign w:val="center"/>
                </w:tcPr>
                <w:p w14:paraId="6CEB61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年用量（t）</w:t>
                  </w:r>
                </w:p>
              </w:tc>
              <w:tc>
                <w:tcPr>
                  <w:tcW w:w="885" w:type="pct"/>
                  <w:noWrap w:val="0"/>
                  <w:vAlign w:val="center"/>
                </w:tcPr>
                <w:p w14:paraId="20F02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挥发性有机物（t）</w:t>
                  </w:r>
                </w:p>
              </w:tc>
              <w:tc>
                <w:tcPr>
                  <w:tcW w:w="1016" w:type="pct"/>
                  <w:noWrap w:val="0"/>
                  <w:vAlign w:val="center"/>
                </w:tcPr>
                <w:p w14:paraId="05238B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固体分（t）</w:t>
                  </w:r>
                </w:p>
              </w:tc>
            </w:tr>
            <w:tr w14:paraId="4B3C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84" w:type="pct"/>
                  <w:noWrap w:val="0"/>
                  <w:vAlign w:val="center"/>
                </w:tcPr>
                <w:p w14:paraId="3CE67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底漆</w:t>
                  </w:r>
                </w:p>
              </w:tc>
              <w:tc>
                <w:tcPr>
                  <w:tcW w:w="1765" w:type="pct"/>
                  <w:noWrap w:val="0"/>
                  <w:vAlign w:val="center"/>
                </w:tcPr>
                <w:p w14:paraId="406235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挥发性有机物：250g/L</w:t>
                  </w:r>
                </w:p>
              </w:tc>
              <w:tc>
                <w:tcPr>
                  <w:tcW w:w="848" w:type="pct"/>
                  <w:noWrap w:val="0"/>
                  <w:vAlign w:val="center"/>
                </w:tcPr>
                <w:p w14:paraId="3B4EA3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6.39</w:t>
                  </w:r>
                </w:p>
              </w:tc>
              <w:tc>
                <w:tcPr>
                  <w:tcW w:w="885" w:type="pct"/>
                  <w:noWrap w:val="0"/>
                  <w:vAlign w:val="center"/>
                </w:tcPr>
                <w:p w14:paraId="613E2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1.60</w:t>
                  </w:r>
                </w:p>
              </w:tc>
              <w:tc>
                <w:tcPr>
                  <w:tcW w:w="1016" w:type="pct"/>
                  <w:noWrap w:val="0"/>
                  <w:vAlign w:val="center"/>
                </w:tcPr>
                <w:p w14:paraId="2AAC09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4.47</w:t>
                  </w:r>
                </w:p>
              </w:tc>
            </w:tr>
            <w:tr w14:paraId="410E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84" w:type="pct"/>
                  <w:noWrap w:val="0"/>
                  <w:vAlign w:val="center"/>
                </w:tcPr>
                <w:p w14:paraId="54379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面漆</w:t>
                  </w:r>
                </w:p>
              </w:tc>
              <w:tc>
                <w:tcPr>
                  <w:tcW w:w="1765" w:type="pct"/>
                  <w:noWrap w:val="0"/>
                  <w:vAlign w:val="center"/>
                </w:tcPr>
                <w:p w14:paraId="49029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挥发性有机物：300g/L</w:t>
                  </w:r>
                </w:p>
              </w:tc>
              <w:tc>
                <w:tcPr>
                  <w:tcW w:w="848" w:type="pct"/>
                  <w:noWrap w:val="0"/>
                  <w:vAlign w:val="center"/>
                </w:tcPr>
                <w:p w14:paraId="7797D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8.74</w:t>
                  </w:r>
                </w:p>
              </w:tc>
              <w:tc>
                <w:tcPr>
                  <w:tcW w:w="885" w:type="pct"/>
                  <w:noWrap w:val="0"/>
                  <w:vAlign w:val="center"/>
                </w:tcPr>
                <w:p w14:paraId="45BC12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2.62</w:t>
                  </w:r>
                </w:p>
              </w:tc>
              <w:tc>
                <w:tcPr>
                  <w:tcW w:w="1016" w:type="pct"/>
                  <w:noWrap w:val="0"/>
                  <w:vAlign w:val="center"/>
                </w:tcPr>
                <w:p w14:paraId="2BB360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6.56</w:t>
                  </w:r>
                </w:p>
              </w:tc>
            </w:tr>
            <w:tr w14:paraId="3A1E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249" w:type="pct"/>
                  <w:gridSpan w:val="2"/>
                  <w:noWrap w:val="0"/>
                  <w:vAlign w:val="center"/>
                </w:tcPr>
                <w:p w14:paraId="0979BE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合计</w:t>
                  </w:r>
                </w:p>
              </w:tc>
              <w:tc>
                <w:tcPr>
                  <w:tcW w:w="848" w:type="pct"/>
                  <w:noWrap w:val="0"/>
                  <w:vAlign w:val="center"/>
                </w:tcPr>
                <w:p w14:paraId="3924C6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 sum(C2:C3) \* MERGEFORMAT </w:instrText>
                  </w:r>
                  <w:r>
                    <w:rPr>
                      <w:rFonts w:hint="eastAsia"/>
                      <w:color w:val="auto"/>
                      <w:highlight w:val="none"/>
                      <w:lang w:val="en-US" w:eastAsia="zh-CN"/>
                    </w:rPr>
                    <w:fldChar w:fldCharType="separate"/>
                  </w:r>
                  <w:r>
                    <w:rPr>
                      <w:rFonts w:hint="eastAsia"/>
                      <w:color w:val="auto"/>
                      <w:highlight w:val="none"/>
                      <w:lang w:val="en-US" w:eastAsia="zh-CN"/>
                    </w:rPr>
                    <w:t>15.13</w:t>
                  </w:r>
                  <w:r>
                    <w:rPr>
                      <w:rFonts w:hint="eastAsia"/>
                      <w:color w:val="auto"/>
                      <w:highlight w:val="none"/>
                      <w:lang w:val="en-US" w:eastAsia="zh-CN"/>
                    </w:rPr>
                    <w:fldChar w:fldCharType="end"/>
                  </w:r>
                </w:p>
              </w:tc>
              <w:tc>
                <w:tcPr>
                  <w:tcW w:w="885" w:type="pct"/>
                  <w:noWrap w:val="0"/>
                  <w:vAlign w:val="center"/>
                </w:tcPr>
                <w:p w14:paraId="726C7C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default"/>
                      <w:color w:val="auto"/>
                      <w:highlight w:val="none"/>
                      <w:lang w:val="en-US" w:eastAsia="zh-CN"/>
                    </w:rPr>
                    <w:fldChar w:fldCharType="begin"/>
                  </w:r>
                  <w:r>
                    <w:rPr>
                      <w:rFonts w:hint="default"/>
                      <w:color w:val="auto"/>
                      <w:highlight w:val="none"/>
                      <w:lang w:val="en-US" w:eastAsia="zh-CN"/>
                    </w:rPr>
                    <w:instrText xml:space="preserve"> = sum(D2:D3) \* MERGEFORMAT </w:instrText>
                  </w:r>
                  <w:r>
                    <w:rPr>
                      <w:rFonts w:hint="default"/>
                      <w:color w:val="auto"/>
                      <w:highlight w:val="none"/>
                      <w:lang w:val="en-US" w:eastAsia="zh-CN"/>
                    </w:rPr>
                    <w:fldChar w:fldCharType="separate"/>
                  </w:r>
                  <w:r>
                    <w:rPr>
                      <w:rFonts w:hint="default"/>
                      <w:color w:val="auto"/>
                      <w:highlight w:val="none"/>
                      <w:lang w:val="en-US" w:eastAsia="zh-CN"/>
                    </w:rPr>
                    <w:t>4.22</w:t>
                  </w:r>
                  <w:r>
                    <w:rPr>
                      <w:rFonts w:hint="default"/>
                      <w:color w:val="auto"/>
                      <w:highlight w:val="none"/>
                      <w:lang w:val="en-US" w:eastAsia="zh-CN"/>
                    </w:rPr>
                    <w:fldChar w:fldCharType="end"/>
                  </w:r>
                </w:p>
              </w:tc>
              <w:tc>
                <w:tcPr>
                  <w:tcW w:w="1016" w:type="pct"/>
                  <w:noWrap w:val="0"/>
                  <w:vAlign w:val="center"/>
                </w:tcPr>
                <w:p w14:paraId="7223D9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default"/>
                      <w:color w:val="auto"/>
                      <w:highlight w:val="none"/>
                      <w:lang w:val="en-US" w:eastAsia="zh-CN"/>
                    </w:rPr>
                    <w:fldChar w:fldCharType="begin"/>
                  </w:r>
                  <w:r>
                    <w:rPr>
                      <w:rFonts w:hint="default"/>
                      <w:color w:val="auto"/>
                      <w:highlight w:val="none"/>
                      <w:lang w:val="en-US" w:eastAsia="zh-CN"/>
                    </w:rPr>
                    <w:instrText xml:space="preserve"> = sum(E2:E3) \* MERGEFORMAT </w:instrText>
                  </w:r>
                  <w:r>
                    <w:rPr>
                      <w:rFonts w:hint="default"/>
                      <w:color w:val="auto"/>
                      <w:highlight w:val="none"/>
                      <w:lang w:val="en-US" w:eastAsia="zh-CN"/>
                    </w:rPr>
                    <w:fldChar w:fldCharType="separate"/>
                  </w:r>
                  <w:r>
                    <w:rPr>
                      <w:rFonts w:hint="default"/>
                      <w:color w:val="auto"/>
                      <w:highlight w:val="none"/>
                      <w:lang w:val="en-US" w:eastAsia="zh-CN"/>
                    </w:rPr>
                    <w:t>11.03</w:t>
                  </w:r>
                  <w:r>
                    <w:rPr>
                      <w:rFonts w:hint="default"/>
                      <w:color w:val="auto"/>
                      <w:highlight w:val="none"/>
                      <w:lang w:val="en-US" w:eastAsia="zh-CN"/>
                    </w:rPr>
                    <w:fldChar w:fldCharType="end"/>
                  </w:r>
                </w:p>
              </w:tc>
            </w:tr>
          </w:tbl>
          <w:p w14:paraId="64519A87">
            <w:pPr>
              <w:bidi w:val="0"/>
              <w:rPr>
                <w:rFonts w:hint="eastAsia" w:eastAsia="宋体"/>
                <w:color w:val="auto"/>
                <w:highlight w:val="none"/>
                <w:lang w:eastAsia="zh-CN"/>
              </w:rPr>
            </w:pPr>
            <w:r>
              <w:rPr>
                <w:rFonts w:hint="eastAsia"/>
                <w:color w:val="auto"/>
                <w:highlight w:val="none"/>
              </w:rPr>
              <w:t>本项目按最不利情况考虑，挥发性有机物全部挥发，污染因子</w:t>
            </w:r>
            <w:r>
              <w:rPr>
                <w:rFonts w:hint="eastAsia"/>
                <w:color w:val="auto"/>
                <w:highlight w:val="none"/>
                <w:lang w:val="en-US" w:eastAsia="zh-CN"/>
              </w:rPr>
              <w:t>为</w:t>
            </w:r>
            <w:r>
              <w:rPr>
                <w:rFonts w:hint="eastAsia"/>
                <w:color w:val="auto"/>
                <w:highlight w:val="none"/>
              </w:rPr>
              <w:t>非甲烷总烃，则喷漆间喷漆工序非甲烷总烃产生量为</w:t>
            </w:r>
            <w:r>
              <w:rPr>
                <w:rFonts w:hint="eastAsia"/>
                <w:color w:val="auto"/>
                <w:highlight w:val="none"/>
                <w:lang w:val="en-US" w:eastAsia="zh-CN"/>
              </w:rPr>
              <w:t>4.22</w:t>
            </w:r>
            <w:r>
              <w:rPr>
                <w:rFonts w:hint="eastAsia"/>
                <w:color w:val="auto"/>
                <w:highlight w:val="none"/>
              </w:rPr>
              <w:t>t/a，项目喷漆工序年运行</w:t>
            </w:r>
            <w:r>
              <w:rPr>
                <w:rFonts w:hint="eastAsia"/>
                <w:color w:val="auto"/>
                <w:highlight w:val="none"/>
                <w:lang w:val="en-US" w:eastAsia="zh-CN"/>
              </w:rPr>
              <w:t>2120</w:t>
            </w:r>
            <w:r>
              <w:rPr>
                <w:rFonts w:hint="eastAsia"/>
                <w:color w:val="auto"/>
                <w:highlight w:val="none"/>
              </w:rPr>
              <w:t>h（年工作</w:t>
            </w:r>
            <w:r>
              <w:rPr>
                <w:rFonts w:hint="eastAsia"/>
                <w:color w:val="auto"/>
                <w:highlight w:val="none"/>
                <w:lang w:val="en-US" w:eastAsia="zh-CN"/>
              </w:rPr>
              <w:t>265</w:t>
            </w:r>
            <w:r>
              <w:rPr>
                <w:rFonts w:hint="eastAsia"/>
                <w:color w:val="auto"/>
                <w:highlight w:val="none"/>
              </w:rPr>
              <w:t>d，每天</w:t>
            </w:r>
            <w:r>
              <w:rPr>
                <w:rFonts w:hint="eastAsia"/>
                <w:color w:val="auto"/>
                <w:highlight w:val="none"/>
                <w:lang w:val="en-US" w:eastAsia="zh-CN"/>
              </w:rPr>
              <w:t>8</w:t>
            </w:r>
            <w:r>
              <w:rPr>
                <w:rFonts w:hint="eastAsia"/>
                <w:color w:val="auto"/>
                <w:highlight w:val="none"/>
              </w:rPr>
              <w:t>h），则非甲烷总烃产生速率分别为</w:t>
            </w:r>
            <w:r>
              <w:rPr>
                <w:rFonts w:hint="eastAsia"/>
                <w:color w:val="auto"/>
                <w:highlight w:val="none"/>
                <w:lang w:val="en-US" w:eastAsia="zh-CN"/>
              </w:rPr>
              <w:t>1.99</w:t>
            </w:r>
            <w:r>
              <w:rPr>
                <w:rFonts w:hint="eastAsia"/>
                <w:color w:val="auto"/>
                <w:highlight w:val="none"/>
              </w:rPr>
              <w:t>kg/h</w:t>
            </w:r>
            <w:r>
              <w:rPr>
                <w:rFonts w:hint="eastAsia"/>
                <w:color w:val="auto"/>
                <w:highlight w:val="none"/>
                <w:lang w:eastAsia="zh-CN"/>
              </w:rPr>
              <w:t>。</w:t>
            </w:r>
          </w:p>
          <w:p w14:paraId="60A289C8">
            <w:pPr>
              <w:bidi w:val="0"/>
              <w:rPr>
                <w:rFonts w:hint="eastAsia" w:eastAsia="宋体"/>
                <w:color w:val="auto"/>
                <w:highlight w:val="none"/>
                <w:lang w:val="en-US" w:eastAsia="zh-CN"/>
              </w:rPr>
            </w:pPr>
            <w:r>
              <w:rPr>
                <w:rFonts w:hint="eastAsia"/>
                <w:color w:val="auto"/>
                <w:highlight w:val="none"/>
              </w:rPr>
              <w:t>喷涂过程中，未附着于工件上的固体份以漆雾形式散发，参考《谈喷涂涂着效率》（作者王锡春）：低压空气喷涂涂着率为50%</w:t>
            </w:r>
            <w:r>
              <w:rPr>
                <w:rFonts w:hint="eastAsia"/>
                <w:color w:val="auto"/>
                <w:highlight w:val="none"/>
                <w:lang w:eastAsia="zh-CN"/>
              </w:rPr>
              <w:t>～</w:t>
            </w:r>
            <w:r>
              <w:rPr>
                <w:rFonts w:hint="eastAsia"/>
                <w:color w:val="auto"/>
                <w:highlight w:val="none"/>
              </w:rPr>
              <w:t>65%，本次评价喷漆效率按65%计，则35%固体份转化成漆雾颗粒物，由此计算得喷漆工序漆雾产生量为</w:t>
            </w:r>
            <w:r>
              <w:rPr>
                <w:rFonts w:hint="eastAsia"/>
                <w:color w:val="auto"/>
                <w:highlight w:val="none"/>
                <w:lang w:val="en-US" w:eastAsia="zh-CN"/>
              </w:rPr>
              <w:t>3.86</w:t>
            </w:r>
            <w:r>
              <w:rPr>
                <w:rFonts w:hint="eastAsia"/>
                <w:color w:val="auto"/>
                <w:highlight w:val="none"/>
              </w:rPr>
              <w:t>t/a，产生速率为：</w:t>
            </w:r>
            <w:r>
              <w:rPr>
                <w:rFonts w:hint="eastAsia"/>
                <w:color w:val="auto"/>
                <w:highlight w:val="none"/>
                <w:lang w:val="en-US" w:eastAsia="zh-CN"/>
              </w:rPr>
              <w:t>1.82</w:t>
            </w:r>
            <w:r>
              <w:rPr>
                <w:rFonts w:hint="eastAsia"/>
                <w:color w:val="auto"/>
                <w:highlight w:val="none"/>
              </w:rPr>
              <w:t>kg/h</w:t>
            </w:r>
            <w:r>
              <w:rPr>
                <w:rFonts w:hint="eastAsia"/>
                <w:color w:val="auto"/>
                <w:highlight w:val="none"/>
                <w:lang w:eastAsia="zh-CN"/>
              </w:rPr>
              <w:t>。</w:t>
            </w:r>
          </w:p>
          <w:p w14:paraId="3B4F128C">
            <w:pPr>
              <w:bidi w:val="0"/>
              <w:rPr>
                <w:rFonts w:hint="default"/>
                <w:b/>
                <w:bCs/>
                <w:color w:val="auto"/>
                <w:highlight w:val="none"/>
                <w:lang w:val="en-US" w:eastAsia="zh-CN"/>
              </w:rPr>
            </w:pPr>
            <w:r>
              <w:rPr>
                <w:rFonts w:hint="eastAsia"/>
                <w:b/>
                <w:bCs/>
                <w:color w:val="auto"/>
                <w:highlight w:val="none"/>
                <w:lang w:val="en-US" w:eastAsia="zh-CN"/>
              </w:rPr>
              <w:t>②治理措施</w:t>
            </w:r>
          </w:p>
          <w:p w14:paraId="3932C752">
            <w:pPr>
              <w:bidi w:val="0"/>
              <w:rPr>
                <w:rFonts w:hint="default"/>
                <w:color w:val="auto"/>
                <w:highlight w:val="none"/>
                <w:lang w:val="en-US" w:eastAsia="zh-CN"/>
              </w:rPr>
            </w:pPr>
            <w:r>
              <w:rPr>
                <w:rFonts w:hint="eastAsia"/>
                <w:color w:val="auto"/>
                <w:highlight w:val="none"/>
                <w:lang w:val="en-US" w:eastAsia="zh-CN"/>
              </w:rPr>
              <w:t>本项目喷漆工序在全封闭生产车间内进行，喷漆废气经负压收集引至干式过滤器（迷宫纸盒）+过滤棉+二级活性炭吸附装置处理后，由15m高排气筒（DA002）排放。喷漆过程中产生的无组织废气经生产车间密闭、定期清扫后，可有效减少无组织废气对周围大气环境的影响。</w:t>
            </w:r>
          </w:p>
          <w:p w14:paraId="6547B02A">
            <w:pPr>
              <w:bidi w:val="0"/>
              <w:rPr>
                <w:rFonts w:hint="eastAsia"/>
                <w:b/>
                <w:bCs/>
                <w:color w:val="auto"/>
                <w:highlight w:val="none"/>
                <w:lang w:val="en-US" w:eastAsia="zh-CN"/>
              </w:rPr>
            </w:pPr>
            <w:r>
              <w:rPr>
                <w:rFonts w:hint="eastAsia"/>
                <w:b/>
                <w:bCs/>
                <w:color w:val="auto"/>
                <w:highlight w:val="none"/>
                <w:lang w:val="en-US" w:eastAsia="zh-CN"/>
              </w:rPr>
              <w:t>③排放情况</w:t>
            </w:r>
          </w:p>
          <w:p w14:paraId="632CE787">
            <w:pPr>
              <w:bidi w:val="0"/>
              <w:rPr>
                <w:rFonts w:hint="default"/>
                <w:color w:val="auto"/>
                <w:highlight w:val="none"/>
                <w:lang w:val="en-US" w:eastAsia="zh-CN"/>
              </w:rPr>
            </w:pPr>
            <w:r>
              <w:rPr>
                <w:rFonts w:hint="eastAsia"/>
                <w:color w:val="auto"/>
                <w:highlight w:val="none"/>
                <w:lang w:val="en-US" w:eastAsia="zh-CN"/>
              </w:rPr>
              <w:t>喷漆过程中非甲烷总烃产生量为4.22t/a，颗粒物产生量为3.86t/a，喷漆废气经过负压收集至过滤器（迷宫纸盒）+过滤棉+二级活性炭吸附装置处理后，由15m高排气筒（DA002）排放。负压收集系统收集效率为98%，“过滤器（迷宫纸盒）+过滤棉+二级活性炭吸附装置”过滤器（迷宫纸盒）+过滤棉处理有机废气的处理效率取值95%，二级活性炭吸附箱对挥发性有机废气的净化效率取值70%。则处理后非甲烷总烃排放量为0.06t/a，颗粒物排放量为0.06t/a，喷漆房每天工作8小时，年运行265天，年运行2120h，风机风量为5000m³/h，则非甲烷总烃排放浓度为5.66mg/m³，排放速率为0.03kg/h；颗粒物排放浓度为5.66mg/m³，排放速率为0.03kg/h。经计算本项目有组织喷漆废气颗粒物、非甲烷总烃</w:t>
            </w:r>
            <w:r>
              <w:rPr>
                <w:rFonts w:hint="eastAsia"/>
                <w:color w:val="auto"/>
                <w:sz w:val="24"/>
                <w:highlight w:val="none"/>
                <w:lang w:val="en-US" w:eastAsia="zh-CN"/>
              </w:rPr>
              <w:t>排放速率、排放浓度均满足《大气污染物综合排放标准》（GB16297-1996）表2二级排放限值标准要求。</w:t>
            </w:r>
          </w:p>
          <w:p w14:paraId="78B2BE84">
            <w:pPr>
              <w:bidi w:val="0"/>
              <w:rPr>
                <w:rFonts w:hint="eastAsia"/>
                <w:color w:val="auto"/>
                <w:highlight w:val="none"/>
                <w:lang w:val="en-US" w:eastAsia="zh-CN"/>
              </w:rPr>
            </w:pPr>
            <w:r>
              <w:rPr>
                <w:rFonts w:hint="eastAsia"/>
                <w:color w:val="auto"/>
                <w:highlight w:val="none"/>
                <w:lang w:val="en-US" w:eastAsia="zh-CN"/>
              </w:rPr>
              <w:t>未被收集的非甲烷总烃排放量为0.08t/a，排放速率为0.04kg/h；未被收集的颗粒物排放量为0.08t/a，排放速率为0.04kg/h，无组织废气经密闭生产车间，定期清扫，可有效减缓无组织废气对周围大气环境的影响。</w:t>
            </w:r>
          </w:p>
          <w:p w14:paraId="0CF0ABFB">
            <w:pPr>
              <w:bidi w:val="0"/>
              <w:rPr>
                <w:rFonts w:hint="default"/>
                <w:b/>
                <w:bCs/>
                <w:color w:val="auto"/>
                <w:highlight w:val="none"/>
              </w:rPr>
            </w:pPr>
            <w:r>
              <w:rPr>
                <w:rFonts w:hint="eastAsia"/>
                <w:b/>
                <w:bCs/>
                <w:color w:val="auto"/>
                <w:highlight w:val="none"/>
                <w:lang w:val="en-US" w:eastAsia="zh-CN"/>
              </w:rPr>
              <w:t>2、废气</w:t>
            </w:r>
            <w:r>
              <w:rPr>
                <w:rFonts w:hint="default"/>
                <w:b/>
                <w:bCs/>
                <w:color w:val="auto"/>
                <w:highlight w:val="none"/>
              </w:rPr>
              <w:t>治理措施可行性分析</w:t>
            </w:r>
          </w:p>
          <w:p w14:paraId="780E43DA">
            <w:pPr>
              <w:bidi w:val="0"/>
              <w:rPr>
                <w:rFonts w:hint="eastAsia" w:cs="宋体"/>
                <w:b/>
                <w:bCs/>
                <w:color w:val="auto"/>
                <w:kern w:val="0"/>
                <w:sz w:val="24"/>
                <w:highlight w:val="none"/>
                <w:lang w:val="en-US" w:bidi="zh-CN"/>
              </w:rPr>
            </w:pPr>
            <w:r>
              <w:rPr>
                <w:rFonts w:hint="eastAsia" w:cs="宋体"/>
                <w:b/>
                <w:bCs/>
                <w:color w:val="auto"/>
                <w:kern w:val="0"/>
                <w:sz w:val="24"/>
                <w:highlight w:val="none"/>
                <w:lang w:bidi="zh-CN"/>
              </w:rPr>
              <w:t>（</w:t>
            </w:r>
            <w:r>
              <w:rPr>
                <w:rFonts w:hint="eastAsia" w:cs="宋体"/>
                <w:b/>
                <w:bCs/>
                <w:color w:val="auto"/>
                <w:kern w:val="0"/>
                <w:sz w:val="24"/>
                <w:highlight w:val="none"/>
                <w:lang w:val="en-US" w:bidi="zh-CN"/>
              </w:rPr>
              <w:t>1</w:t>
            </w:r>
            <w:r>
              <w:rPr>
                <w:rFonts w:hint="eastAsia" w:cs="宋体"/>
                <w:b/>
                <w:bCs/>
                <w:color w:val="auto"/>
                <w:kern w:val="0"/>
                <w:sz w:val="24"/>
                <w:highlight w:val="none"/>
                <w:lang w:bidi="zh-CN"/>
              </w:rPr>
              <w:t>）</w:t>
            </w:r>
            <w:r>
              <w:rPr>
                <w:rFonts w:hint="eastAsia" w:cs="宋体"/>
                <w:b/>
                <w:bCs/>
                <w:color w:val="auto"/>
                <w:kern w:val="0"/>
                <w:sz w:val="24"/>
                <w:highlight w:val="none"/>
                <w:lang w:val="en-US" w:bidi="zh-CN"/>
              </w:rPr>
              <w:t>抛丸废气处理措施可行性分析</w:t>
            </w:r>
          </w:p>
          <w:p w14:paraId="1FB038A3">
            <w:pPr>
              <w:bidi w:val="0"/>
              <w:rPr>
                <w:rFonts w:hint="default"/>
                <w:color w:val="auto"/>
                <w:highlight w:val="none"/>
                <w:lang w:val="en-US" w:eastAsia="zh-CN"/>
              </w:rPr>
            </w:pPr>
            <w:r>
              <w:rPr>
                <w:rFonts w:hint="eastAsia"/>
                <w:color w:val="auto"/>
                <w:highlight w:val="none"/>
                <w:lang w:val="en-US" w:eastAsia="zh-CN"/>
              </w:rPr>
              <w:t>根据《排放源统计调查产排污核算方法和系数手册》生态环境部公告2021年第24号，机械行业系数手册，06预处理-抛丸，末端治理技术采用袋式除尘器处理，处理效率为95%，根据废气源强核算结果，抛丸过程中产生的颗粒物有组织排放浓度计排放速率均满足《大气污染物综合排放标准》（GB16297-1996）表2新污染源大气污染物排放限值二级标准限值。故抛丸过程中产生的颗粒物废气处理措施是可行的。</w:t>
            </w:r>
          </w:p>
          <w:p w14:paraId="1315D759">
            <w:pPr>
              <w:bidi w:val="0"/>
              <w:rPr>
                <w:rFonts w:hint="default"/>
                <w:b/>
                <w:bCs/>
                <w:color w:val="auto"/>
                <w:highlight w:val="none"/>
                <w:lang w:val="en-US" w:eastAsia="zh-CN"/>
              </w:rPr>
            </w:pPr>
            <w:r>
              <w:rPr>
                <w:rFonts w:hint="eastAsia"/>
                <w:b/>
                <w:bCs/>
                <w:color w:val="auto"/>
                <w:highlight w:val="none"/>
                <w:lang w:eastAsia="zh-CN"/>
              </w:rPr>
              <w:t>（</w:t>
            </w:r>
            <w:r>
              <w:rPr>
                <w:rFonts w:hint="eastAsia"/>
                <w:b/>
                <w:bCs/>
                <w:color w:val="auto"/>
                <w:highlight w:val="none"/>
                <w:lang w:val="en-US" w:eastAsia="zh-CN"/>
              </w:rPr>
              <w:t>2</w:t>
            </w:r>
            <w:r>
              <w:rPr>
                <w:rFonts w:hint="eastAsia"/>
                <w:b/>
                <w:bCs/>
                <w:color w:val="auto"/>
                <w:highlight w:val="none"/>
                <w:lang w:eastAsia="zh-CN"/>
              </w:rPr>
              <w:t>）</w:t>
            </w:r>
            <w:r>
              <w:rPr>
                <w:rFonts w:hint="eastAsia"/>
                <w:b/>
                <w:bCs/>
                <w:color w:val="auto"/>
                <w:highlight w:val="none"/>
                <w:lang w:val="en-US" w:eastAsia="zh-CN"/>
              </w:rPr>
              <w:t>焊接废气处理措施可行性分析</w:t>
            </w:r>
          </w:p>
          <w:p w14:paraId="5628E11A">
            <w:pPr>
              <w:bidi w:val="0"/>
              <w:rPr>
                <w:rFonts w:hint="default"/>
                <w:color w:val="auto"/>
                <w:highlight w:val="none"/>
                <w:lang w:val="en-US" w:eastAsia="zh-CN"/>
              </w:rPr>
            </w:pPr>
            <w:r>
              <w:rPr>
                <w:rFonts w:hint="eastAsia"/>
                <w:color w:val="auto"/>
                <w:highlight w:val="none"/>
                <w:lang w:val="en-US" w:eastAsia="zh-CN"/>
              </w:rPr>
              <w:t>根据《排放源统计调查产排污核算方法和系数手册》生态环境部公告2021年第24号，机械行业系数手册，09焊接-药芯焊丝，末端治理采用移动式净化器处理时，处理效率可到95%，根据废气源强核算结果，焊接过程中产生的颗粒物有组织排放浓度计排放速率均满足《大气污染物综合排放标准》（GB16297-1996）表2新污染源大气污染物排放限值二级标准限值。故焊接过程中产生的颗粒物废气处理措施是可行的。</w:t>
            </w:r>
          </w:p>
          <w:p w14:paraId="079A4071">
            <w:pPr>
              <w:bidi w:val="0"/>
              <w:rPr>
                <w:rFonts w:hint="eastAsia"/>
                <w:b/>
                <w:bCs/>
                <w:color w:val="auto"/>
                <w:highlight w:val="none"/>
                <w:lang w:val="en-US" w:eastAsia="zh-CN"/>
              </w:rPr>
            </w:pPr>
            <w:r>
              <w:rPr>
                <w:rFonts w:hint="eastAsia"/>
                <w:b/>
                <w:bCs/>
                <w:color w:val="auto"/>
                <w:highlight w:val="none"/>
                <w:lang w:val="en-US" w:eastAsia="zh-CN"/>
              </w:rPr>
              <w:t>（3）喷漆废气处理措施可行性分析</w:t>
            </w:r>
          </w:p>
          <w:p w14:paraId="3A6B6A09">
            <w:pPr>
              <w:bidi w:val="0"/>
              <w:rPr>
                <w:rFonts w:hint="eastAsia"/>
                <w:color w:val="auto"/>
                <w:highlight w:val="none"/>
                <w:lang w:val="en-US" w:eastAsia="zh-CN"/>
              </w:rPr>
            </w:pPr>
            <w:r>
              <w:rPr>
                <w:rFonts w:hint="eastAsia"/>
                <w:color w:val="auto"/>
                <w:highlight w:val="none"/>
                <w:lang w:val="en-US" w:eastAsia="zh-CN"/>
              </w:rPr>
              <w:t>本项目喷漆废气处理措施采用通风装置引至干式过滤器（迷宫纸盒）+过滤棉+二级活性炭吸附处理后经过15m高排气筒（DA002）排放。</w:t>
            </w:r>
          </w:p>
          <w:p w14:paraId="2E0FDA88">
            <w:pPr>
              <w:bidi w:val="0"/>
              <w:rPr>
                <w:rFonts w:hint="eastAsia"/>
                <w:color w:val="auto"/>
                <w:highlight w:val="none"/>
                <w:lang w:val="en-US" w:eastAsia="zh-CN"/>
              </w:rPr>
            </w:pPr>
            <w:r>
              <w:rPr>
                <w:rFonts w:hint="eastAsia"/>
                <w:color w:val="auto"/>
                <w:highlight w:val="none"/>
                <w:lang w:val="en-US" w:eastAsia="zh-CN"/>
              </w:rPr>
              <w:t>a、干式过滤器（迷宫纸盒）过滤原理：</w:t>
            </w:r>
          </w:p>
          <w:p w14:paraId="3C01D4E0">
            <w:pPr>
              <w:bidi w:val="0"/>
              <w:rPr>
                <w:rFonts w:hint="eastAsia"/>
                <w:color w:val="auto"/>
                <w:highlight w:val="none"/>
                <w:lang w:val="en-US" w:eastAsia="zh-CN"/>
              </w:rPr>
            </w:pPr>
            <w:r>
              <w:rPr>
                <w:rFonts w:hint="eastAsia"/>
                <w:color w:val="auto"/>
                <w:highlight w:val="none"/>
                <w:lang w:val="en-US" w:eastAsia="zh-CN"/>
              </w:rPr>
              <w:t>由于废气中含有粉尘及黏性物质，如果直接进入活性炭吸附系统会堵塞活性炭的空隙，导致吸附效率降低甚至失效，同时，由于活性炭使用寿命比较长，为了确保活性炭的吸附效果，通常在废气进入活性炭吸附设备后，采用过滤器将粉尘及黏性物质去除，并可去除喷漆废气中水分，过滤器通常采用高精度的碳纤维过滤棉，确保废气无粉尘和颗粒等。本项目采用干式过滤器过滤材质为高精度的碳纤维过滤棉，粉尘过滤效果明显，维护成本较低，便于拆卸和安装。过滤器维护保养方便。确保颗粒物含量不超过1mg/m³。</w:t>
            </w:r>
          </w:p>
          <w:p w14:paraId="0734F7C2">
            <w:pPr>
              <w:bidi w:val="0"/>
              <w:rPr>
                <w:rFonts w:hint="default"/>
                <w:color w:val="auto"/>
                <w:highlight w:val="none"/>
                <w:lang w:val="en-US" w:eastAsia="zh-CN"/>
              </w:rPr>
            </w:pPr>
            <w:r>
              <w:rPr>
                <w:rFonts w:hint="eastAsia"/>
                <w:color w:val="auto"/>
                <w:highlight w:val="none"/>
                <w:lang w:val="en-US" w:eastAsia="zh-CN"/>
              </w:rPr>
              <w:t>b、过滤棉吸附处理原理</w:t>
            </w:r>
          </w:p>
          <w:p w14:paraId="29EE5A38">
            <w:pPr>
              <w:bidi w:val="0"/>
              <w:rPr>
                <w:rFonts w:hint="eastAsia"/>
                <w:color w:val="auto"/>
                <w:highlight w:val="none"/>
                <w:lang w:val="en-US" w:eastAsia="zh-CN"/>
              </w:rPr>
            </w:pPr>
            <w:r>
              <w:rPr>
                <w:rFonts w:hint="eastAsia"/>
                <w:color w:val="auto"/>
                <w:highlight w:val="none"/>
                <w:lang w:val="en-US" w:eastAsia="zh-CN"/>
              </w:rPr>
              <w:t>过滤棉通常由多层不同纤维密度的纤维层组成，形成立体网状结构，当废气通过过滤棉时，较大的漆雾颗粒和部分粉尘会被拦截在过滤棉的孔隙中，从而有效降低废气中的颗粒物浓度。</w:t>
            </w:r>
          </w:p>
          <w:p w14:paraId="21AFFD3C">
            <w:pPr>
              <w:bidi w:val="0"/>
              <w:rPr>
                <w:rFonts w:hint="eastAsia"/>
                <w:color w:val="auto"/>
                <w:highlight w:val="none"/>
                <w:lang w:val="en-US" w:eastAsia="zh-CN"/>
              </w:rPr>
            </w:pPr>
            <w:r>
              <w:rPr>
                <w:rFonts w:hint="eastAsia"/>
                <w:color w:val="auto"/>
                <w:highlight w:val="none"/>
                <w:lang w:val="en-US" w:eastAsia="zh-CN"/>
              </w:rPr>
              <w:t>干式过滤器（迷宫纸盒）+过滤棉的组合对有机废气的处理效率可以达到较高水平。迷宫纸盒和过滤棉的多级过滤结构能够有效去除废气中的颗粒物和有机污染物，净化效率通常可以达到95%以上。本报告干式过滤器（迷宫纸盒）+过滤棉的组合处理效率选取最小值，即95%计。</w:t>
            </w:r>
          </w:p>
          <w:p w14:paraId="40A04824">
            <w:pPr>
              <w:bidi w:val="0"/>
              <w:rPr>
                <w:rFonts w:hint="eastAsia"/>
                <w:color w:val="auto"/>
                <w:highlight w:val="none"/>
                <w:lang w:val="en-US" w:eastAsia="zh-CN"/>
              </w:rPr>
            </w:pPr>
            <w:r>
              <w:rPr>
                <w:rFonts w:hint="eastAsia"/>
                <w:color w:val="auto"/>
                <w:highlight w:val="none"/>
                <w:lang w:val="en-US" w:eastAsia="zh-CN"/>
              </w:rPr>
              <w:t>c、活性炭吸附处理原理</w:t>
            </w:r>
          </w:p>
          <w:p w14:paraId="5E5D888F">
            <w:pPr>
              <w:bidi w:val="0"/>
              <w:rPr>
                <w:rFonts w:hint="eastAsia"/>
                <w:color w:val="auto"/>
                <w:highlight w:val="none"/>
                <w:lang w:val="en-US" w:eastAsia="zh-CN"/>
              </w:rPr>
            </w:pPr>
            <w:r>
              <w:rPr>
                <w:rFonts w:hint="eastAsia"/>
                <w:color w:val="auto"/>
                <w:highlight w:val="none"/>
                <w:lang w:val="en-US" w:eastAsia="zh-CN"/>
              </w:rPr>
              <w:t>活性炭废气净化器是一种干式废气处理设备，选择不同填料可以处理多种不同废气，如苯类、酚类、醇类、醚类、酊类等有机废气和臭味。废气在风机的动力作用下，经过收集装置及管道进入主体治理设备—吸附器。吸附器内填充高效活性炭。活性炭的吸附能力在于它具有巨大的比表面积（高达600～1500㎡/g），以及其精细的多孔表面构造。废气经过活性炭时，其中的一种或几种组分浓集在固体表面，从而与其他组分分开，气体得到净化处理。该方法几乎适用于所有的气相污染物，一般是中低浓度的气相污染物，具有去除效率高等优点。</w:t>
            </w:r>
          </w:p>
          <w:p w14:paraId="29919672">
            <w:pPr>
              <w:bidi w:val="0"/>
              <w:rPr>
                <w:rFonts w:hint="eastAsia"/>
                <w:color w:val="auto"/>
                <w:highlight w:val="none"/>
                <w:lang w:val="en-US" w:eastAsia="zh-CN"/>
              </w:rPr>
            </w:pPr>
            <w:r>
              <w:rPr>
                <w:rFonts w:hint="eastAsia"/>
                <w:color w:val="auto"/>
                <w:highlight w:val="none"/>
                <w:lang w:val="en-US" w:eastAsia="zh-CN"/>
              </w:rPr>
              <w:t>活性炭微孔结构高度发达，使它具有很大的比表面积，由表面效应所产生的吸附作用是活性炭吸附最明显的特征之一。活性炭吸附主要有以下特点：</w:t>
            </w:r>
          </w:p>
          <w:p w14:paraId="5400B084">
            <w:pPr>
              <w:bidi w:val="0"/>
              <w:rPr>
                <w:rFonts w:hint="eastAsia"/>
                <w:color w:val="auto"/>
                <w:highlight w:val="none"/>
                <w:lang w:val="en-US" w:eastAsia="zh-CN"/>
              </w:rPr>
            </w:pPr>
            <w:r>
              <w:rPr>
                <w:rFonts w:hint="eastAsia"/>
                <w:color w:val="auto"/>
                <w:highlight w:val="none"/>
                <w:lang w:val="en-US" w:eastAsia="zh-CN"/>
              </w:rPr>
              <w:t>①活性炭是非极性的吸附剂，能选择吸附非极性物质；</w:t>
            </w:r>
          </w:p>
          <w:p w14:paraId="1992FDB6">
            <w:pPr>
              <w:bidi w:val="0"/>
              <w:rPr>
                <w:rFonts w:hint="eastAsia"/>
                <w:color w:val="auto"/>
                <w:highlight w:val="none"/>
                <w:lang w:val="en-US" w:eastAsia="zh-CN"/>
              </w:rPr>
            </w:pPr>
            <w:r>
              <w:rPr>
                <w:rFonts w:hint="eastAsia"/>
                <w:color w:val="auto"/>
                <w:highlight w:val="none"/>
                <w:lang w:val="en-US" w:eastAsia="zh-CN"/>
              </w:rPr>
              <w:t>②活性炭是疏水性的吸附剂，在有水或水蒸气存在的情况下仍能发挥作用；</w:t>
            </w:r>
          </w:p>
          <w:p w14:paraId="15F331B4">
            <w:pPr>
              <w:bidi w:val="0"/>
              <w:rPr>
                <w:rFonts w:hint="eastAsia"/>
                <w:color w:val="auto"/>
                <w:highlight w:val="none"/>
                <w:lang w:val="en-US" w:eastAsia="zh-CN"/>
              </w:rPr>
            </w:pPr>
            <w:r>
              <w:rPr>
                <w:rFonts w:hint="eastAsia"/>
                <w:color w:val="auto"/>
                <w:highlight w:val="none"/>
                <w:lang w:val="en-US" w:eastAsia="zh-CN"/>
              </w:rPr>
              <w:t>③活性炭孔径分布广，能够吸附分子大小不同的物质；</w:t>
            </w:r>
          </w:p>
          <w:p w14:paraId="4FFA876B">
            <w:pPr>
              <w:bidi w:val="0"/>
              <w:rPr>
                <w:rFonts w:hint="eastAsia"/>
                <w:color w:val="auto"/>
                <w:highlight w:val="none"/>
                <w:lang w:val="en-US" w:eastAsia="zh-CN"/>
              </w:rPr>
            </w:pPr>
            <w:r>
              <w:rPr>
                <w:rFonts w:hint="eastAsia"/>
                <w:color w:val="auto"/>
                <w:highlight w:val="none"/>
                <w:lang w:val="en-US" w:eastAsia="zh-CN"/>
              </w:rPr>
              <w:t>④活性炭具有一定的催化能力；</w:t>
            </w:r>
          </w:p>
          <w:p w14:paraId="22328473">
            <w:pPr>
              <w:bidi w:val="0"/>
              <w:rPr>
                <w:rFonts w:hint="eastAsia"/>
                <w:color w:val="auto"/>
                <w:highlight w:val="none"/>
                <w:lang w:val="en-US" w:eastAsia="zh-CN"/>
              </w:rPr>
            </w:pPr>
            <w:r>
              <w:rPr>
                <w:rFonts w:hint="eastAsia"/>
                <w:color w:val="auto"/>
                <w:highlight w:val="none"/>
                <w:lang w:val="en-US" w:eastAsia="zh-CN"/>
              </w:rPr>
              <w:t>⑤活性炭的化学稳定性和热稳定性优于硅胶等其他吸附剂。</w:t>
            </w:r>
          </w:p>
          <w:p w14:paraId="30C18D4C">
            <w:pPr>
              <w:bidi w:val="0"/>
              <w:rPr>
                <w:rFonts w:hint="eastAsia"/>
                <w:color w:val="auto"/>
                <w:highlight w:val="none"/>
                <w:lang w:val="en-US" w:eastAsia="zh-CN"/>
              </w:rPr>
            </w:pPr>
            <w:r>
              <w:rPr>
                <w:rFonts w:hint="eastAsia"/>
                <w:color w:val="auto"/>
                <w:highlight w:val="none"/>
                <w:lang w:val="en-US" w:eastAsia="zh-CN"/>
              </w:rPr>
              <w:t>活性炭吸附法工艺成熟，效果可靠，因此被广泛地应用于化工、喷漆、印刷、轻工等行业的有机废气治理。本项目利用活性炭吸附原理，将废气中的VOCs等有机废气进行净化处理。</w:t>
            </w:r>
          </w:p>
          <w:p w14:paraId="24C3323E">
            <w:pPr>
              <w:bidi w:val="0"/>
              <w:rPr>
                <w:rFonts w:hint="eastAsia"/>
                <w:color w:val="auto"/>
                <w:highlight w:val="none"/>
                <w:lang w:val="en-US" w:eastAsia="zh-CN"/>
              </w:rPr>
            </w:pPr>
            <w:r>
              <w:rPr>
                <w:rFonts w:hint="eastAsia"/>
                <w:color w:val="auto"/>
                <w:highlight w:val="none"/>
                <w:lang w:val="en-US" w:eastAsia="zh-CN"/>
              </w:rPr>
              <w:t>活性炭吸附装置运行简便，操作简单，无特别技术要求。但活性炭吸附装置具有时效性，需定期更换，方可保持处理的有效性，因此，活性炭吸附装置的运行监管就显得尤为重要，根据活性炭运行情况及实际工程经验，该装置的运行监管措施包括：聘请专人对处理装置的运行管理；记录好首次装炭时间，每天巡视不低于3次，并详细记录运行情况；根据装炭量、有机废气去除量、理论饱和时间，制订活性炭更换时间表；因业务关系，负荷具有一定的起伏，活性饱和时间与已制订的更换时间表会有少量偏差，故应定期或不定期测试活性炭饱和情况，以及时更换；更换下来的废活性炭应妥善密封保存，定期交专业回收公司回收处理。更换活性炭的方式为：先更换靠近进气端（即活性炭装置内的前端）的一层活性炭，后面的活性炭层依次向前端移动，补充一层新活性炭层放置在后端。</w:t>
            </w:r>
          </w:p>
          <w:p w14:paraId="0B046362">
            <w:pPr>
              <w:bidi w:val="0"/>
              <w:rPr>
                <w:rFonts w:hint="eastAsia"/>
                <w:color w:val="auto"/>
                <w:highlight w:val="none"/>
                <w:lang w:val="en-US" w:eastAsia="zh-CN"/>
              </w:rPr>
            </w:pPr>
            <w:r>
              <w:rPr>
                <w:rFonts w:hint="eastAsia"/>
                <w:color w:val="auto"/>
                <w:highlight w:val="none"/>
                <w:lang w:val="en-US" w:eastAsia="zh-CN"/>
              </w:rPr>
              <w:t>二级活性炭吸附的处理效率由活性炭使用时间而定，一般在70%至95%之间，活性炭吸附器中的活性炭在使用一定时间达到饱和后，为保证其净化效果必须定期进行更换，本报告活性炭吸附处理效率选取一个中间值，即70%计算，因此项目有机废气经活性炭吸附处理后，处理效率可达到70%。</w:t>
            </w:r>
          </w:p>
          <w:p w14:paraId="5C6C88D2">
            <w:pPr>
              <w:bidi w:val="0"/>
              <w:rPr>
                <w:rFonts w:hint="default"/>
                <w:b/>
                <w:bCs/>
                <w:color w:val="auto"/>
                <w:highlight w:val="none"/>
              </w:rPr>
            </w:pPr>
            <w:r>
              <w:rPr>
                <w:rFonts w:hint="eastAsia"/>
                <w:b/>
                <w:bCs/>
                <w:color w:val="auto"/>
                <w:highlight w:val="none"/>
                <w:lang w:eastAsia="zh-CN"/>
              </w:rPr>
              <w:t>（</w:t>
            </w:r>
            <w:r>
              <w:rPr>
                <w:rFonts w:hint="eastAsia"/>
                <w:b/>
                <w:bCs/>
                <w:color w:val="auto"/>
                <w:highlight w:val="none"/>
                <w:lang w:val="en-US" w:eastAsia="zh-CN"/>
              </w:rPr>
              <w:t>2</w:t>
            </w:r>
            <w:r>
              <w:rPr>
                <w:rFonts w:hint="eastAsia"/>
                <w:b/>
                <w:bCs/>
                <w:color w:val="auto"/>
                <w:highlight w:val="none"/>
                <w:lang w:eastAsia="zh-CN"/>
              </w:rPr>
              <w:t>）</w:t>
            </w:r>
            <w:r>
              <w:rPr>
                <w:rFonts w:hint="default"/>
                <w:b/>
                <w:bCs/>
                <w:color w:val="auto"/>
                <w:highlight w:val="none"/>
              </w:rPr>
              <w:t>无组织</w:t>
            </w:r>
            <w:r>
              <w:rPr>
                <w:rFonts w:hint="eastAsia"/>
                <w:b/>
                <w:bCs/>
                <w:color w:val="auto"/>
                <w:highlight w:val="none"/>
                <w:lang w:val="en-US" w:eastAsia="zh-CN"/>
              </w:rPr>
              <w:t>非VOCs废气</w:t>
            </w:r>
            <w:r>
              <w:rPr>
                <w:rFonts w:hint="default"/>
                <w:b/>
                <w:bCs/>
                <w:color w:val="auto"/>
                <w:highlight w:val="none"/>
              </w:rPr>
              <w:t>治理措施可行性分析</w:t>
            </w:r>
          </w:p>
          <w:p w14:paraId="23610192">
            <w:pPr>
              <w:bidi w:val="0"/>
              <w:rPr>
                <w:rFonts w:hint="default"/>
                <w:color w:val="auto"/>
                <w:highlight w:val="none"/>
              </w:rPr>
            </w:pPr>
            <w:r>
              <w:rPr>
                <w:rFonts w:hint="default"/>
                <w:color w:val="auto"/>
                <w:highlight w:val="none"/>
              </w:rPr>
              <w:t>本项目针对非甲烷总烃采取的防治措施与《挥发性有机物无组织排放控制标准》（GB37822-2019）符合性分析见下表。</w:t>
            </w:r>
          </w:p>
          <w:p w14:paraId="17C73F1A">
            <w:pPr>
              <w:bidi w:val="0"/>
              <w:rPr>
                <w:rFonts w:hint="default"/>
                <w:b/>
                <w:bCs/>
                <w:color w:val="auto"/>
                <w:highlight w:val="none"/>
              </w:rPr>
            </w:pPr>
            <w:r>
              <w:rPr>
                <w:rFonts w:hint="default"/>
                <w:b/>
                <w:bCs/>
                <w:color w:val="auto"/>
                <w:highlight w:val="none"/>
              </w:rPr>
              <w:t>表</w:t>
            </w:r>
            <w:r>
              <w:rPr>
                <w:rFonts w:hint="eastAsia"/>
                <w:b/>
                <w:bCs/>
                <w:color w:val="auto"/>
                <w:highlight w:val="none"/>
                <w:lang w:val="en-US" w:eastAsia="zh-CN"/>
              </w:rPr>
              <w:t>4-2</w:t>
            </w:r>
            <w:r>
              <w:rPr>
                <w:rFonts w:hint="default"/>
                <w:b/>
                <w:bCs/>
                <w:color w:val="auto"/>
                <w:highlight w:val="none"/>
              </w:rPr>
              <w:t>本项目与《挥发性有机物无组织排放控制标准》符合性分析</w:t>
            </w:r>
          </w:p>
          <w:tbl>
            <w:tblPr>
              <w:tblStyle w:val="26"/>
              <w:tblW w:w="7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892"/>
              <w:gridCol w:w="3045"/>
              <w:gridCol w:w="1050"/>
            </w:tblGrid>
            <w:tr w14:paraId="4BCD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 w:hRule="atLeast"/>
                <w:jc w:val="center"/>
              </w:trPr>
              <w:tc>
                <w:tcPr>
                  <w:tcW w:w="3881" w:type="dxa"/>
                  <w:gridSpan w:val="2"/>
                  <w:noWrap w:val="0"/>
                  <w:vAlign w:val="center"/>
                </w:tcPr>
                <w:p w14:paraId="5829FB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《挥发性有机物无组织排放控制标准》中相关要求</w:t>
                  </w:r>
                </w:p>
              </w:tc>
              <w:tc>
                <w:tcPr>
                  <w:tcW w:w="3045" w:type="dxa"/>
                  <w:noWrap w:val="0"/>
                  <w:vAlign w:val="center"/>
                </w:tcPr>
                <w:p w14:paraId="511C46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本项目实际建设内容</w:t>
                  </w:r>
                </w:p>
              </w:tc>
              <w:tc>
                <w:tcPr>
                  <w:tcW w:w="1050" w:type="dxa"/>
                  <w:noWrap w:val="0"/>
                  <w:vAlign w:val="center"/>
                </w:tcPr>
                <w:p w14:paraId="3E8F31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相符性</w:t>
                  </w:r>
                </w:p>
              </w:tc>
            </w:tr>
            <w:tr w14:paraId="5553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restart"/>
                  <w:noWrap w:val="0"/>
                  <w:vAlign w:val="center"/>
                </w:tcPr>
                <w:p w14:paraId="0566E06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VOCs物料储存无组织排放控制要求</w:t>
                  </w:r>
                </w:p>
              </w:tc>
              <w:tc>
                <w:tcPr>
                  <w:tcW w:w="2892" w:type="dxa"/>
                  <w:noWrap w:val="0"/>
                  <w:vAlign w:val="center"/>
                </w:tcPr>
                <w:p w14:paraId="198DE5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VOCs物料应储存</w:t>
                  </w:r>
                  <w:r>
                    <w:rPr>
                      <w:rFonts w:hint="eastAsia"/>
                      <w:color w:val="auto"/>
                      <w:highlight w:val="none"/>
                      <w:lang w:val="en-US" w:eastAsia="zh-CN"/>
                    </w:rPr>
                    <w:t>于</w:t>
                  </w:r>
                  <w:r>
                    <w:rPr>
                      <w:rFonts w:hint="default"/>
                      <w:color w:val="auto"/>
                      <w:highlight w:val="none"/>
                      <w:lang w:val="en-US"/>
                    </w:rPr>
                    <w:t>密闭的容器、包装袋、储罐、储库、料仓中</w:t>
                  </w:r>
                </w:p>
              </w:tc>
              <w:tc>
                <w:tcPr>
                  <w:tcW w:w="3045" w:type="dxa"/>
                  <w:noWrap w:val="0"/>
                  <w:vAlign w:val="center"/>
                </w:tcPr>
                <w:p w14:paraId="30B58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本项目油漆采用成品油漆，油漆均储存于密闭包装桶内。</w:t>
                  </w:r>
                </w:p>
              </w:tc>
              <w:tc>
                <w:tcPr>
                  <w:tcW w:w="1050" w:type="dxa"/>
                  <w:noWrap w:val="0"/>
                  <w:vAlign w:val="center"/>
                </w:tcPr>
                <w:p w14:paraId="26B07E3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符合</w:t>
                  </w:r>
                </w:p>
              </w:tc>
            </w:tr>
            <w:tr w14:paraId="1F1B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vMerge w:val="continue"/>
                  <w:noWrap w:val="0"/>
                  <w:vAlign w:val="center"/>
                </w:tcPr>
                <w:p w14:paraId="51207D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p>
              </w:tc>
              <w:tc>
                <w:tcPr>
                  <w:tcW w:w="2892" w:type="dxa"/>
                  <w:noWrap w:val="0"/>
                  <w:vAlign w:val="center"/>
                </w:tcPr>
                <w:p w14:paraId="2C3068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盛装VOCs物料的容器或包装袋应存放于室内，或存放于设置有雨棚、遮阳和防渗设施的场地。盛装VOCs物料的容器或包装袋在非取用状态时应加盖、封口，保持密闭。</w:t>
                  </w:r>
                </w:p>
              </w:tc>
              <w:tc>
                <w:tcPr>
                  <w:tcW w:w="3045" w:type="dxa"/>
                  <w:noWrap w:val="0"/>
                  <w:vAlign w:val="center"/>
                </w:tcPr>
                <w:p w14:paraId="3BBAFCC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color w:val="auto"/>
                      <w:highlight w:val="none"/>
                      <w:lang w:val="en-US"/>
                    </w:rPr>
                    <w:t>本项目成品油漆桶存放于油漆暂存区</w:t>
                  </w:r>
                  <w:r>
                    <w:rPr>
                      <w:rFonts w:hint="eastAsia"/>
                      <w:color w:val="auto"/>
                      <w:highlight w:val="none"/>
                      <w:lang w:val="en-US" w:eastAsia="zh-CN"/>
                    </w:rPr>
                    <w:t>，油漆桶加盖、封口，保持密闭，</w:t>
                  </w:r>
                  <w:r>
                    <w:rPr>
                      <w:rFonts w:hint="eastAsia"/>
                      <w:color w:val="auto"/>
                      <w:szCs w:val="21"/>
                      <w:highlight w:val="none"/>
                    </w:rPr>
                    <w:t>油漆暂存区</w:t>
                  </w:r>
                  <w:r>
                    <w:rPr>
                      <w:rFonts w:hint="eastAsia"/>
                      <w:color w:val="auto"/>
                      <w:szCs w:val="21"/>
                      <w:highlight w:val="none"/>
                      <w:lang w:val="en-US" w:eastAsia="zh-CN"/>
                    </w:rPr>
                    <w:t>位于生产车间内，位于室内，为全封闭，防雨防晒。</w:t>
                  </w:r>
                </w:p>
              </w:tc>
              <w:tc>
                <w:tcPr>
                  <w:tcW w:w="1050" w:type="dxa"/>
                  <w:noWrap w:val="0"/>
                  <w:vAlign w:val="center"/>
                </w:tcPr>
                <w:p w14:paraId="7765C8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符合</w:t>
                  </w:r>
                </w:p>
              </w:tc>
            </w:tr>
            <w:tr w14:paraId="55E9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noWrap w:val="0"/>
                  <w:vAlign w:val="center"/>
                </w:tcPr>
                <w:p w14:paraId="50D47A5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工艺过程VOCs无组织排放控制要求</w:t>
                  </w:r>
                </w:p>
              </w:tc>
              <w:tc>
                <w:tcPr>
                  <w:tcW w:w="2892" w:type="dxa"/>
                  <w:noWrap w:val="0"/>
                  <w:vAlign w:val="center"/>
                </w:tcPr>
                <w:p w14:paraId="659A64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VOCs质量占比大于等于10%的含VOCs产品，其使用过程应无法密闭的，应采取局部气体收集措施，废气应排至VOCs废气收集处理系统</w:t>
                  </w:r>
                </w:p>
              </w:tc>
              <w:tc>
                <w:tcPr>
                  <w:tcW w:w="3045" w:type="dxa"/>
                  <w:noWrap w:val="0"/>
                  <w:vAlign w:val="center"/>
                </w:tcPr>
                <w:p w14:paraId="10710A8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本项目喷漆过程中会产生挥发性有机物，</w:t>
                  </w:r>
                  <w:r>
                    <w:rPr>
                      <w:rFonts w:hint="eastAsia"/>
                      <w:color w:val="auto"/>
                      <w:highlight w:val="none"/>
                      <w:lang w:val="en-US" w:eastAsia="zh-CN"/>
                    </w:rPr>
                    <w:t>喷漆废气经负压收集</w:t>
                  </w:r>
                  <w:r>
                    <w:rPr>
                      <w:rFonts w:hint="default"/>
                      <w:color w:val="auto"/>
                      <w:highlight w:val="none"/>
                      <w:lang w:val="en-US" w:eastAsia="zh-CN"/>
                    </w:rPr>
                    <w:t>引至干式过滤器（迷宫纸盒）+过滤棉+二级活性炭吸附装置处理后，由15m高排气筒排放。</w:t>
                  </w:r>
                </w:p>
              </w:tc>
              <w:tc>
                <w:tcPr>
                  <w:tcW w:w="1050" w:type="dxa"/>
                  <w:noWrap w:val="0"/>
                  <w:vAlign w:val="center"/>
                </w:tcPr>
                <w:p w14:paraId="7C9D0F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highlight w:val="none"/>
                      <w:lang w:val="en-US"/>
                    </w:rPr>
                  </w:pPr>
                  <w:r>
                    <w:rPr>
                      <w:rFonts w:hint="default"/>
                      <w:color w:val="auto"/>
                      <w:highlight w:val="none"/>
                      <w:lang w:val="en-US"/>
                    </w:rPr>
                    <w:t>符合</w:t>
                  </w:r>
                </w:p>
              </w:tc>
            </w:tr>
          </w:tbl>
          <w:p w14:paraId="7BD336BB">
            <w:pPr>
              <w:bidi w:val="0"/>
              <w:rPr>
                <w:rFonts w:hint="default"/>
                <w:color w:val="auto"/>
                <w:highlight w:val="none"/>
              </w:rPr>
            </w:pPr>
            <w:r>
              <w:rPr>
                <w:rFonts w:hint="default"/>
                <w:color w:val="auto"/>
                <w:highlight w:val="none"/>
              </w:rPr>
              <w:t>厂区内无组织排放的非甲烷总烃控制措施符合《挥发性有机物无组织排放控制标准》（GB37822-2019）要求。</w:t>
            </w:r>
          </w:p>
          <w:p w14:paraId="0455262B">
            <w:pPr>
              <w:bidi w:val="0"/>
              <w:rPr>
                <w:rFonts w:hint="default"/>
                <w:b/>
                <w:bCs/>
                <w:color w:val="auto"/>
                <w:highlight w:val="none"/>
              </w:rPr>
            </w:pPr>
            <w:r>
              <w:rPr>
                <w:rFonts w:hint="eastAsia"/>
                <w:b/>
                <w:bCs/>
                <w:color w:val="auto"/>
                <w:highlight w:val="none"/>
                <w:lang w:val="en-US" w:eastAsia="zh-CN"/>
              </w:rPr>
              <w:t>3、</w:t>
            </w:r>
            <w:r>
              <w:rPr>
                <w:rFonts w:hint="default"/>
                <w:b/>
                <w:bCs/>
                <w:color w:val="auto"/>
                <w:highlight w:val="none"/>
              </w:rPr>
              <w:t>非正常工况</w:t>
            </w:r>
          </w:p>
          <w:p w14:paraId="65547945">
            <w:pPr>
              <w:bidi w:val="0"/>
              <w:rPr>
                <w:rFonts w:hint="default"/>
                <w:color w:val="auto"/>
                <w:highlight w:val="none"/>
              </w:rPr>
            </w:pPr>
            <w:r>
              <w:rPr>
                <w:rFonts w:hint="eastAsia"/>
                <w:color w:val="auto"/>
                <w:highlight w:val="none"/>
              </w:rPr>
              <w:t>非正常工况是指车间废气处理设施运行出现事故，达不到设计要求时的处理效率。通过对该项目废气产生环节及主要污染物识别，综合考虑废气的环境影响和事故可能发生的概率，本环评非正常工况考虑废气治理设施全部失效。废气处理系统出现故障，一般有</w:t>
            </w:r>
            <w:r>
              <w:rPr>
                <w:rFonts w:hint="default"/>
                <w:color w:val="auto"/>
                <w:highlight w:val="none"/>
              </w:rPr>
              <w:t>3</w:t>
            </w:r>
            <w:r>
              <w:rPr>
                <w:rFonts w:hint="eastAsia"/>
                <w:color w:val="auto"/>
                <w:highlight w:val="none"/>
              </w:rPr>
              <w:t>种情况：停电、处理装置和风机出现故障，对生产异常情况，采取以下措施：</w:t>
            </w:r>
          </w:p>
          <w:p w14:paraId="354BAC2D">
            <w:pPr>
              <w:bidi w:val="0"/>
              <w:rPr>
                <w:rFonts w:hint="default"/>
                <w:color w:val="auto"/>
                <w:highlight w:val="none"/>
              </w:rPr>
            </w:pPr>
            <w:r>
              <w:rPr>
                <w:rFonts w:hint="eastAsia"/>
                <w:color w:val="auto"/>
                <w:highlight w:val="none"/>
              </w:rPr>
              <w:t>①如果全厂停电，停止生产，无污染物产生。为确保安全，立即疏散工作人员。</w:t>
            </w:r>
          </w:p>
          <w:p w14:paraId="5E2FB7FA">
            <w:pPr>
              <w:bidi w:val="0"/>
              <w:rPr>
                <w:rFonts w:hint="default"/>
                <w:color w:val="auto"/>
                <w:highlight w:val="none"/>
              </w:rPr>
            </w:pPr>
            <w:r>
              <w:rPr>
                <w:rFonts w:hint="eastAsia"/>
                <w:color w:val="auto"/>
                <w:highlight w:val="none"/>
              </w:rPr>
              <w:t>②风机出现故障时，立即停止污染源工序的生产，并及时维修风机。</w:t>
            </w:r>
          </w:p>
          <w:p w14:paraId="297874E0">
            <w:pPr>
              <w:bidi w:val="0"/>
              <w:rPr>
                <w:rFonts w:hint="default"/>
                <w:color w:val="auto"/>
                <w:highlight w:val="none"/>
              </w:rPr>
            </w:pPr>
            <w:r>
              <w:rPr>
                <w:rFonts w:hint="eastAsia"/>
                <w:color w:val="auto"/>
                <w:highlight w:val="none"/>
              </w:rPr>
              <w:t>③当废气处理设施出现故障时，应立即进行维修，并停止产污设备的生产。</w:t>
            </w:r>
          </w:p>
          <w:p w14:paraId="6FD41233">
            <w:pPr>
              <w:bidi w:val="0"/>
              <w:rPr>
                <w:rFonts w:hint="default"/>
                <w:color w:val="auto"/>
                <w:highlight w:val="none"/>
              </w:rPr>
            </w:pPr>
            <w:r>
              <w:rPr>
                <w:rFonts w:hint="eastAsia"/>
                <w:color w:val="auto"/>
                <w:highlight w:val="none"/>
              </w:rPr>
              <w:t>本报告废气非正常排放考虑装置处理效率为</w:t>
            </w:r>
            <w:r>
              <w:rPr>
                <w:rFonts w:hint="default"/>
                <w:color w:val="auto"/>
                <w:highlight w:val="none"/>
              </w:rPr>
              <w:t>0</w:t>
            </w:r>
            <w:r>
              <w:rPr>
                <w:rFonts w:hint="eastAsia"/>
                <w:color w:val="auto"/>
                <w:highlight w:val="none"/>
              </w:rPr>
              <w:t>的情况，非正常排放情况及概率下表。</w:t>
            </w:r>
          </w:p>
          <w:p w14:paraId="11C60403">
            <w:pPr>
              <w:bidi w:val="0"/>
              <w:ind w:left="0" w:leftChars="0" w:firstLine="0" w:firstLineChars="0"/>
              <w:jc w:val="center"/>
              <w:rPr>
                <w:rFonts w:hint="default"/>
                <w:b/>
                <w:bCs/>
                <w:color w:val="auto"/>
                <w:highlight w:val="none"/>
              </w:rPr>
            </w:pPr>
            <w:r>
              <w:rPr>
                <w:rFonts w:hint="default"/>
                <w:b/>
                <w:bCs/>
                <w:color w:val="auto"/>
                <w:highlight w:val="none"/>
              </w:rPr>
              <w:t>表4-</w:t>
            </w:r>
            <w:r>
              <w:rPr>
                <w:rFonts w:hint="eastAsia"/>
                <w:b/>
                <w:bCs/>
                <w:color w:val="auto"/>
                <w:highlight w:val="none"/>
                <w:lang w:val="en-US" w:eastAsia="zh-CN"/>
              </w:rPr>
              <w:t>3</w:t>
            </w:r>
            <w:r>
              <w:rPr>
                <w:rFonts w:hint="default"/>
                <w:b/>
                <w:bCs/>
                <w:color w:val="auto"/>
                <w:highlight w:val="none"/>
              </w:rPr>
              <w:t>非正常工况下污染物排放情况汇总</w:t>
            </w:r>
          </w:p>
          <w:tbl>
            <w:tblPr>
              <w:tblStyle w:val="26"/>
              <w:tblW w:w="8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769"/>
              <w:gridCol w:w="643"/>
              <w:gridCol w:w="617"/>
              <w:gridCol w:w="699"/>
              <w:gridCol w:w="779"/>
              <w:gridCol w:w="699"/>
              <w:gridCol w:w="751"/>
              <w:gridCol w:w="623"/>
              <w:gridCol w:w="815"/>
              <w:gridCol w:w="665"/>
              <w:gridCol w:w="426"/>
            </w:tblGrid>
            <w:tr w14:paraId="1A74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65" w:type="pct"/>
                  <w:vMerge w:val="restart"/>
                  <w:noWrap w:val="0"/>
                  <w:vAlign w:val="center"/>
                </w:tcPr>
                <w:p w14:paraId="738BDE8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排气筒编号</w:t>
                  </w:r>
                </w:p>
              </w:tc>
              <w:tc>
                <w:tcPr>
                  <w:tcW w:w="476" w:type="pct"/>
                  <w:vMerge w:val="restart"/>
                  <w:noWrap w:val="0"/>
                  <w:vAlign w:val="center"/>
                </w:tcPr>
                <w:p w14:paraId="3BB681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非正常工况原因</w:t>
                  </w:r>
                </w:p>
              </w:tc>
              <w:tc>
                <w:tcPr>
                  <w:tcW w:w="398" w:type="pct"/>
                  <w:vMerge w:val="restart"/>
                  <w:noWrap w:val="0"/>
                  <w:vAlign w:val="center"/>
                </w:tcPr>
                <w:p w14:paraId="51FFB8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污染物</w:t>
                  </w:r>
                </w:p>
              </w:tc>
              <w:tc>
                <w:tcPr>
                  <w:tcW w:w="1297" w:type="pct"/>
                  <w:gridSpan w:val="3"/>
                  <w:noWrap w:val="0"/>
                  <w:vAlign w:val="center"/>
                </w:tcPr>
                <w:p w14:paraId="043390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产生状况</w:t>
                  </w:r>
                </w:p>
              </w:tc>
              <w:tc>
                <w:tcPr>
                  <w:tcW w:w="432" w:type="pct"/>
                  <w:vMerge w:val="restart"/>
                  <w:noWrap w:val="0"/>
                  <w:vAlign w:val="center"/>
                </w:tcPr>
                <w:p w14:paraId="41BC9D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去除率％</w:t>
                  </w:r>
                </w:p>
              </w:tc>
              <w:tc>
                <w:tcPr>
                  <w:tcW w:w="1355" w:type="pct"/>
                  <w:gridSpan w:val="3"/>
                  <w:noWrap w:val="0"/>
                  <w:vAlign w:val="center"/>
                </w:tcPr>
                <w:p w14:paraId="0EF0E5F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排放状况</w:t>
                  </w:r>
                </w:p>
              </w:tc>
              <w:tc>
                <w:tcPr>
                  <w:tcW w:w="411" w:type="pct"/>
                  <w:vMerge w:val="restart"/>
                  <w:noWrap w:val="0"/>
                  <w:vAlign w:val="center"/>
                </w:tcPr>
                <w:p w14:paraId="4D1478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单次持续时间</w:t>
                  </w:r>
                </w:p>
              </w:tc>
              <w:tc>
                <w:tcPr>
                  <w:tcW w:w="263" w:type="pct"/>
                  <w:vMerge w:val="restart"/>
                  <w:noWrap w:val="0"/>
                  <w:vAlign w:val="center"/>
                </w:tcPr>
                <w:p w14:paraId="4F1E28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年发生频次</w:t>
                  </w:r>
                </w:p>
              </w:tc>
            </w:tr>
            <w:tr w14:paraId="74A9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65" w:type="pct"/>
                  <w:vMerge w:val="continue"/>
                  <w:noWrap w:val="0"/>
                  <w:vAlign w:val="center"/>
                </w:tcPr>
                <w:p w14:paraId="02F296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c>
                <w:tcPr>
                  <w:tcW w:w="476" w:type="pct"/>
                  <w:vMerge w:val="continue"/>
                  <w:noWrap w:val="0"/>
                  <w:vAlign w:val="center"/>
                </w:tcPr>
                <w:p w14:paraId="70C932C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c>
                <w:tcPr>
                  <w:tcW w:w="398" w:type="pct"/>
                  <w:vMerge w:val="continue"/>
                  <w:noWrap w:val="0"/>
                  <w:vAlign w:val="center"/>
                </w:tcPr>
                <w:p w14:paraId="42877D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c>
                <w:tcPr>
                  <w:tcW w:w="381" w:type="pct"/>
                  <w:noWrap w:val="0"/>
                  <w:vAlign w:val="center"/>
                </w:tcPr>
                <w:p w14:paraId="1571B2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速率kg/h</w:t>
                  </w:r>
                </w:p>
              </w:tc>
              <w:tc>
                <w:tcPr>
                  <w:tcW w:w="432" w:type="pct"/>
                  <w:noWrap w:val="0"/>
                  <w:vAlign w:val="center"/>
                </w:tcPr>
                <w:p w14:paraId="7FEFED3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color w:val="auto"/>
                      <w:sz w:val="20"/>
                      <w:szCs w:val="20"/>
                      <w:highlight w:val="none"/>
                      <w:lang w:val="en-US" w:eastAsia="zh-CN"/>
                    </w:rPr>
                  </w:pPr>
                  <w:r>
                    <w:rPr>
                      <w:rFonts w:hint="eastAsia"/>
                      <w:color w:val="auto"/>
                      <w:sz w:val="20"/>
                      <w:szCs w:val="20"/>
                      <w:highlight w:val="none"/>
                      <w:lang w:val="en-US" w:eastAsia="zh-CN"/>
                    </w:rPr>
                    <w:t>产生量t/a</w:t>
                  </w:r>
                </w:p>
              </w:tc>
              <w:tc>
                <w:tcPr>
                  <w:tcW w:w="482" w:type="pct"/>
                  <w:noWrap w:val="0"/>
                  <w:vAlign w:val="center"/>
                </w:tcPr>
                <w:p w14:paraId="682AFAF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浓度mg/</w:t>
                  </w:r>
                  <w:r>
                    <w:rPr>
                      <w:rFonts w:hint="eastAsia"/>
                      <w:color w:val="auto"/>
                      <w:sz w:val="20"/>
                      <w:szCs w:val="20"/>
                      <w:highlight w:val="none"/>
                      <w:lang w:eastAsia="zh-CN"/>
                    </w:rPr>
                    <w:t>m³</w:t>
                  </w:r>
                </w:p>
              </w:tc>
              <w:tc>
                <w:tcPr>
                  <w:tcW w:w="432" w:type="pct"/>
                  <w:vMerge w:val="continue"/>
                  <w:noWrap w:val="0"/>
                  <w:vAlign w:val="center"/>
                </w:tcPr>
                <w:p w14:paraId="689ADFF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c>
                <w:tcPr>
                  <w:tcW w:w="464" w:type="pct"/>
                  <w:noWrap w:val="0"/>
                  <w:vAlign w:val="center"/>
                </w:tcPr>
                <w:p w14:paraId="223BBC8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速率kg/h</w:t>
                  </w:r>
                </w:p>
              </w:tc>
              <w:tc>
                <w:tcPr>
                  <w:tcW w:w="385" w:type="pct"/>
                  <w:noWrap w:val="0"/>
                  <w:vAlign w:val="center"/>
                </w:tcPr>
                <w:p w14:paraId="6C53B9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color w:val="auto"/>
                      <w:sz w:val="20"/>
                      <w:szCs w:val="20"/>
                      <w:highlight w:val="none"/>
                      <w:lang w:val="en-US" w:eastAsia="zh-CN"/>
                    </w:rPr>
                  </w:pPr>
                  <w:r>
                    <w:rPr>
                      <w:rFonts w:hint="eastAsia"/>
                      <w:color w:val="auto"/>
                      <w:sz w:val="20"/>
                      <w:szCs w:val="20"/>
                      <w:highlight w:val="none"/>
                      <w:lang w:val="en-US" w:eastAsia="zh-CN"/>
                    </w:rPr>
                    <w:t>排放量t/a</w:t>
                  </w:r>
                </w:p>
              </w:tc>
              <w:tc>
                <w:tcPr>
                  <w:tcW w:w="504" w:type="pct"/>
                  <w:noWrap w:val="0"/>
                  <w:vAlign w:val="center"/>
                </w:tcPr>
                <w:p w14:paraId="1F0EFA5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浓度mg/</w:t>
                  </w:r>
                  <w:r>
                    <w:rPr>
                      <w:rFonts w:hint="eastAsia"/>
                      <w:color w:val="auto"/>
                      <w:sz w:val="20"/>
                      <w:szCs w:val="20"/>
                      <w:highlight w:val="none"/>
                      <w:lang w:eastAsia="zh-CN"/>
                    </w:rPr>
                    <w:t>m³</w:t>
                  </w:r>
                </w:p>
              </w:tc>
              <w:tc>
                <w:tcPr>
                  <w:tcW w:w="411" w:type="pct"/>
                  <w:vMerge w:val="continue"/>
                  <w:noWrap w:val="0"/>
                  <w:vAlign w:val="center"/>
                </w:tcPr>
                <w:p w14:paraId="6C6643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c>
                <w:tcPr>
                  <w:tcW w:w="263" w:type="pct"/>
                  <w:vMerge w:val="continue"/>
                  <w:noWrap w:val="0"/>
                  <w:vAlign w:val="center"/>
                </w:tcPr>
                <w:p w14:paraId="6AEAE13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r>
            <w:tr w14:paraId="7257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5" w:type="pct"/>
                  <w:noWrap w:val="0"/>
                  <w:vAlign w:val="center"/>
                </w:tcPr>
                <w:p w14:paraId="41EF8BC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eastAsia="zh-CN"/>
                    </w:rPr>
                  </w:pPr>
                  <w:r>
                    <w:rPr>
                      <w:rFonts w:hint="default"/>
                      <w:color w:val="auto"/>
                      <w:sz w:val="20"/>
                      <w:szCs w:val="20"/>
                      <w:highlight w:val="none"/>
                    </w:rPr>
                    <w:t>DA00</w:t>
                  </w:r>
                  <w:r>
                    <w:rPr>
                      <w:rFonts w:hint="default"/>
                      <w:color w:val="auto"/>
                      <w:sz w:val="20"/>
                      <w:szCs w:val="20"/>
                      <w:highlight w:val="none"/>
                      <w:lang w:val="en-US" w:eastAsia="zh-CN"/>
                    </w:rPr>
                    <w:t>1</w:t>
                  </w:r>
                </w:p>
              </w:tc>
              <w:tc>
                <w:tcPr>
                  <w:tcW w:w="476" w:type="pct"/>
                  <w:vMerge w:val="restart"/>
                  <w:noWrap w:val="0"/>
                  <w:vAlign w:val="center"/>
                </w:tcPr>
                <w:p w14:paraId="465109B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废气处理设施故障，处理效率为0</w:t>
                  </w:r>
                </w:p>
              </w:tc>
              <w:tc>
                <w:tcPr>
                  <w:tcW w:w="398" w:type="pct"/>
                  <w:noWrap w:val="0"/>
                  <w:vAlign w:val="center"/>
                </w:tcPr>
                <w:p w14:paraId="1ED44BF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lang w:val="en-US" w:eastAsia="zh-CN"/>
                    </w:rPr>
                    <w:t>颗粒物</w:t>
                  </w:r>
                </w:p>
              </w:tc>
              <w:tc>
                <w:tcPr>
                  <w:tcW w:w="381" w:type="pct"/>
                  <w:noWrap w:val="0"/>
                  <w:vAlign w:val="center"/>
                </w:tcPr>
                <w:p w14:paraId="764FBDF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12.40</w:t>
                  </w:r>
                </w:p>
              </w:tc>
              <w:tc>
                <w:tcPr>
                  <w:tcW w:w="432" w:type="pct"/>
                  <w:noWrap w:val="0"/>
                  <w:vAlign w:val="center"/>
                </w:tcPr>
                <w:p w14:paraId="2531C91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26.28</w:t>
                  </w:r>
                </w:p>
              </w:tc>
              <w:tc>
                <w:tcPr>
                  <w:tcW w:w="482" w:type="pct"/>
                  <w:noWrap w:val="0"/>
                  <w:vAlign w:val="center"/>
                </w:tcPr>
                <w:p w14:paraId="4254E6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2479.25</w:t>
                  </w:r>
                </w:p>
              </w:tc>
              <w:tc>
                <w:tcPr>
                  <w:tcW w:w="432" w:type="pct"/>
                  <w:vMerge w:val="restart"/>
                  <w:noWrap w:val="0"/>
                  <w:vAlign w:val="center"/>
                </w:tcPr>
                <w:p w14:paraId="7243231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default"/>
                      <w:color w:val="auto"/>
                      <w:sz w:val="20"/>
                      <w:szCs w:val="20"/>
                      <w:highlight w:val="none"/>
                      <w:lang w:val="en-US" w:eastAsia="zh-CN"/>
                    </w:rPr>
                    <w:t>0</w:t>
                  </w:r>
                </w:p>
              </w:tc>
              <w:tc>
                <w:tcPr>
                  <w:tcW w:w="464" w:type="pct"/>
                  <w:noWrap w:val="0"/>
                  <w:vAlign w:val="center"/>
                </w:tcPr>
                <w:p w14:paraId="3138C91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12.40</w:t>
                  </w:r>
                </w:p>
              </w:tc>
              <w:tc>
                <w:tcPr>
                  <w:tcW w:w="385" w:type="pct"/>
                  <w:noWrap w:val="0"/>
                  <w:vAlign w:val="center"/>
                </w:tcPr>
                <w:p w14:paraId="3857B69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0"/>
                      <w:szCs w:val="20"/>
                      <w:highlight w:val="none"/>
                      <w:lang w:val="en-US" w:eastAsia="zh-CN"/>
                    </w:rPr>
                  </w:pPr>
                  <w:r>
                    <w:rPr>
                      <w:rFonts w:hint="eastAsia"/>
                      <w:color w:val="auto"/>
                      <w:sz w:val="20"/>
                      <w:szCs w:val="20"/>
                      <w:highlight w:val="none"/>
                      <w:lang w:val="en-US" w:eastAsia="zh-CN"/>
                    </w:rPr>
                    <w:t>26.28</w:t>
                  </w:r>
                </w:p>
              </w:tc>
              <w:tc>
                <w:tcPr>
                  <w:tcW w:w="504" w:type="pct"/>
                  <w:noWrap w:val="0"/>
                  <w:vAlign w:val="center"/>
                </w:tcPr>
                <w:p w14:paraId="12C3997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2479.25</w:t>
                  </w:r>
                </w:p>
              </w:tc>
              <w:tc>
                <w:tcPr>
                  <w:tcW w:w="411" w:type="pct"/>
                  <w:noWrap w:val="0"/>
                  <w:vAlign w:val="center"/>
                </w:tcPr>
                <w:p w14:paraId="71525D0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1h</w:t>
                  </w:r>
                </w:p>
              </w:tc>
              <w:tc>
                <w:tcPr>
                  <w:tcW w:w="263" w:type="pct"/>
                  <w:noWrap w:val="0"/>
                  <w:vAlign w:val="center"/>
                </w:tcPr>
                <w:p w14:paraId="36E27C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eastAsia"/>
                      <w:color w:val="auto"/>
                      <w:sz w:val="20"/>
                      <w:szCs w:val="20"/>
                      <w:highlight w:val="none"/>
                      <w:lang w:val="en-US" w:eastAsia="zh-CN"/>
                    </w:rPr>
                    <w:t>1</w:t>
                  </w:r>
                  <w:r>
                    <w:rPr>
                      <w:rFonts w:hint="default"/>
                      <w:color w:val="auto"/>
                      <w:sz w:val="20"/>
                      <w:szCs w:val="20"/>
                      <w:highlight w:val="none"/>
                    </w:rPr>
                    <w:t>次</w:t>
                  </w:r>
                </w:p>
              </w:tc>
            </w:tr>
            <w:tr w14:paraId="2F52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5" w:type="pct"/>
                  <w:vMerge w:val="restart"/>
                  <w:noWrap w:val="0"/>
                  <w:vAlign w:val="center"/>
                </w:tcPr>
                <w:p w14:paraId="79ECD0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color w:val="auto"/>
                      <w:sz w:val="20"/>
                      <w:szCs w:val="20"/>
                      <w:highlight w:val="none"/>
                      <w:lang w:eastAsia="zh-CN"/>
                    </w:rPr>
                  </w:pPr>
                  <w:r>
                    <w:rPr>
                      <w:rFonts w:hint="eastAsia"/>
                      <w:color w:val="auto"/>
                      <w:sz w:val="20"/>
                      <w:szCs w:val="20"/>
                      <w:highlight w:val="none"/>
                      <w:lang w:eastAsia="zh-CN"/>
                    </w:rPr>
                    <w:t>DA002</w:t>
                  </w:r>
                </w:p>
              </w:tc>
              <w:tc>
                <w:tcPr>
                  <w:tcW w:w="476" w:type="pct"/>
                  <w:vMerge w:val="continue"/>
                  <w:noWrap w:val="0"/>
                  <w:vAlign w:val="center"/>
                </w:tcPr>
                <w:p w14:paraId="3BFAED0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c>
                <w:tcPr>
                  <w:tcW w:w="398" w:type="pct"/>
                  <w:noWrap w:val="0"/>
                  <w:vAlign w:val="center"/>
                </w:tcPr>
                <w:p w14:paraId="0C53C6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非甲烷总烃</w:t>
                  </w:r>
                </w:p>
              </w:tc>
              <w:tc>
                <w:tcPr>
                  <w:tcW w:w="381" w:type="pct"/>
                  <w:noWrap w:val="0"/>
                  <w:vAlign w:val="center"/>
                </w:tcPr>
                <w:p w14:paraId="0F4FDC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1.99</w:t>
                  </w:r>
                </w:p>
              </w:tc>
              <w:tc>
                <w:tcPr>
                  <w:tcW w:w="432" w:type="pct"/>
                  <w:noWrap w:val="0"/>
                  <w:vAlign w:val="center"/>
                </w:tcPr>
                <w:p w14:paraId="41297D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4.22</w:t>
                  </w:r>
                </w:p>
              </w:tc>
              <w:tc>
                <w:tcPr>
                  <w:tcW w:w="482" w:type="pct"/>
                  <w:noWrap w:val="0"/>
                  <w:vAlign w:val="center"/>
                </w:tcPr>
                <w:p w14:paraId="17FD401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398.11</w:t>
                  </w:r>
                </w:p>
              </w:tc>
              <w:tc>
                <w:tcPr>
                  <w:tcW w:w="432" w:type="pct"/>
                  <w:vMerge w:val="continue"/>
                  <w:noWrap w:val="0"/>
                  <w:vAlign w:val="center"/>
                </w:tcPr>
                <w:p w14:paraId="4D9E38C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p>
              </w:tc>
              <w:tc>
                <w:tcPr>
                  <w:tcW w:w="464" w:type="pct"/>
                  <w:noWrap w:val="0"/>
                  <w:vAlign w:val="center"/>
                </w:tcPr>
                <w:p w14:paraId="7FC599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1.99</w:t>
                  </w:r>
                </w:p>
              </w:tc>
              <w:tc>
                <w:tcPr>
                  <w:tcW w:w="385" w:type="pct"/>
                  <w:noWrap w:val="0"/>
                  <w:vAlign w:val="center"/>
                </w:tcPr>
                <w:p w14:paraId="01408D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4.22</w:t>
                  </w:r>
                </w:p>
              </w:tc>
              <w:tc>
                <w:tcPr>
                  <w:tcW w:w="504" w:type="pct"/>
                  <w:noWrap w:val="0"/>
                  <w:vAlign w:val="center"/>
                </w:tcPr>
                <w:p w14:paraId="01E5F5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398.11</w:t>
                  </w:r>
                </w:p>
              </w:tc>
              <w:tc>
                <w:tcPr>
                  <w:tcW w:w="411" w:type="pct"/>
                  <w:noWrap w:val="0"/>
                  <w:vAlign w:val="center"/>
                </w:tcPr>
                <w:p w14:paraId="25F57A1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1h</w:t>
                  </w:r>
                </w:p>
              </w:tc>
              <w:tc>
                <w:tcPr>
                  <w:tcW w:w="263" w:type="pct"/>
                  <w:noWrap w:val="0"/>
                  <w:vAlign w:val="center"/>
                </w:tcPr>
                <w:p w14:paraId="3B76BD7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eastAsia"/>
                      <w:color w:val="auto"/>
                      <w:sz w:val="20"/>
                      <w:szCs w:val="20"/>
                      <w:highlight w:val="none"/>
                      <w:lang w:val="en-US" w:eastAsia="zh-CN"/>
                    </w:rPr>
                    <w:t>1</w:t>
                  </w:r>
                  <w:r>
                    <w:rPr>
                      <w:rFonts w:hint="default"/>
                      <w:color w:val="auto"/>
                      <w:sz w:val="20"/>
                      <w:szCs w:val="20"/>
                      <w:highlight w:val="none"/>
                    </w:rPr>
                    <w:t>次</w:t>
                  </w:r>
                </w:p>
              </w:tc>
            </w:tr>
            <w:tr w14:paraId="303B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5" w:type="pct"/>
                  <w:vMerge w:val="continue"/>
                  <w:noWrap w:val="0"/>
                  <w:vAlign w:val="center"/>
                </w:tcPr>
                <w:p w14:paraId="0C8298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0"/>
                      <w:szCs w:val="20"/>
                      <w:highlight w:val="none"/>
                      <w:lang w:eastAsia="zh-CN"/>
                    </w:rPr>
                  </w:pPr>
                </w:p>
              </w:tc>
              <w:tc>
                <w:tcPr>
                  <w:tcW w:w="476" w:type="pct"/>
                  <w:vMerge w:val="continue"/>
                  <w:noWrap w:val="0"/>
                  <w:vAlign w:val="center"/>
                </w:tcPr>
                <w:p w14:paraId="57E5EA6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p>
              </w:tc>
              <w:tc>
                <w:tcPr>
                  <w:tcW w:w="398" w:type="pct"/>
                  <w:noWrap w:val="0"/>
                  <w:vAlign w:val="center"/>
                </w:tcPr>
                <w:p w14:paraId="5B9E72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颗粒物</w:t>
                  </w:r>
                </w:p>
              </w:tc>
              <w:tc>
                <w:tcPr>
                  <w:tcW w:w="381" w:type="pct"/>
                  <w:noWrap w:val="0"/>
                  <w:vAlign w:val="center"/>
                </w:tcPr>
                <w:p w14:paraId="76C9FB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1.82</w:t>
                  </w:r>
                </w:p>
              </w:tc>
              <w:tc>
                <w:tcPr>
                  <w:tcW w:w="432" w:type="pct"/>
                  <w:noWrap w:val="0"/>
                  <w:vAlign w:val="center"/>
                </w:tcPr>
                <w:p w14:paraId="7F5035C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3.86</w:t>
                  </w:r>
                </w:p>
              </w:tc>
              <w:tc>
                <w:tcPr>
                  <w:tcW w:w="482" w:type="pct"/>
                  <w:noWrap w:val="0"/>
                  <w:vAlign w:val="center"/>
                </w:tcPr>
                <w:p w14:paraId="2905E5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lang w:val="en-US" w:eastAsia="zh-CN"/>
                    </w:rPr>
                  </w:pPr>
                  <w:r>
                    <w:rPr>
                      <w:rFonts w:hint="eastAsia"/>
                      <w:color w:val="auto"/>
                      <w:sz w:val="20"/>
                      <w:szCs w:val="20"/>
                      <w:highlight w:val="none"/>
                      <w:lang w:val="en-US" w:eastAsia="zh-CN"/>
                    </w:rPr>
                    <w:t>364.16</w:t>
                  </w:r>
                </w:p>
              </w:tc>
              <w:tc>
                <w:tcPr>
                  <w:tcW w:w="432" w:type="pct"/>
                  <w:vMerge w:val="continue"/>
                  <w:noWrap w:val="0"/>
                  <w:vAlign w:val="center"/>
                </w:tcPr>
                <w:p w14:paraId="7BB32E8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0"/>
                      <w:szCs w:val="20"/>
                      <w:highlight w:val="none"/>
                      <w:lang w:val="en-US" w:eastAsia="zh-CN"/>
                    </w:rPr>
                  </w:pPr>
                </w:p>
              </w:tc>
              <w:tc>
                <w:tcPr>
                  <w:tcW w:w="464" w:type="pct"/>
                  <w:noWrap w:val="0"/>
                  <w:vAlign w:val="center"/>
                </w:tcPr>
                <w:p w14:paraId="72BB23C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0"/>
                      <w:szCs w:val="20"/>
                      <w:highlight w:val="none"/>
                      <w:lang w:val="en-US" w:eastAsia="zh-CN"/>
                    </w:rPr>
                  </w:pPr>
                  <w:r>
                    <w:rPr>
                      <w:rFonts w:hint="eastAsia"/>
                      <w:color w:val="auto"/>
                      <w:sz w:val="20"/>
                      <w:szCs w:val="20"/>
                      <w:highlight w:val="none"/>
                      <w:lang w:val="en-US" w:eastAsia="zh-CN"/>
                    </w:rPr>
                    <w:t>1.82</w:t>
                  </w:r>
                </w:p>
              </w:tc>
              <w:tc>
                <w:tcPr>
                  <w:tcW w:w="385" w:type="pct"/>
                  <w:noWrap w:val="0"/>
                  <w:vAlign w:val="center"/>
                </w:tcPr>
                <w:p w14:paraId="084F30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0"/>
                      <w:szCs w:val="20"/>
                      <w:highlight w:val="none"/>
                      <w:lang w:val="en-US" w:eastAsia="zh-CN"/>
                    </w:rPr>
                  </w:pPr>
                  <w:r>
                    <w:rPr>
                      <w:rFonts w:hint="eastAsia"/>
                      <w:color w:val="auto"/>
                      <w:sz w:val="20"/>
                      <w:szCs w:val="20"/>
                      <w:highlight w:val="none"/>
                      <w:lang w:val="en-US" w:eastAsia="zh-CN"/>
                    </w:rPr>
                    <w:t>3.86</w:t>
                  </w:r>
                </w:p>
              </w:tc>
              <w:tc>
                <w:tcPr>
                  <w:tcW w:w="504" w:type="pct"/>
                  <w:noWrap w:val="0"/>
                  <w:vAlign w:val="center"/>
                </w:tcPr>
                <w:p w14:paraId="00E9BF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0"/>
                      <w:szCs w:val="20"/>
                      <w:highlight w:val="none"/>
                      <w:lang w:val="en-US" w:eastAsia="zh-CN"/>
                    </w:rPr>
                  </w:pPr>
                  <w:r>
                    <w:rPr>
                      <w:rFonts w:hint="eastAsia"/>
                      <w:color w:val="auto"/>
                      <w:sz w:val="20"/>
                      <w:szCs w:val="20"/>
                      <w:highlight w:val="none"/>
                      <w:lang w:val="en-US" w:eastAsia="zh-CN"/>
                    </w:rPr>
                    <w:t>364.16</w:t>
                  </w:r>
                </w:p>
              </w:tc>
              <w:tc>
                <w:tcPr>
                  <w:tcW w:w="411" w:type="pct"/>
                  <w:noWrap w:val="0"/>
                  <w:vAlign w:val="center"/>
                </w:tcPr>
                <w:p w14:paraId="6579E9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0"/>
                      <w:szCs w:val="20"/>
                      <w:highlight w:val="none"/>
                    </w:rPr>
                  </w:pPr>
                  <w:r>
                    <w:rPr>
                      <w:rFonts w:hint="default"/>
                      <w:color w:val="auto"/>
                      <w:sz w:val="20"/>
                      <w:szCs w:val="20"/>
                      <w:highlight w:val="none"/>
                    </w:rPr>
                    <w:t>1h</w:t>
                  </w:r>
                </w:p>
              </w:tc>
              <w:tc>
                <w:tcPr>
                  <w:tcW w:w="263" w:type="pct"/>
                  <w:noWrap w:val="0"/>
                  <w:vAlign w:val="center"/>
                </w:tcPr>
                <w:p w14:paraId="45B660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0"/>
                      <w:szCs w:val="20"/>
                      <w:highlight w:val="none"/>
                      <w:lang w:val="en-US" w:eastAsia="zh-CN"/>
                    </w:rPr>
                  </w:pPr>
                  <w:r>
                    <w:rPr>
                      <w:rFonts w:hint="eastAsia"/>
                      <w:color w:val="auto"/>
                      <w:sz w:val="20"/>
                      <w:szCs w:val="20"/>
                      <w:highlight w:val="none"/>
                      <w:lang w:val="en-US" w:eastAsia="zh-CN"/>
                    </w:rPr>
                    <w:t>1</w:t>
                  </w:r>
                  <w:r>
                    <w:rPr>
                      <w:rFonts w:hint="default"/>
                      <w:color w:val="auto"/>
                      <w:sz w:val="20"/>
                      <w:szCs w:val="20"/>
                      <w:highlight w:val="none"/>
                    </w:rPr>
                    <w:t>次</w:t>
                  </w:r>
                </w:p>
              </w:tc>
            </w:tr>
          </w:tbl>
          <w:p w14:paraId="1D448D4A">
            <w:pPr>
              <w:bidi w:val="0"/>
              <w:rPr>
                <w:rFonts w:hint="default"/>
                <w:color w:val="auto"/>
                <w:highlight w:val="none"/>
              </w:rPr>
            </w:pPr>
            <w:r>
              <w:rPr>
                <w:rFonts w:hint="default"/>
                <w:color w:val="auto"/>
                <w:highlight w:val="none"/>
              </w:rPr>
              <w:t>本项目在生产时应先运行废气治理设施，待设施正常运转后再启动生产设备，确保废气的达标排放。另生产设施与废气治理设施设置联动装置，即废气治理设施一旦故障，生产设备应立刻停机，以确保废气不会超标排放。</w:t>
            </w:r>
          </w:p>
          <w:p w14:paraId="500EF417">
            <w:pPr>
              <w:bidi w:val="0"/>
              <w:rPr>
                <w:rFonts w:hint="default"/>
                <w:color w:val="auto"/>
                <w:highlight w:val="none"/>
              </w:rPr>
            </w:pPr>
            <w:r>
              <w:rPr>
                <w:rFonts w:hint="default"/>
                <w:color w:val="auto"/>
                <w:highlight w:val="none"/>
              </w:rPr>
              <w:t>综上所述，项目废气满足《大气污染物综合排放标准》（GB16297-1996）中相关限值。在各项大气污染防治措施落实良好情况下，本项目产生大气污染物对周围环境空气质量影响较小。</w:t>
            </w:r>
          </w:p>
          <w:p w14:paraId="2D47E463">
            <w:pPr>
              <w:kinsoku w:val="0"/>
              <w:overflowPunct w:val="0"/>
              <w:autoSpaceDE w:val="0"/>
              <w:autoSpaceDN w:val="0"/>
              <w:spacing w:line="360" w:lineRule="auto"/>
              <w:rPr>
                <w:rFonts w:hint="default" w:ascii="Times New Roman" w:hAnsi="Times New Roman" w:cs="Times New Roman"/>
                <w:b/>
                <w:bCs/>
                <w:color w:val="auto"/>
                <w:sz w:val="21"/>
                <w:szCs w:val="21"/>
                <w:highlight w:val="none"/>
              </w:rPr>
            </w:pPr>
            <w:r>
              <w:rPr>
                <w:rFonts w:hint="eastAsia"/>
                <w:color w:val="auto"/>
                <w:highlight w:val="none"/>
                <w:lang w:val="en-US" w:eastAsia="zh-CN"/>
              </w:rPr>
              <w:t>二、</w:t>
            </w:r>
            <w:r>
              <w:rPr>
                <w:rFonts w:hint="default" w:ascii="Times New Roman" w:hAnsi="Times New Roman" w:cs="Times New Roman"/>
                <w:b/>
                <w:bCs/>
                <w:color w:val="auto"/>
                <w:sz w:val="21"/>
                <w:szCs w:val="21"/>
                <w:highlight w:val="none"/>
              </w:rPr>
              <w:t>水环境影响分析及防治措施</w:t>
            </w:r>
          </w:p>
          <w:p w14:paraId="4C0EB990">
            <w:pPr>
              <w:bidi w:val="0"/>
              <w:rPr>
                <w:rFonts w:hint="default"/>
                <w:color w:val="auto"/>
                <w:highlight w:val="none"/>
              </w:rPr>
            </w:pPr>
            <w:r>
              <w:rPr>
                <w:rFonts w:hint="default"/>
                <w:color w:val="auto"/>
                <w:highlight w:val="none"/>
              </w:rPr>
              <w:t>项目生产过程无</w:t>
            </w:r>
            <w:r>
              <w:rPr>
                <w:rFonts w:hint="eastAsia"/>
                <w:color w:val="auto"/>
                <w:highlight w:val="none"/>
                <w:lang w:val="en-US" w:eastAsia="zh-CN"/>
              </w:rPr>
              <w:t>生产</w:t>
            </w:r>
            <w:r>
              <w:rPr>
                <w:rFonts w:hint="default"/>
                <w:color w:val="auto"/>
                <w:highlight w:val="none"/>
              </w:rPr>
              <w:t>废水排放</w:t>
            </w:r>
            <w:r>
              <w:rPr>
                <w:rFonts w:hint="eastAsia"/>
                <w:color w:val="auto"/>
                <w:highlight w:val="none"/>
                <w:lang w:eastAsia="zh-CN"/>
              </w:rPr>
              <w:t>，</w:t>
            </w:r>
            <w:r>
              <w:rPr>
                <w:rFonts w:hint="eastAsia"/>
                <w:color w:val="auto"/>
                <w:highlight w:val="none"/>
                <w:lang w:val="en-US" w:eastAsia="zh-CN"/>
              </w:rPr>
              <w:t>生活污水产生量为2.16m³/d，即为572.4m³/a。产生的生活污水直接排入市政污水管网。</w:t>
            </w:r>
            <w:r>
              <w:rPr>
                <w:rFonts w:hint="eastAsia" w:cs="Times New Roman"/>
                <w:color w:val="auto"/>
                <w:szCs w:val="21"/>
                <w:highlight w:val="none"/>
                <w:lang w:val="en-US" w:eastAsia="zh-CN"/>
              </w:rPr>
              <w:t>喷漆区、</w:t>
            </w:r>
            <w:r>
              <w:rPr>
                <w:rFonts w:hint="eastAsia"/>
                <w:color w:val="auto"/>
                <w:highlight w:val="none"/>
                <w:lang w:val="en-US" w:eastAsia="zh-CN"/>
              </w:rPr>
              <w:t>油漆暂存区、危险废物暂存库属于重点防渗区域，防渗层为至少1m厚黏土层（渗透系数≤10</w:t>
            </w:r>
            <w:r>
              <w:rPr>
                <w:rFonts w:hint="eastAsia"/>
                <w:color w:val="auto"/>
                <w:highlight w:val="none"/>
                <w:vertAlign w:val="superscript"/>
                <w:lang w:val="en-US" w:eastAsia="zh-CN"/>
              </w:rPr>
              <w:t>-7</w:t>
            </w:r>
            <w:r>
              <w:rPr>
                <w:rFonts w:hint="eastAsia"/>
                <w:color w:val="auto"/>
                <w:highlight w:val="none"/>
                <w:lang w:val="en-US" w:eastAsia="zh-CN"/>
              </w:rPr>
              <w:t>cm/s）或至少2mm厚高密度聚乙烯膜等人工防渗材料，渗透系数≤10</w:t>
            </w:r>
            <w:r>
              <w:rPr>
                <w:rFonts w:hint="eastAsia"/>
                <w:color w:val="auto"/>
                <w:highlight w:val="none"/>
                <w:vertAlign w:val="superscript"/>
                <w:lang w:val="en-US" w:eastAsia="zh-CN"/>
              </w:rPr>
              <w:t>-10</w:t>
            </w:r>
            <w:r>
              <w:rPr>
                <w:rFonts w:hint="eastAsia"/>
                <w:color w:val="auto"/>
                <w:highlight w:val="none"/>
                <w:lang w:val="en-US" w:eastAsia="zh-CN"/>
              </w:rPr>
              <w:t>cm/s，或其他防渗性能等效的材料，并涂刷环氧树脂地坪漆。生产车间除去喷漆区、危险废物暂存库其他位置采用一般防渗，防渗措施采取混凝土硬化+HDPE膜防渗措施，防渗性能均满足一般防渗要求（等效黏土防渗层Mb≥1.5m，渗透系数≤1.0×10</w:t>
            </w:r>
            <w:r>
              <w:rPr>
                <w:rFonts w:hint="eastAsia"/>
                <w:color w:val="auto"/>
                <w:highlight w:val="none"/>
                <w:vertAlign w:val="superscript"/>
                <w:lang w:val="en-US" w:eastAsia="zh-CN"/>
              </w:rPr>
              <w:t>-7</w:t>
            </w:r>
            <w:r>
              <w:rPr>
                <w:rFonts w:hint="eastAsia"/>
                <w:color w:val="auto"/>
                <w:highlight w:val="none"/>
                <w:lang w:val="en-US" w:eastAsia="zh-CN"/>
              </w:rPr>
              <w:t>cm/s）。生活办公区采用简单防渗，地面采用水泥硬化处理。</w:t>
            </w:r>
            <w:r>
              <w:rPr>
                <w:rFonts w:hint="default"/>
                <w:color w:val="auto"/>
                <w:highlight w:val="none"/>
              </w:rPr>
              <w:t>采取如上措施后项目建设对水环境影响较小。</w:t>
            </w:r>
          </w:p>
          <w:p w14:paraId="60DAB2B4">
            <w:pPr>
              <w:bidi w:val="0"/>
              <w:rPr>
                <w:rFonts w:hint="eastAsia"/>
                <w:b/>
                <w:bCs/>
                <w:color w:val="auto"/>
                <w:highlight w:val="none"/>
                <w:lang w:val="en-US" w:eastAsia="zh-CN"/>
              </w:rPr>
            </w:pPr>
            <w:r>
              <w:rPr>
                <w:rFonts w:hint="eastAsia"/>
                <w:b/>
                <w:bCs/>
                <w:color w:val="auto"/>
                <w:highlight w:val="none"/>
                <w:lang w:val="en-US" w:eastAsia="zh-CN"/>
              </w:rPr>
              <w:t>三、声环境影响和保护措施</w:t>
            </w:r>
          </w:p>
          <w:p w14:paraId="1C3D0414">
            <w:pPr>
              <w:bidi w:val="0"/>
              <w:rPr>
                <w:rFonts w:hint="eastAsia"/>
                <w:b/>
                <w:bCs/>
                <w:color w:val="auto"/>
                <w:highlight w:val="none"/>
                <w:lang w:val="en-US" w:eastAsia="zh-CN"/>
              </w:rPr>
            </w:pPr>
            <w:r>
              <w:rPr>
                <w:rFonts w:hint="eastAsia"/>
                <w:b/>
                <w:bCs/>
                <w:color w:val="auto"/>
                <w:highlight w:val="none"/>
                <w:lang w:val="en-US" w:eastAsia="zh-CN"/>
              </w:rPr>
              <w:t>1、噪声源强</w:t>
            </w:r>
          </w:p>
          <w:p w14:paraId="12B79BE3">
            <w:pPr>
              <w:bidi w:val="0"/>
              <w:rPr>
                <w:rFonts w:hint="eastAsia"/>
                <w:color w:val="auto"/>
                <w:highlight w:val="none"/>
                <w:lang w:val="en-US" w:eastAsia="zh-CN"/>
              </w:rPr>
            </w:pPr>
            <w:r>
              <w:rPr>
                <w:rFonts w:hint="eastAsia"/>
                <w:color w:val="auto"/>
                <w:highlight w:val="none"/>
                <w:lang w:val="en-US" w:eastAsia="zh-CN"/>
              </w:rPr>
              <w:t>本项目噪声主要来源于风机、喷枪等产生的噪声，噪声级约75～85dB（A）。</w:t>
            </w:r>
          </w:p>
          <w:p w14:paraId="4F2E2B4F">
            <w:pPr>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表4-4设备噪声声源一览表</w:t>
            </w:r>
          </w:p>
          <w:tbl>
            <w:tblPr>
              <w:tblStyle w:val="26"/>
              <w:tblW w:w="7943" w:type="dxa"/>
              <w:tblInd w:w="-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551"/>
              <w:gridCol w:w="715"/>
              <w:gridCol w:w="1142"/>
              <w:gridCol w:w="1225"/>
              <w:gridCol w:w="1296"/>
              <w:gridCol w:w="1313"/>
            </w:tblGrid>
            <w:tr w14:paraId="0C225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tcBorders>
                    <w:top w:val="single" w:color="auto" w:sz="4" w:space="0"/>
                    <w:left w:val="single" w:color="auto" w:sz="0" w:space="0"/>
                  </w:tcBorders>
                  <w:noWrap w:val="0"/>
                  <w:vAlign w:val="center"/>
                </w:tcPr>
                <w:p w14:paraId="4B030F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序号</w:t>
                  </w:r>
                </w:p>
              </w:tc>
              <w:tc>
                <w:tcPr>
                  <w:tcW w:w="976" w:type="pct"/>
                  <w:tcBorders>
                    <w:top w:val="single" w:color="auto" w:sz="4" w:space="0"/>
                  </w:tcBorders>
                  <w:noWrap w:val="0"/>
                  <w:vAlign w:val="center"/>
                </w:tcPr>
                <w:p w14:paraId="43F0A0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名称</w:t>
                  </w:r>
                </w:p>
              </w:tc>
              <w:tc>
                <w:tcPr>
                  <w:tcW w:w="450" w:type="pct"/>
                  <w:tcBorders>
                    <w:top w:val="single" w:color="auto" w:sz="4" w:space="0"/>
                  </w:tcBorders>
                  <w:noWrap w:val="0"/>
                  <w:vAlign w:val="center"/>
                </w:tcPr>
                <w:p w14:paraId="268AD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数量</w:t>
                  </w:r>
                </w:p>
              </w:tc>
              <w:tc>
                <w:tcPr>
                  <w:tcW w:w="718" w:type="pct"/>
                  <w:tcBorders>
                    <w:top w:val="single" w:color="auto" w:sz="4" w:space="0"/>
                  </w:tcBorders>
                  <w:noWrap w:val="0"/>
                  <w:vAlign w:val="center"/>
                </w:tcPr>
                <w:p w14:paraId="6FD363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单位</w:t>
                  </w:r>
                </w:p>
              </w:tc>
              <w:tc>
                <w:tcPr>
                  <w:tcW w:w="771" w:type="pct"/>
                  <w:tcBorders>
                    <w:top w:val="single" w:color="auto" w:sz="4" w:space="0"/>
                  </w:tcBorders>
                  <w:noWrap w:val="0"/>
                  <w:vAlign w:val="center"/>
                </w:tcPr>
                <w:p w14:paraId="34FD2D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产生强度dB（A）</w:t>
                  </w:r>
                </w:p>
              </w:tc>
              <w:tc>
                <w:tcPr>
                  <w:tcW w:w="815" w:type="pct"/>
                  <w:tcBorders>
                    <w:top w:val="single" w:color="auto" w:sz="4" w:space="0"/>
                  </w:tcBorders>
                  <w:noWrap w:val="0"/>
                  <w:vAlign w:val="center"/>
                </w:tcPr>
                <w:p w14:paraId="2B5EDC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降噪措施</w:t>
                  </w:r>
                </w:p>
              </w:tc>
              <w:tc>
                <w:tcPr>
                  <w:tcW w:w="826" w:type="pct"/>
                  <w:tcBorders>
                    <w:top w:val="single" w:color="auto" w:sz="4" w:space="0"/>
                    <w:right w:val="single" w:color="auto" w:sz="4" w:space="0"/>
                  </w:tcBorders>
                  <w:noWrap w:val="0"/>
                  <w:vAlign w:val="center"/>
                </w:tcPr>
                <w:p w14:paraId="22D950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排放强度dB（A）</w:t>
                  </w:r>
                </w:p>
              </w:tc>
            </w:tr>
            <w:tr w14:paraId="664D84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04E852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976" w:type="pct"/>
                  <w:noWrap w:val="0"/>
                  <w:vAlign w:val="center"/>
                </w:tcPr>
                <w:p w14:paraId="3A37B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风机</w:t>
                  </w:r>
                </w:p>
              </w:tc>
              <w:tc>
                <w:tcPr>
                  <w:tcW w:w="450" w:type="pct"/>
                  <w:noWrap w:val="0"/>
                  <w:vAlign w:val="center"/>
                </w:tcPr>
                <w:p w14:paraId="4EC54E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6FEA82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71" w:type="pct"/>
                  <w:noWrap w:val="0"/>
                  <w:vAlign w:val="center"/>
                </w:tcPr>
                <w:p w14:paraId="2AE2B5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15" w:type="pct"/>
                  <w:vMerge w:val="restart"/>
                  <w:noWrap w:val="0"/>
                  <w:vAlign w:val="center"/>
                </w:tcPr>
                <w:p w14:paraId="1C06C9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减振基础、厂房隔声</w:t>
                  </w:r>
                </w:p>
              </w:tc>
              <w:tc>
                <w:tcPr>
                  <w:tcW w:w="826" w:type="pct"/>
                  <w:tcBorders>
                    <w:right w:val="single" w:color="auto" w:sz="4" w:space="0"/>
                  </w:tcBorders>
                  <w:noWrap w:val="0"/>
                  <w:vAlign w:val="center"/>
                </w:tcPr>
                <w:p w14:paraId="00BB74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r w14:paraId="019E31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6AE6D7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w:t>
                  </w:r>
                </w:p>
              </w:tc>
              <w:tc>
                <w:tcPr>
                  <w:tcW w:w="976" w:type="pct"/>
                  <w:noWrap w:val="0"/>
                  <w:vAlign w:val="center"/>
                </w:tcPr>
                <w:p w14:paraId="64CEC1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高压油漆喷涂机</w:t>
                  </w:r>
                </w:p>
              </w:tc>
              <w:tc>
                <w:tcPr>
                  <w:tcW w:w="450" w:type="pct"/>
                  <w:noWrap w:val="0"/>
                  <w:vAlign w:val="center"/>
                </w:tcPr>
                <w:p w14:paraId="436925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1C7402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71" w:type="pct"/>
                  <w:noWrap w:val="0"/>
                  <w:vAlign w:val="center"/>
                </w:tcPr>
                <w:p w14:paraId="0D70DB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85</w:t>
                  </w:r>
                </w:p>
              </w:tc>
              <w:tc>
                <w:tcPr>
                  <w:tcW w:w="815" w:type="pct"/>
                  <w:vMerge w:val="continue"/>
                  <w:noWrap w:val="0"/>
                  <w:vAlign w:val="center"/>
                </w:tcPr>
                <w:p w14:paraId="0BBFFB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1003AF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65</w:t>
                  </w:r>
                </w:p>
              </w:tc>
            </w:tr>
            <w:tr w14:paraId="7882EA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2AF783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3</w:t>
                  </w:r>
                </w:p>
              </w:tc>
              <w:tc>
                <w:tcPr>
                  <w:tcW w:w="976" w:type="pct"/>
                  <w:noWrap w:val="0"/>
                  <w:vAlign w:val="center"/>
                </w:tcPr>
                <w:p w14:paraId="708D00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举升机</w:t>
                  </w:r>
                </w:p>
              </w:tc>
              <w:tc>
                <w:tcPr>
                  <w:tcW w:w="450" w:type="pct"/>
                  <w:noWrap w:val="0"/>
                  <w:vAlign w:val="center"/>
                </w:tcPr>
                <w:p w14:paraId="50CB92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7E5902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71" w:type="pct"/>
                  <w:noWrap w:val="0"/>
                  <w:vAlign w:val="center"/>
                </w:tcPr>
                <w:p w14:paraId="2BF364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38A583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6BBD10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55</w:t>
                  </w:r>
                </w:p>
              </w:tc>
            </w:tr>
            <w:tr w14:paraId="3504ED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46FC4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4</w:t>
                  </w:r>
                </w:p>
              </w:tc>
              <w:tc>
                <w:tcPr>
                  <w:tcW w:w="976" w:type="pct"/>
                  <w:noWrap w:val="0"/>
                  <w:vAlign w:val="center"/>
                </w:tcPr>
                <w:p w14:paraId="7ECA6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空压机</w:t>
                  </w:r>
                </w:p>
              </w:tc>
              <w:tc>
                <w:tcPr>
                  <w:tcW w:w="450" w:type="pct"/>
                  <w:noWrap w:val="0"/>
                  <w:vAlign w:val="center"/>
                </w:tcPr>
                <w:p w14:paraId="26A331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04969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71" w:type="pct"/>
                  <w:noWrap w:val="0"/>
                  <w:vAlign w:val="center"/>
                </w:tcPr>
                <w:p w14:paraId="3EC68A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31282D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56E87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55</w:t>
                  </w:r>
                </w:p>
              </w:tc>
            </w:tr>
            <w:tr w14:paraId="22908E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1" w:type="pct"/>
                  <w:tcBorders>
                    <w:left w:val="single" w:color="auto" w:sz="4" w:space="0"/>
                  </w:tcBorders>
                  <w:noWrap w:val="0"/>
                  <w:vAlign w:val="center"/>
                </w:tcPr>
                <w:p w14:paraId="50878D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5</w:t>
                  </w:r>
                </w:p>
              </w:tc>
              <w:tc>
                <w:tcPr>
                  <w:tcW w:w="976" w:type="pct"/>
                  <w:noWrap w:val="0"/>
                  <w:vAlign w:val="center"/>
                </w:tcPr>
                <w:p w14:paraId="311534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抛丸机</w:t>
                  </w:r>
                </w:p>
              </w:tc>
              <w:tc>
                <w:tcPr>
                  <w:tcW w:w="450" w:type="pct"/>
                  <w:noWrap w:val="0"/>
                  <w:vAlign w:val="center"/>
                </w:tcPr>
                <w:p w14:paraId="240F0C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2（一用一备）</w:t>
                  </w:r>
                </w:p>
              </w:tc>
              <w:tc>
                <w:tcPr>
                  <w:tcW w:w="718" w:type="pct"/>
                  <w:noWrap w:val="0"/>
                  <w:vAlign w:val="center"/>
                </w:tcPr>
                <w:p w14:paraId="239503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71" w:type="pct"/>
                  <w:noWrap w:val="0"/>
                  <w:vAlign w:val="center"/>
                </w:tcPr>
                <w:p w14:paraId="0C27FB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65F649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26D1A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r w14:paraId="3EFA5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5EDFE6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6</w:t>
                  </w:r>
                </w:p>
              </w:tc>
              <w:tc>
                <w:tcPr>
                  <w:tcW w:w="976" w:type="pct"/>
                  <w:noWrap w:val="0"/>
                  <w:vAlign w:val="center"/>
                </w:tcPr>
                <w:p w14:paraId="6923FC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袋式除尘器</w:t>
                  </w:r>
                </w:p>
              </w:tc>
              <w:tc>
                <w:tcPr>
                  <w:tcW w:w="450" w:type="pct"/>
                  <w:noWrap w:val="0"/>
                  <w:vAlign w:val="center"/>
                </w:tcPr>
                <w:p w14:paraId="4EDB4F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6CFBFA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71" w:type="pct"/>
                  <w:noWrap w:val="0"/>
                  <w:vAlign w:val="center"/>
                </w:tcPr>
                <w:p w14:paraId="631960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19C306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5F967D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r w14:paraId="40B84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2FC045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7</w:t>
                  </w:r>
                </w:p>
              </w:tc>
              <w:tc>
                <w:tcPr>
                  <w:tcW w:w="976" w:type="pct"/>
                  <w:noWrap w:val="0"/>
                  <w:vAlign w:val="center"/>
                </w:tcPr>
                <w:p w14:paraId="37935E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手持喷枪</w:t>
                  </w:r>
                </w:p>
              </w:tc>
              <w:tc>
                <w:tcPr>
                  <w:tcW w:w="450" w:type="pct"/>
                  <w:noWrap w:val="0"/>
                  <w:vAlign w:val="center"/>
                </w:tcPr>
                <w:p w14:paraId="07BE67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2</w:t>
                  </w:r>
                </w:p>
              </w:tc>
              <w:tc>
                <w:tcPr>
                  <w:tcW w:w="718" w:type="pct"/>
                  <w:noWrap w:val="0"/>
                  <w:vAlign w:val="center"/>
                </w:tcPr>
                <w:p w14:paraId="60E64A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台</w:t>
                  </w:r>
                </w:p>
              </w:tc>
              <w:tc>
                <w:tcPr>
                  <w:tcW w:w="771" w:type="pct"/>
                  <w:noWrap w:val="0"/>
                  <w:vAlign w:val="center"/>
                </w:tcPr>
                <w:p w14:paraId="4638E1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4764DE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087B48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r w14:paraId="3BC0D6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799C88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8</w:t>
                  </w:r>
                </w:p>
              </w:tc>
              <w:tc>
                <w:tcPr>
                  <w:tcW w:w="976" w:type="pct"/>
                  <w:noWrap w:val="0"/>
                  <w:vAlign w:val="center"/>
                </w:tcPr>
                <w:p w14:paraId="489645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轨道车</w:t>
                  </w:r>
                </w:p>
              </w:tc>
              <w:tc>
                <w:tcPr>
                  <w:tcW w:w="450" w:type="pct"/>
                  <w:noWrap w:val="0"/>
                  <w:vAlign w:val="center"/>
                </w:tcPr>
                <w:p w14:paraId="378AC4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62D1AE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套</w:t>
                  </w:r>
                </w:p>
              </w:tc>
              <w:tc>
                <w:tcPr>
                  <w:tcW w:w="771" w:type="pct"/>
                  <w:noWrap w:val="0"/>
                  <w:vAlign w:val="center"/>
                </w:tcPr>
                <w:p w14:paraId="07AF62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06898F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3143A4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r w14:paraId="170D73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67F3F7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9</w:t>
                  </w:r>
                </w:p>
              </w:tc>
              <w:tc>
                <w:tcPr>
                  <w:tcW w:w="976" w:type="pct"/>
                  <w:noWrap w:val="0"/>
                  <w:vAlign w:val="center"/>
                </w:tcPr>
                <w:p w14:paraId="258677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移动式焊接烟尘净化器</w:t>
                  </w:r>
                </w:p>
              </w:tc>
              <w:tc>
                <w:tcPr>
                  <w:tcW w:w="450" w:type="pct"/>
                  <w:noWrap w:val="0"/>
                  <w:vAlign w:val="center"/>
                </w:tcPr>
                <w:p w14:paraId="2E30A8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313ED3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71" w:type="pct"/>
                  <w:noWrap w:val="0"/>
                  <w:vAlign w:val="center"/>
                </w:tcPr>
                <w:p w14:paraId="2C2AA8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2E3C7C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58E616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r w14:paraId="750B4B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27E125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10</w:t>
                  </w:r>
                </w:p>
              </w:tc>
              <w:tc>
                <w:tcPr>
                  <w:tcW w:w="976" w:type="pct"/>
                  <w:noWrap w:val="0"/>
                  <w:vAlign w:val="center"/>
                </w:tcPr>
                <w:p w14:paraId="796B3A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高压油漆喷涂机</w:t>
                  </w:r>
                </w:p>
              </w:tc>
              <w:tc>
                <w:tcPr>
                  <w:tcW w:w="450" w:type="pct"/>
                  <w:noWrap w:val="0"/>
                  <w:vAlign w:val="center"/>
                </w:tcPr>
                <w:p w14:paraId="10A8FA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68844A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71" w:type="pct"/>
                  <w:noWrap w:val="0"/>
                  <w:vAlign w:val="center"/>
                </w:tcPr>
                <w:p w14:paraId="4AE5AB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7EDF2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64B410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r w14:paraId="0231E5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441" w:type="pct"/>
                  <w:tcBorders>
                    <w:left w:val="single" w:color="auto" w:sz="4" w:space="0"/>
                  </w:tcBorders>
                  <w:noWrap w:val="0"/>
                  <w:vAlign w:val="center"/>
                </w:tcPr>
                <w:p w14:paraId="759104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11</w:t>
                  </w:r>
                </w:p>
              </w:tc>
              <w:tc>
                <w:tcPr>
                  <w:tcW w:w="976" w:type="pct"/>
                  <w:noWrap w:val="0"/>
                  <w:vAlign w:val="center"/>
                </w:tcPr>
                <w:p w14:paraId="234C3E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干式过滤器</w:t>
                  </w:r>
                </w:p>
              </w:tc>
              <w:tc>
                <w:tcPr>
                  <w:tcW w:w="450" w:type="pct"/>
                  <w:noWrap w:val="0"/>
                  <w:vAlign w:val="center"/>
                </w:tcPr>
                <w:p w14:paraId="12AF2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w:t>
                  </w:r>
                </w:p>
              </w:tc>
              <w:tc>
                <w:tcPr>
                  <w:tcW w:w="718" w:type="pct"/>
                  <w:noWrap w:val="0"/>
                  <w:vAlign w:val="center"/>
                </w:tcPr>
                <w:p w14:paraId="5664E2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套</w:t>
                  </w:r>
                </w:p>
              </w:tc>
              <w:tc>
                <w:tcPr>
                  <w:tcW w:w="771" w:type="pct"/>
                  <w:noWrap w:val="0"/>
                  <w:vAlign w:val="center"/>
                </w:tcPr>
                <w:p w14:paraId="42745D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75</w:t>
                  </w:r>
                </w:p>
              </w:tc>
              <w:tc>
                <w:tcPr>
                  <w:tcW w:w="815" w:type="pct"/>
                  <w:vMerge w:val="continue"/>
                  <w:noWrap w:val="0"/>
                  <w:vAlign w:val="center"/>
                </w:tcPr>
                <w:p w14:paraId="2CBF5E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826" w:type="pct"/>
                  <w:tcBorders>
                    <w:right w:val="single" w:color="auto" w:sz="4" w:space="0"/>
                  </w:tcBorders>
                  <w:noWrap w:val="0"/>
                  <w:vAlign w:val="center"/>
                </w:tcPr>
                <w:p w14:paraId="485B7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55</w:t>
                  </w:r>
                </w:p>
              </w:tc>
            </w:tr>
          </w:tbl>
          <w:p w14:paraId="6CCA8F13">
            <w:pPr>
              <w:bidi w:val="0"/>
              <w:rPr>
                <w:rFonts w:hint="eastAsia"/>
                <w:b/>
                <w:bCs/>
                <w:color w:val="auto"/>
                <w:highlight w:val="none"/>
                <w:lang w:val="en-US" w:eastAsia="zh-CN"/>
              </w:rPr>
            </w:pPr>
            <w:r>
              <w:rPr>
                <w:rFonts w:hint="eastAsia"/>
                <w:b/>
                <w:bCs/>
                <w:color w:val="auto"/>
                <w:highlight w:val="none"/>
                <w:lang w:val="en-US" w:eastAsia="zh-CN"/>
              </w:rPr>
              <w:t>2、预测模式</w:t>
            </w:r>
          </w:p>
          <w:p w14:paraId="4893E64A">
            <w:pPr>
              <w:bidi w:val="0"/>
              <w:rPr>
                <w:rFonts w:hint="eastAsia"/>
                <w:color w:val="auto"/>
                <w:highlight w:val="none"/>
                <w:lang w:val="en-US" w:eastAsia="zh-CN"/>
              </w:rPr>
            </w:pPr>
            <w:bookmarkStart w:id="4" w:name="_Toc49161351"/>
            <w:r>
              <w:rPr>
                <w:rFonts w:hint="eastAsia"/>
                <w:color w:val="auto"/>
                <w:highlight w:val="none"/>
                <w:lang w:val="en-US" w:eastAsia="zh-CN"/>
              </w:rPr>
              <w:t>工业声源有室外和室内两种声源，预测模式如下：</w:t>
            </w:r>
          </w:p>
          <w:p w14:paraId="33727BE9">
            <w:pPr>
              <w:bidi w:val="0"/>
              <w:rPr>
                <w:rFonts w:hint="eastAsia"/>
                <w:color w:val="auto"/>
                <w:highlight w:val="none"/>
                <w:lang w:val="en-US" w:eastAsia="zh-CN"/>
              </w:rPr>
            </w:pPr>
            <w:r>
              <w:rPr>
                <w:rFonts w:hint="eastAsia"/>
                <w:color w:val="auto"/>
                <w:highlight w:val="none"/>
                <w:lang w:val="en-US" w:eastAsia="zh-CN"/>
              </w:rPr>
              <w:t>（1）单个室外点声源在预测点产生的声级计算基本公式</w:t>
            </w:r>
          </w:p>
          <w:p w14:paraId="3E753BB0">
            <w:pPr>
              <w:bidi w:val="0"/>
              <w:rPr>
                <w:rFonts w:hint="eastAsia"/>
                <w:color w:val="auto"/>
                <w:highlight w:val="none"/>
                <w:lang w:val="en-US" w:eastAsia="zh-CN"/>
              </w:rPr>
            </w:pPr>
            <w:r>
              <w:rPr>
                <w:rFonts w:hint="eastAsia"/>
                <w:color w:val="auto"/>
                <w:highlight w:val="none"/>
                <w:lang w:val="en-US" w:eastAsia="zh-CN"/>
              </w:rPr>
              <w:t>已知声源参考位置处的声压级，预测点位置的声压级Lp（r）可按下式计算：</w:t>
            </w:r>
          </w:p>
          <w:p w14:paraId="3A07CCE1">
            <w:pPr>
              <w:bidi w:val="0"/>
              <w:jc w:val="center"/>
              <w:rPr>
                <w:rFonts w:hint="eastAsia"/>
                <w:color w:val="auto"/>
                <w:highlight w:val="none"/>
                <w:lang w:val="en-US" w:eastAsia="zh-CN"/>
              </w:rPr>
            </w:pPr>
            <w:r>
              <w:rPr>
                <w:rFonts w:hint="eastAsia"/>
                <w:color w:val="auto"/>
                <w:highlight w:val="none"/>
                <w:lang w:val="en-US" w:eastAsia="zh-CN"/>
              </w:rPr>
              <w:t>Lp（r）=Lp（r0）＋Dc-A</w:t>
            </w:r>
          </w:p>
          <w:p w14:paraId="0F148F42">
            <w:pPr>
              <w:bidi w:val="0"/>
              <w:rPr>
                <w:rFonts w:hint="eastAsia"/>
                <w:color w:val="auto"/>
                <w:highlight w:val="none"/>
                <w:lang w:val="en-US" w:eastAsia="zh-CN"/>
              </w:rPr>
            </w:pPr>
            <w:r>
              <w:rPr>
                <w:rFonts w:hint="eastAsia"/>
                <w:color w:val="auto"/>
                <w:highlight w:val="none"/>
                <w:lang w:val="en-US" w:eastAsia="zh-CN"/>
              </w:rPr>
              <w:t>A=Adiv+Aatm+Agr+Abar+Amisc</w:t>
            </w:r>
          </w:p>
          <w:p w14:paraId="4BDFADF6">
            <w:pPr>
              <w:bidi w:val="0"/>
              <w:rPr>
                <w:rFonts w:hint="eastAsia"/>
                <w:color w:val="auto"/>
                <w:highlight w:val="none"/>
                <w:lang w:val="en-US" w:eastAsia="zh-CN"/>
              </w:rPr>
            </w:pPr>
            <w:r>
              <w:rPr>
                <w:rFonts w:hint="eastAsia"/>
                <w:color w:val="auto"/>
                <w:highlight w:val="none"/>
                <w:lang w:val="en-US" w:eastAsia="zh-CN"/>
              </w:rPr>
              <w:t>式中：Lp（r）——距离声源r处的倍频带声压级，dB；</w:t>
            </w:r>
          </w:p>
          <w:p w14:paraId="18A44695">
            <w:pPr>
              <w:bidi w:val="0"/>
              <w:rPr>
                <w:rFonts w:hint="eastAsia"/>
                <w:color w:val="auto"/>
                <w:highlight w:val="none"/>
                <w:lang w:val="en-US" w:eastAsia="zh-CN"/>
              </w:rPr>
            </w:pPr>
            <w:r>
              <w:rPr>
                <w:rFonts w:hint="eastAsia"/>
                <w:color w:val="auto"/>
                <w:highlight w:val="none"/>
                <w:lang w:val="en-US" w:eastAsia="zh-CN"/>
              </w:rPr>
              <w:t>Lp（r0）——参考位置r0处的声压级，dB；</w:t>
            </w:r>
          </w:p>
          <w:p w14:paraId="1335D73D">
            <w:pPr>
              <w:bidi w:val="0"/>
              <w:rPr>
                <w:rFonts w:hint="eastAsia"/>
                <w:color w:val="auto"/>
                <w:highlight w:val="none"/>
                <w:lang w:val="en-US" w:eastAsia="zh-CN"/>
              </w:rPr>
            </w:pPr>
            <w:r>
              <w:rPr>
                <w:rFonts w:hint="eastAsia"/>
                <w:color w:val="auto"/>
                <w:highlight w:val="none"/>
                <w:lang w:val="en-US" w:eastAsia="zh-CN"/>
              </w:rPr>
              <w:t>A——衰减，dB；</w:t>
            </w:r>
          </w:p>
          <w:p w14:paraId="0D25332D">
            <w:pPr>
              <w:bidi w:val="0"/>
              <w:rPr>
                <w:rFonts w:hint="eastAsia"/>
                <w:color w:val="auto"/>
                <w:highlight w:val="none"/>
                <w:lang w:val="en-US" w:eastAsia="zh-CN"/>
              </w:rPr>
            </w:pPr>
            <w:r>
              <w:rPr>
                <w:rFonts w:hint="eastAsia"/>
                <w:color w:val="auto"/>
                <w:highlight w:val="none"/>
                <w:lang w:val="en-US" w:eastAsia="zh-CN"/>
              </w:rPr>
              <w:t>Dc——指向性校正，dB；</w:t>
            </w:r>
          </w:p>
          <w:p w14:paraId="2531478C">
            <w:pPr>
              <w:bidi w:val="0"/>
              <w:rPr>
                <w:rFonts w:hint="eastAsia"/>
                <w:color w:val="auto"/>
                <w:highlight w:val="none"/>
                <w:lang w:val="en-US" w:eastAsia="zh-CN"/>
              </w:rPr>
            </w:pPr>
            <w:r>
              <w:rPr>
                <w:rFonts w:hint="eastAsia"/>
                <w:color w:val="auto"/>
                <w:highlight w:val="none"/>
                <w:lang w:val="en-US" w:eastAsia="zh-CN"/>
              </w:rPr>
              <w:t>Adiv——几何发散引起的衰减，dB；</w:t>
            </w:r>
          </w:p>
          <w:p w14:paraId="6B5C8314">
            <w:pPr>
              <w:bidi w:val="0"/>
              <w:rPr>
                <w:rFonts w:hint="eastAsia"/>
                <w:color w:val="auto"/>
                <w:highlight w:val="none"/>
                <w:lang w:val="en-US" w:eastAsia="zh-CN"/>
              </w:rPr>
            </w:pPr>
            <w:r>
              <w:rPr>
                <w:rFonts w:hint="eastAsia"/>
                <w:color w:val="auto"/>
                <w:highlight w:val="none"/>
                <w:lang w:val="en-US" w:eastAsia="zh-CN"/>
              </w:rPr>
              <w:t>Agr——地面效应引起的衰减，dB；</w:t>
            </w:r>
          </w:p>
          <w:p w14:paraId="7B8F6B03">
            <w:pPr>
              <w:bidi w:val="0"/>
              <w:rPr>
                <w:rFonts w:hint="eastAsia"/>
                <w:color w:val="auto"/>
                <w:highlight w:val="none"/>
                <w:lang w:val="en-US" w:eastAsia="zh-CN"/>
              </w:rPr>
            </w:pPr>
            <w:r>
              <w:rPr>
                <w:rFonts w:hint="eastAsia"/>
                <w:color w:val="auto"/>
                <w:highlight w:val="none"/>
                <w:lang w:val="en-US" w:eastAsia="zh-CN"/>
              </w:rPr>
              <w:t>Aatm——大气吸收引起的衰减，dB；</w:t>
            </w:r>
          </w:p>
          <w:p w14:paraId="2D226AC3">
            <w:pPr>
              <w:bidi w:val="0"/>
              <w:rPr>
                <w:rFonts w:hint="eastAsia"/>
                <w:color w:val="auto"/>
                <w:highlight w:val="none"/>
                <w:lang w:val="en-US" w:eastAsia="zh-CN"/>
              </w:rPr>
            </w:pPr>
            <w:r>
              <w:rPr>
                <w:rFonts w:hint="eastAsia"/>
                <w:color w:val="auto"/>
                <w:highlight w:val="none"/>
                <w:lang w:val="en-US" w:eastAsia="zh-CN"/>
              </w:rPr>
              <w:t>Abar——声屏障引起的衰减，dB；</w:t>
            </w:r>
          </w:p>
          <w:p w14:paraId="760C9A93">
            <w:pPr>
              <w:bidi w:val="0"/>
              <w:rPr>
                <w:rFonts w:hint="eastAsia"/>
                <w:color w:val="auto"/>
                <w:highlight w:val="none"/>
                <w:lang w:val="en-US" w:eastAsia="zh-CN"/>
              </w:rPr>
            </w:pPr>
            <w:r>
              <w:rPr>
                <w:rFonts w:hint="eastAsia"/>
                <w:color w:val="auto"/>
                <w:highlight w:val="none"/>
                <w:lang w:val="en-US" w:eastAsia="zh-CN"/>
              </w:rPr>
              <w:t>Amisc——其他多方面效应引起的衰减，dB。</w:t>
            </w:r>
          </w:p>
          <w:p w14:paraId="726C2497">
            <w:pPr>
              <w:bidi w:val="0"/>
              <w:rPr>
                <w:rFonts w:hint="eastAsia"/>
                <w:color w:val="auto"/>
                <w:highlight w:val="none"/>
                <w:lang w:val="en-US" w:eastAsia="zh-CN"/>
              </w:rPr>
            </w:pPr>
            <w:r>
              <w:rPr>
                <w:rFonts w:hint="eastAsia"/>
                <w:color w:val="auto"/>
                <w:highlight w:val="none"/>
                <w:lang w:val="en-US" w:eastAsia="zh-CN"/>
              </w:rPr>
              <w:t>（2）室内点声源对场界噪声预测点贡献值预测模式</w:t>
            </w:r>
          </w:p>
          <w:p w14:paraId="74223CDB">
            <w:pPr>
              <w:bidi w:val="0"/>
              <w:rPr>
                <w:rFonts w:hint="eastAsia"/>
                <w:color w:val="auto"/>
                <w:highlight w:val="none"/>
                <w:lang w:val="en-US" w:eastAsia="zh-CN"/>
              </w:rPr>
            </w:pPr>
            <w:r>
              <w:rPr>
                <w:rFonts w:hint="eastAsia"/>
                <w:color w:val="auto"/>
                <w:highlight w:val="none"/>
                <w:lang w:val="en-US" w:eastAsia="zh-CN"/>
              </w:rPr>
              <w:t>室内声源首先换算为等效室外声源，再按各类声源模式计算。</w:t>
            </w:r>
          </w:p>
          <w:p w14:paraId="5EA70A5A">
            <w:pPr>
              <w:bidi w:val="0"/>
              <w:rPr>
                <w:rFonts w:hint="eastAsia"/>
                <w:color w:val="auto"/>
                <w:highlight w:val="none"/>
                <w:lang w:val="en-US" w:eastAsia="zh-CN"/>
              </w:rPr>
            </w:pPr>
            <w:r>
              <w:rPr>
                <w:rFonts w:hint="eastAsia"/>
                <w:color w:val="auto"/>
                <w:highlight w:val="none"/>
                <w:lang w:val="en-US" w:eastAsia="zh-CN"/>
              </w:rPr>
              <w:t>声源位于室内，室内声源可采用等效室外声源声功率级法进行计算。设靠近开口处（或窗户）室内、室外某倍频带的声压级分别为Lp1和Lp2，若声源所在室内声场为近似扩散声场，则室外的倍频带声压级可近似求出：</w:t>
            </w:r>
          </w:p>
          <w:p w14:paraId="6E81F967">
            <w:pPr>
              <w:bidi w:val="0"/>
              <w:jc w:val="center"/>
              <w:rPr>
                <w:rFonts w:hint="eastAsia"/>
                <w:color w:val="auto"/>
                <w:highlight w:val="none"/>
                <w:lang w:val="en-US" w:eastAsia="zh-CN"/>
              </w:rPr>
            </w:pPr>
            <w:r>
              <w:rPr>
                <w:rFonts w:hint="eastAsia"/>
                <w:color w:val="auto"/>
                <w:highlight w:val="none"/>
                <w:lang w:val="en-US" w:eastAsia="zh-CN"/>
              </w:rPr>
              <w:t>Lp2=Lp1-（TL+6）</w:t>
            </w:r>
          </w:p>
          <w:p w14:paraId="09B7DE86">
            <w:pPr>
              <w:bidi w:val="0"/>
              <w:rPr>
                <w:rFonts w:hint="eastAsia"/>
                <w:color w:val="auto"/>
                <w:highlight w:val="none"/>
                <w:lang w:val="en-US" w:eastAsia="zh-CN"/>
              </w:rPr>
            </w:pPr>
            <w:r>
              <w:rPr>
                <w:rFonts w:hint="eastAsia"/>
                <w:color w:val="auto"/>
                <w:highlight w:val="none"/>
                <w:lang w:val="en-US" w:eastAsia="zh-CN"/>
              </w:rPr>
              <w:t>式中：TL—隔墙（或窗户）倍频带的隔声量，dB。</w:t>
            </w:r>
          </w:p>
          <w:p w14:paraId="23A09D8F">
            <w:pPr>
              <w:bidi w:val="0"/>
              <w:rPr>
                <w:rFonts w:hint="eastAsia"/>
                <w:color w:val="auto"/>
                <w:highlight w:val="none"/>
                <w:lang w:val="en-US" w:eastAsia="zh-CN"/>
              </w:rPr>
            </w:pPr>
            <w:r>
              <w:rPr>
                <w:rFonts w:hint="eastAsia"/>
                <w:color w:val="auto"/>
                <w:highlight w:val="none"/>
                <w:lang w:val="en-US" w:eastAsia="zh-CN"/>
              </w:rPr>
              <w:t>①首先计算出某个室内声源靠近围护结构处的倍频带声压级：</w:t>
            </w:r>
          </w:p>
          <w:p w14:paraId="36EB38FC">
            <w:pPr>
              <w:bidi w:val="0"/>
              <w:jc w:val="center"/>
              <w:rPr>
                <w:rFonts w:hint="eastAsia"/>
                <w:color w:val="auto"/>
                <w:highlight w:val="none"/>
                <w:lang w:val="en-US" w:eastAsia="zh-CN"/>
              </w:rPr>
            </w:pPr>
            <w:r>
              <w:rPr>
                <w:rFonts w:hint="eastAsia"/>
                <w:color w:val="auto"/>
                <w:highlight w:val="none"/>
                <w:lang w:val="en-US" w:eastAsia="zh-CN"/>
              </w:rPr>
              <w:t>Lp1=LW+10lg（Q/4πr</w:t>
            </w:r>
            <w:r>
              <w:rPr>
                <w:rFonts w:hint="eastAsia"/>
                <w:color w:val="auto"/>
                <w:highlight w:val="none"/>
                <w:vertAlign w:val="superscript"/>
                <w:lang w:val="en-US" w:eastAsia="zh-CN"/>
              </w:rPr>
              <w:t>2+</w:t>
            </w:r>
            <w:r>
              <w:rPr>
                <w:rFonts w:hint="eastAsia"/>
                <w:color w:val="auto"/>
                <w:highlight w:val="none"/>
                <w:lang w:val="en-US" w:eastAsia="zh-CN"/>
              </w:rPr>
              <w:t>4/R）</w:t>
            </w:r>
          </w:p>
          <w:p w14:paraId="104ABFDF">
            <w:pPr>
              <w:bidi w:val="0"/>
              <w:rPr>
                <w:rFonts w:hint="eastAsia"/>
                <w:color w:val="auto"/>
                <w:highlight w:val="none"/>
                <w:lang w:val="en-US" w:eastAsia="zh-CN"/>
              </w:rPr>
            </w:pPr>
            <w:r>
              <w:rPr>
                <w:rFonts w:hint="eastAsia"/>
                <w:color w:val="auto"/>
                <w:highlight w:val="none"/>
                <w:lang w:val="en-US" w:eastAsia="zh-CN"/>
              </w:rPr>
              <w:t>式中：Lp1—室内声源在靠近围护结构处产生的倍频带声压级，dB；</w:t>
            </w:r>
          </w:p>
          <w:p w14:paraId="76CF8082">
            <w:pPr>
              <w:bidi w:val="0"/>
              <w:rPr>
                <w:rFonts w:hint="eastAsia"/>
                <w:color w:val="auto"/>
                <w:highlight w:val="none"/>
                <w:lang w:val="en-US" w:eastAsia="zh-CN"/>
              </w:rPr>
            </w:pPr>
            <w:r>
              <w:rPr>
                <w:rFonts w:hint="eastAsia"/>
                <w:color w:val="auto"/>
                <w:highlight w:val="none"/>
                <w:lang w:val="en-US" w:eastAsia="zh-CN"/>
              </w:rPr>
              <w:t>Lw—声源的倍频带声功率级，dB；</w:t>
            </w:r>
          </w:p>
          <w:p w14:paraId="501986B4">
            <w:pPr>
              <w:bidi w:val="0"/>
              <w:rPr>
                <w:rFonts w:hint="eastAsia"/>
                <w:color w:val="auto"/>
                <w:highlight w:val="none"/>
                <w:lang w:val="en-US" w:eastAsia="zh-CN"/>
              </w:rPr>
            </w:pPr>
            <w:r>
              <w:rPr>
                <w:rFonts w:hint="eastAsia"/>
                <w:color w:val="auto"/>
                <w:highlight w:val="none"/>
                <w:lang w:val="en-US" w:eastAsia="zh-CN"/>
              </w:rPr>
              <w:t>r—声源到靠近围护结构某点处的距离，m；</w:t>
            </w:r>
          </w:p>
          <w:p w14:paraId="7013FF84">
            <w:pPr>
              <w:bidi w:val="0"/>
              <w:rPr>
                <w:rFonts w:hint="eastAsia"/>
                <w:color w:val="auto"/>
                <w:highlight w:val="none"/>
                <w:lang w:val="en-US" w:eastAsia="zh-CN"/>
              </w:rPr>
            </w:pPr>
            <w:r>
              <w:rPr>
                <w:rFonts w:hint="eastAsia"/>
                <w:color w:val="auto"/>
                <w:highlight w:val="none"/>
                <w:lang w:val="en-US" w:eastAsia="zh-CN"/>
              </w:rPr>
              <w:t>Q—指向性因子；</w:t>
            </w:r>
          </w:p>
          <w:p w14:paraId="58BD2D2F">
            <w:pPr>
              <w:bidi w:val="0"/>
              <w:rPr>
                <w:rFonts w:hint="eastAsia"/>
                <w:color w:val="auto"/>
                <w:highlight w:val="none"/>
                <w:lang w:val="en-US" w:eastAsia="zh-CN"/>
              </w:rPr>
            </w:pPr>
            <w:r>
              <w:rPr>
                <w:rFonts w:hint="eastAsia"/>
                <w:color w:val="auto"/>
                <w:highlight w:val="none"/>
                <w:lang w:val="en-US" w:eastAsia="zh-CN"/>
              </w:rPr>
              <w:t>R—房间常数，R=Sa/（1－a），S为房间内表面面积，㎡，a为平均吸声系数。</w:t>
            </w:r>
          </w:p>
          <w:p w14:paraId="277958BF">
            <w:pPr>
              <w:bidi w:val="0"/>
              <w:rPr>
                <w:rFonts w:hint="eastAsia"/>
                <w:color w:val="auto"/>
                <w:highlight w:val="none"/>
                <w:lang w:val="en-US" w:eastAsia="zh-CN"/>
              </w:rPr>
            </w:pPr>
            <w:r>
              <w:rPr>
                <w:rFonts w:hint="eastAsia"/>
                <w:color w:val="auto"/>
                <w:highlight w:val="none"/>
                <w:lang w:val="en-US" w:eastAsia="zh-CN"/>
              </w:rPr>
              <w:t>②计算出所有室内声源在靠近围护结构处产生的i倍频带叠加声压级：</w:t>
            </w:r>
          </w:p>
          <w:p w14:paraId="42467D48">
            <w:pPr>
              <w:bidi w:val="0"/>
              <w:jc w:val="center"/>
              <w:rPr>
                <w:rFonts w:hint="eastAsia"/>
                <w:color w:val="auto"/>
                <w:highlight w:val="none"/>
                <w:lang w:val="en-US" w:eastAsia="zh-CN"/>
              </w:rPr>
            </w:pPr>
            <w:r>
              <w:rPr>
                <w:rFonts w:hint="eastAsia"/>
                <w:b/>
                <w:bCs/>
                <w:color w:val="auto"/>
                <w:highlight w:val="none"/>
                <w:lang w:val="en-US" w:eastAsia="zh-CN"/>
              </w:rPr>
              <w:object>
                <v:shape id="_x0000_i1025" o:spt="75" type="#_x0000_t75" style="height:35.25pt;width:126.55pt;" o:ole="t" filled="f" o:preferrelative="t" stroked="f" coordsize="21600,21600">
                  <v:path/>
                  <v:fill on="f" focussize="0,0"/>
                  <v:stroke on="f"/>
                  <v:imagedata r:id="rId20" o:title=""/>
                  <o:lock v:ext="edit" aspectratio="t"/>
                  <w10:wrap type="none"/>
                  <w10:anchorlock/>
                </v:shape>
                <o:OLEObject Type="Embed" ProgID="Equations" ShapeID="_x0000_i1025" DrawAspect="Content" ObjectID="_1468075725" r:id="rId19">
                  <o:LockedField>false</o:LockedField>
                </o:OLEObject>
              </w:object>
            </w:r>
          </w:p>
          <w:p w14:paraId="17DF227B">
            <w:pPr>
              <w:bidi w:val="0"/>
              <w:rPr>
                <w:rFonts w:hint="eastAsia"/>
                <w:color w:val="auto"/>
                <w:highlight w:val="none"/>
                <w:lang w:val="en-US" w:eastAsia="zh-CN"/>
              </w:rPr>
            </w:pPr>
            <w:r>
              <w:rPr>
                <w:rFonts w:hint="eastAsia"/>
                <w:color w:val="auto"/>
                <w:highlight w:val="none"/>
                <w:lang w:val="en-US" w:eastAsia="zh-CN"/>
              </w:rPr>
              <w:t>式中：Lp1i（T）——靠近围护结构处室内N个声源i倍频带的叠加声压级，dB；</w:t>
            </w:r>
          </w:p>
          <w:p w14:paraId="5D6F8AC3">
            <w:pPr>
              <w:bidi w:val="0"/>
              <w:rPr>
                <w:rFonts w:hint="eastAsia"/>
                <w:color w:val="auto"/>
                <w:highlight w:val="none"/>
                <w:lang w:val="en-US" w:eastAsia="zh-CN"/>
              </w:rPr>
            </w:pPr>
            <w:r>
              <w:rPr>
                <w:rFonts w:hint="eastAsia"/>
                <w:color w:val="auto"/>
                <w:highlight w:val="none"/>
                <w:lang w:val="en-US" w:eastAsia="zh-CN"/>
              </w:rPr>
              <w:t>Lp1ij——室内j声源i倍频带的声压级，dB；</w:t>
            </w:r>
          </w:p>
          <w:p w14:paraId="40DCE8F0">
            <w:pPr>
              <w:bidi w:val="0"/>
              <w:rPr>
                <w:rFonts w:hint="eastAsia"/>
                <w:color w:val="auto"/>
                <w:highlight w:val="none"/>
                <w:lang w:val="en-US" w:eastAsia="zh-CN"/>
              </w:rPr>
            </w:pPr>
            <w:r>
              <w:rPr>
                <w:rFonts w:hint="eastAsia"/>
                <w:color w:val="auto"/>
                <w:highlight w:val="none"/>
                <w:lang w:val="en-US" w:eastAsia="zh-CN"/>
              </w:rPr>
              <w:t>N——室内声源总数。</w:t>
            </w:r>
          </w:p>
          <w:p w14:paraId="41987A9B">
            <w:pPr>
              <w:bidi w:val="0"/>
              <w:rPr>
                <w:rFonts w:hint="eastAsia"/>
                <w:color w:val="auto"/>
                <w:highlight w:val="none"/>
                <w:lang w:val="en-US" w:eastAsia="zh-CN"/>
              </w:rPr>
            </w:pPr>
            <w:r>
              <w:rPr>
                <w:rFonts w:hint="eastAsia"/>
                <w:color w:val="auto"/>
                <w:highlight w:val="none"/>
                <w:lang w:val="en-US" w:eastAsia="zh-CN"/>
              </w:rPr>
              <w:t>③计算出室外靠近围护结构处的声压级：</w:t>
            </w:r>
          </w:p>
          <w:p w14:paraId="2C42EF31">
            <w:pPr>
              <w:bidi w:val="0"/>
              <w:jc w:val="center"/>
              <w:rPr>
                <w:rFonts w:hint="eastAsia"/>
                <w:color w:val="auto"/>
                <w:highlight w:val="none"/>
                <w:lang w:val="en-US" w:eastAsia="zh-CN"/>
              </w:rPr>
            </w:pPr>
            <w:r>
              <w:rPr>
                <w:rFonts w:hint="eastAsia"/>
                <w:color w:val="auto"/>
                <w:highlight w:val="none"/>
                <w:lang w:val="en-US" w:eastAsia="zh-CN"/>
              </w:rPr>
              <w:t>Lp2i（T）=Lp1i（T）-（TLi+6）</w:t>
            </w:r>
          </w:p>
          <w:p w14:paraId="77D3C460">
            <w:pPr>
              <w:bidi w:val="0"/>
              <w:rPr>
                <w:rFonts w:hint="eastAsia"/>
                <w:color w:val="auto"/>
                <w:highlight w:val="none"/>
                <w:lang w:val="en-US" w:eastAsia="zh-CN"/>
              </w:rPr>
            </w:pPr>
            <w:r>
              <w:rPr>
                <w:rFonts w:hint="eastAsia"/>
                <w:color w:val="auto"/>
                <w:highlight w:val="none"/>
                <w:lang w:val="en-US" w:eastAsia="zh-CN"/>
              </w:rPr>
              <w:t>式中：Lp2i（T）——靠近围护结构处室外N个声源i倍频带的叠加声压级，dB；</w:t>
            </w:r>
          </w:p>
          <w:p w14:paraId="0BA1B671">
            <w:pPr>
              <w:bidi w:val="0"/>
              <w:rPr>
                <w:rFonts w:hint="eastAsia"/>
                <w:color w:val="auto"/>
                <w:highlight w:val="none"/>
                <w:lang w:val="en-US" w:eastAsia="zh-CN"/>
              </w:rPr>
            </w:pPr>
            <w:r>
              <w:rPr>
                <w:rFonts w:hint="eastAsia"/>
                <w:color w:val="auto"/>
                <w:highlight w:val="none"/>
                <w:lang w:val="en-US" w:eastAsia="zh-CN"/>
              </w:rPr>
              <w:t>TLi——围护结构i倍频带的隔声量，dB；</w:t>
            </w:r>
          </w:p>
          <w:p w14:paraId="032ECC7F">
            <w:pPr>
              <w:bidi w:val="0"/>
              <w:rPr>
                <w:rFonts w:hint="eastAsia"/>
                <w:color w:val="auto"/>
                <w:highlight w:val="none"/>
                <w:lang w:val="en-US" w:eastAsia="zh-CN"/>
              </w:rPr>
            </w:pPr>
            <w:r>
              <w:rPr>
                <w:rFonts w:hint="eastAsia"/>
                <w:color w:val="auto"/>
                <w:highlight w:val="none"/>
                <w:lang w:val="en-US" w:eastAsia="zh-CN"/>
              </w:rPr>
              <w:t>④将室外声源的声压级和透过面积换算成等效的室外声源，计算出中心位置位于透声面积（S）处的等效声源的倍频带声功率级。</w:t>
            </w:r>
          </w:p>
          <w:p w14:paraId="3532F9E8">
            <w:pPr>
              <w:bidi w:val="0"/>
              <w:jc w:val="center"/>
              <w:rPr>
                <w:rFonts w:hint="eastAsia"/>
                <w:color w:val="auto"/>
                <w:highlight w:val="none"/>
                <w:lang w:val="en-US" w:eastAsia="zh-CN"/>
              </w:rPr>
            </w:pPr>
            <w:r>
              <w:rPr>
                <w:rFonts w:hint="eastAsia"/>
                <w:color w:val="auto"/>
                <w:highlight w:val="none"/>
                <w:lang w:val="en-US" w:eastAsia="zh-CN"/>
              </w:rPr>
              <w:t>Lw=Lp2（T)+10lgS</w:t>
            </w:r>
          </w:p>
          <w:p w14:paraId="6F1C9437">
            <w:pPr>
              <w:bidi w:val="0"/>
              <w:rPr>
                <w:rFonts w:hint="eastAsia"/>
                <w:color w:val="auto"/>
                <w:highlight w:val="none"/>
                <w:lang w:val="en-US" w:eastAsia="zh-CN"/>
              </w:rPr>
            </w:pPr>
            <w:r>
              <w:rPr>
                <w:rFonts w:hint="eastAsia"/>
                <w:color w:val="auto"/>
                <w:highlight w:val="none"/>
                <w:lang w:val="en-US" w:eastAsia="zh-CN"/>
              </w:rPr>
              <w:t>然后按室外声源预测方法计算预测点的A声级。</w:t>
            </w:r>
          </w:p>
          <w:p w14:paraId="3949EAF6">
            <w:pPr>
              <w:bidi w:val="0"/>
              <w:rPr>
                <w:rFonts w:hint="eastAsia"/>
                <w:color w:val="auto"/>
                <w:highlight w:val="none"/>
                <w:lang w:val="en-US" w:eastAsia="zh-CN"/>
              </w:rPr>
            </w:pPr>
            <w:r>
              <w:rPr>
                <w:rFonts w:hint="eastAsia"/>
                <w:color w:val="auto"/>
                <w:highlight w:val="none"/>
                <w:lang w:val="en-US" w:eastAsia="zh-CN"/>
              </w:rPr>
              <w:t>⑤等效室外声源的位置为围护结构的位置，其倍频带声功率级为</w:t>
            </w:r>
            <w:r>
              <w:rPr>
                <w:rFonts w:hint="eastAsia"/>
                <w:color w:val="auto"/>
                <w:highlight w:val="none"/>
                <w:lang w:val="en-US" w:eastAsia="zh-CN"/>
              </w:rPr>
              <w:drawing>
                <wp:inline distT="0" distB="0" distL="114300" distR="114300">
                  <wp:extent cx="203200" cy="228600"/>
                  <wp:effectExtent l="0" t="0" r="6350" b="0"/>
                  <wp:docPr id="16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0"/>
                          <pic:cNvPicPr>
                            <a:picLocks noChangeAspect="1"/>
                          </pic:cNvPicPr>
                        </pic:nvPicPr>
                        <pic:blipFill>
                          <a:blip r:embed="rId21"/>
                          <a:stretch>
                            <a:fillRect/>
                          </a:stretch>
                        </pic:blipFill>
                        <pic:spPr>
                          <a:xfrm>
                            <a:off x="0" y="0"/>
                            <a:ext cx="203200" cy="228600"/>
                          </a:xfrm>
                          <a:prstGeom prst="rect">
                            <a:avLst/>
                          </a:prstGeom>
                          <a:noFill/>
                          <a:ln>
                            <a:noFill/>
                          </a:ln>
                        </pic:spPr>
                      </pic:pic>
                    </a:graphicData>
                  </a:graphic>
                </wp:inline>
              </w:drawing>
            </w:r>
            <w:r>
              <w:rPr>
                <w:rFonts w:hint="eastAsia"/>
                <w:color w:val="auto"/>
                <w:highlight w:val="none"/>
                <w:lang w:val="en-US" w:eastAsia="zh-CN"/>
              </w:rPr>
              <w:t>，根据厂房结构（门、窗）和预测点的位置关系，分别按照面声源、线声源和点声源的衰减模式，计算预测点处的声级。</w:t>
            </w:r>
          </w:p>
          <w:p w14:paraId="046A4D4A">
            <w:pPr>
              <w:bidi w:val="0"/>
              <w:rPr>
                <w:rFonts w:hint="eastAsia"/>
                <w:color w:val="auto"/>
                <w:highlight w:val="none"/>
                <w:lang w:val="en-US" w:eastAsia="zh-CN"/>
              </w:rPr>
            </w:pPr>
            <w:r>
              <w:rPr>
                <w:rFonts w:hint="eastAsia"/>
                <w:color w:val="auto"/>
                <w:highlight w:val="none"/>
                <w:lang w:val="en-US" w:eastAsia="zh-CN"/>
              </w:rPr>
              <w:t>假设窗户的宽度为a，高度为b，窗户个数为n；预测点距墙中心的距离为</w:t>
            </w:r>
            <w:r>
              <w:rPr>
                <w:rFonts w:hint="eastAsia"/>
                <w:color w:val="auto"/>
                <w:highlight w:val="none"/>
                <w:lang w:val="en-US" w:eastAsia="zh-CN"/>
              </w:rPr>
              <w:drawing>
                <wp:inline distT="0" distB="0" distL="114300" distR="114300">
                  <wp:extent cx="114300" cy="127000"/>
                  <wp:effectExtent l="0" t="0" r="0" b="3810"/>
                  <wp:docPr id="1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1"/>
                          <pic:cNvPicPr>
                            <a:picLocks noChangeAspect="1"/>
                          </pic:cNvPicPr>
                        </pic:nvPicPr>
                        <pic:blipFill>
                          <a:blip r:embed="rId22"/>
                          <a:stretch>
                            <a:fillRect/>
                          </a:stretch>
                        </pic:blipFill>
                        <pic:spPr>
                          <a:xfrm>
                            <a:off x="0" y="0"/>
                            <a:ext cx="114300" cy="127000"/>
                          </a:xfrm>
                          <a:prstGeom prst="rect">
                            <a:avLst/>
                          </a:prstGeom>
                          <a:noFill/>
                          <a:ln>
                            <a:noFill/>
                          </a:ln>
                        </pic:spPr>
                      </pic:pic>
                    </a:graphicData>
                  </a:graphic>
                </wp:inline>
              </w:drawing>
            </w:r>
            <w:r>
              <w:rPr>
                <w:rFonts w:hint="eastAsia"/>
                <w:color w:val="auto"/>
                <w:highlight w:val="none"/>
                <w:lang w:val="en-US" w:eastAsia="zh-CN"/>
              </w:rPr>
              <w:t>。预测点的声级按照下述公式进行预测：</w:t>
            </w:r>
          </w:p>
          <w:p w14:paraId="25D07E17">
            <w:pPr>
              <w:bidi w:val="0"/>
              <w:rPr>
                <w:rFonts w:hint="eastAsia"/>
                <w:color w:val="auto"/>
                <w:highlight w:val="none"/>
                <w:lang w:val="en-US" w:eastAsia="zh-CN"/>
              </w:rPr>
            </w:pPr>
            <w:r>
              <w:rPr>
                <w:rFonts w:hint="eastAsia"/>
                <w:color w:val="auto"/>
                <w:highlight w:val="none"/>
                <w:lang w:val="en-US" w:eastAsia="zh-CN"/>
              </w:rPr>
              <w:t>当</w:t>
            </w:r>
            <w:r>
              <w:rPr>
                <w:rFonts w:hint="eastAsia"/>
                <w:color w:val="auto"/>
                <w:highlight w:val="none"/>
                <w:lang w:val="en-US" w:eastAsia="zh-CN"/>
              </w:rPr>
              <w:drawing>
                <wp:inline distT="0" distB="0" distL="114300" distR="114300">
                  <wp:extent cx="495300" cy="405765"/>
                  <wp:effectExtent l="0" t="0" r="0" b="13970"/>
                  <wp:docPr id="1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2"/>
                          <pic:cNvPicPr>
                            <a:picLocks noChangeAspect="1"/>
                          </pic:cNvPicPr>
                        </pic:nvPicPr>
                        <pic:blipFill>
                          <a:blip r:embed="rId23"/>
                          <a:stretch>
                            <a:fillRect/>
                          </a:stretch>
                        </pic:blipFill>
                        <pic:spPr>
                          <a:xfrm>
                            <a:off x="0" y="0"/>
                            <a:ext cx="495300" cy="405765"/>
                          </a:xfrm>
                          <a:prstGeom prst="rect">
                            <a:avLst/>
                          </a:prstGeom>
                          <a:noFill/>
                          <a:ln>
                            <a:noFill/>
                          </a:ln>
                        </pic:spPr>
                      </pic:pic>
                    </a:graphicData>
                  </a:graphic>
                </wp:inline>
              </w:drawing>
            </w:r>
            <w:r>
              <w:rPr>
                <w:rFonts w:hint="eastAsia"/>
                <w:color w:val="auto"/>
                <w:highlight w:val="none"/>
                <w:lang w:val="en-US" w:eastAsia="zh-CN"/>
              </w:rPr>
              <w:t>时，</w:t>
            </w:r>
            <w:r>
              <w:rPr>
                <w:rFonts w:hint="eastAsia"/>
                <w:color w:val="auto"/>
                <w:highlight w:val="none"/>
                <w:lang w:val="en-US" w:eastAsia="zh-CN"/>
              </w:rPr>
              <w:drawing>
                <wp:inline distT="0" distB="0" distL="114300" distR="114300">
                  <wp:extent cx="698500" cy="215900"/>
                  <wp:effectExtent l="0" t="0" r="6350" b="13970"/>
                  <wp:docPr id="1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3"/>
                          <pic:cNvPicPr>
                            <a:picLocks noChangeAspect="1"/>
                          </pic:cNvPicPr>
                        </pic:nvPicPr>
                        <pic:blipFill>
                          <a:blip r:embed="rId24"/>
                          <a:stretch>
                            <a:fillRect/>
                          </a:stretch>
                        </pic:blipFill>
                        <pic:spPr>
                          <a:xfrm>
                            <a:off x="0" y="0"/>
                            <a:ext cx="698500" cy="215900"/>
                          </a:xfrm>
                          <a:prstGeom prst="rect">
                            <a:avLst/>
                          </a:prstGeom>
                          <a:noFill/>
                          <a:ln>
                            <a:noFill/>
                          </a:ln>
                        </pic:spPr>
                      </pic:pic>
                    </a:graphicData>
                  </a:graphic>
                </wp:inline>
              </w:drawing>
            </w:r>
            <w:r>
              <w:rPr>
                <w:rFonts w:hint="eastAsia"/>
                <w:color w:val="auto"/>
                <w:highlight w:val="none"/>
                <w:lang w:val="en-US" w:eastAsia="zh-CN"/>
              </w:rPr>
              <w:t>（即按面声源处理）；</w:t>
            </w:r>
          </w:p>
          <w:p w14:paraId="5F29C33C">
            <w:pPr>
              <w:bidi w:val="0"/>
              <w:rPr>
                <w:rFonts w:hint="eastAsia"/>
                <w:color w:val="auto"/>
                <w:highlight w:val="none"/>
                <w:lang w:val="en-US" w:eastAsia="zh-CN"/>
              </w:rPr>
            </w:pPr>
            <w:r>
              <w:rPr>
                <w:rFonts w:hint="eastAsia"/>
                <w:color w:val="auto"/>
                <w:highlight w:val="none"/>
                <w:lang w:val="en-US" w:eastAsia="zh-CN"/>
              </w:rPr>
              <w:t>当</w:t>
            </w:r>
            <w:r>
              <w:rPr>
                <w:rFonts w:hint="eastAsia"/>
                <w:color w:val="auto"/>
                <w:highlight w:val="none"/>
                <w:lang w:val="en-US" w:eastAsia="zh-CN"/>
              </w:rPr>
              <w:drawing>
                <wp:inline distT="0" distB="0" distL="114300" distR="114300">
                  <wp:extent cx="736600" cy="393700"/>
                  <wp:effectExtent l="0" t="0" r="6350" b="5715"/>
                  <wp:docPr id="1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
                          <pic:cNvPicPr>
                            <a:picLocks noChangeAspect="1"/>
                          </pic:cNvPicPr>
                        </pic:nvPicPr>
                        <pic:blipFill>
                          <a:blip r:embed="rId25"/>
                          <a:stretch>
                            <a:fillRect/>
                          </a:stretch>
                        </pic:blipFill>
                        <pic:spPr>
                          <a:xfrm>
                            <a:off x="0" y="0"/>
                            <a:ext cx="736600" cy="393700"/>
                          </a:xfrm>
                          <a:prstGeom prst="rect">
                            <a:avLst/>
                          </a:prstGeom>
                          <a:noFill/>
                          <a:ln>
                            <a:noFill/>
                          </a:ln>
                        </pic:spPr>
                      </pic:pic>
                    </a:graphicData>
                  </a:graphic>
                </wp:inline>
              </w:drawing>
            </w:r>
            <w:r>
              <w:rPr>
                <w:rFonts w:hint="eastAsia"/>
                <w:color w:val="auto"/>
                <w:highlight w:val="none"/>
                <w:lang w:val="en-US" w:eastAsia="zh-CN"/>
              </w:rPr>
              <w:t>时，</w:t>
            </w:r>
            <m:oMath>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L</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A(r)</m:t>
                  </m:r>
                  <m:ctrlPr>
                    <w:rPr>
                      <w:rFonts w:hint="eastAsia" w:ascii="Cambria Math" w:hAnsi="Cambria Math"/>
                      <w:color w:val="auto"/>
                      <w:highlight w:val="none"/>
                      <w:lang w:val="en-US" w:eastAsia="zh-CN"/>
                    </w:rPr>
                  </m:ctrlPr>
                </m:sub>
              </m:sSub>
              <m:r>
                <m:rPr>
                  <m:sty m:val="p"/>
                </m:rPr>
                <w:rPr>
                  <w:rFonts w:hint="eastAsia" w:ascii="Cambria Math" w:hAnsi="Cambria Math"/>
                  <w:color w:val="auto"/>
                  <w:highlight w:val="none"/>
                  <w:lang w:val="en-US" w:eastAsia="zh-CN"/>
                </w:rPr>
                <m:t>=</m:t>
              </m:r>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L</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2</m:t>
                  </m:r>
                  <m:ctrlPr>
                    <w:rPr>
                      <w:rFonts w:hint="eastAsia" w:ascii="Cambria Math" w:hAnsi="Cambria Math"/>
                      <w:color w:val="auto"/>
                      <w:highlight w:val="none"/>
                      <w:lang w:val="en-US" w:eastAsia="zh-CN"/>
                    </w:rPr>
                  </m:ctrlPr>
                </m:sub>
              </m:sSub>
              <m:r>
                <m:rPr>
                  <m:sty m:val="p"/>
                </m:rPr>
                <w:rPr>
                  <w:rFonts w:hint="eastAsia" w:ascii="Cambria Math" w:hAnsi="Cambria Math"/>
                  <w:color w:val="auto"/>
                  <w:highlight w:val="none"/>
                  <w:lang w:val="en-US" w:eastAsia="zh-CN"/>
                </w:rPr>
                <m:t>−10lg</m:t>
              </m:r>
              <m:f>
                <m:fPr>
                  <m:ctrlPr>
                    <w:rPr>
                      <w:rFonts w:hint="eastAsia" w:ascii="Cambria Math" w:hAnsi="Cambria Math"/>
                      <w:color w:val="auto"/>
                      <w:highlight w:val="none"/>
                      <w:lang w:val="en-US" w:eastAsia="zh-CN"/>
                    </w:rPr>
                  </m:ctrlPr>
                </m:fPr>
                <m:num>
                  <m:r>
                    <m:rPr>
                      <m:sty m:val="p"/>
                    </m:rPr>
                    <w:rPr>
                      <w:rFonts w:hint="eastAsia" w:ascii="Cambria Math" w:hAnsi="Cambria Math"/>
                      <w:color w:val="auto"/>
                      <w:highlight w:val="none"/>
                      <w:lang w:val="en-US" w:eastAsia="zh-CN"/>
                    </w:rPr>
                    <m:t>r</m:t>
                  </m:r>
                  <m:ctrlPr>
                    <w:rPr>
                      <w:rFonts w:hint="eastAsia" w:ascii="Cambria Math" w:hAnsi="Cambria Math"/>
                      <w:color w:val="auto"/>
                      <w:highlight w:val="none"/>
                      <w:lang w:val="en-US" w:eastAsia="zh-CN"/>
                    </w:rPr>
                  </m:ctrlPr>
                </m:num>
                <m:den>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r</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0</m:t>
                      </m:r>
                      <m:ctrlPr>
                        <w:rPr>
                          <w:rFonts w:hint="eastAsia" w:ascii="Cambria Math" w:hAnsi="Cambria Math"/>
                          <w:color w:val="auto"/>
                          <w:highlight w:val="none"/>
                          <w:lang w:val="en-US" w:eastAsia="zh-CN"/>
                        </w:rPr>
                      </m:ctrlPr>
                    </m:sub>
                  </m:sSub>
                  <m:ctrlPr>
                    <w:rPr>
                      <w:rFonts w:hint="eastAsia" w:ascii="Cambria Math" w:hAnsi="Cambria Math"/>
                      <w:color w:val="auto"/>
                      <w:highlight w:val="none"/>
                      <w:lang w:val="en-US" w:eastAsia="zh-CN"/>
                    </w:rPr>
                  </m:ctrlPr>
                </m:den>
              </m:f>
            </m:oMath>
            <w:r>
              <w:rPr>
                <w:rFonts w:hint="eastAsia"/>
                <w:color w:val="auto"/>
                <w:highlight w:val="none"/>
                <w:lang w:val="en-US" w:eastAsia="zh-CN"/>
              </w:rPr>
              <w:t>（即按线声源处理）；</w:t>
            </w:r>
          </w:p>
          <w:p w14:paraId="69736076">
            <w:pPr>
              <w:bidi w:val="0"/>
              <w:rPr>
                <w:rFonts w:hint="eastAsia"/>
                <w:color w:val="auto"/>
                <w:highlight w:val="none"/>
                <w:lang w:val="en-US" w:eastAsia="zh-CN"/>
              </w:rPr>
            </w:pPr>
            <w:r>
              <w:rPr>
                <w:rFonts w:hint="eastAsia"/>
                <w:color w:val="auto"/>
                <w:highlight w:val="none"/>
                <w:lang w:val="en-US" w:eastAsia="zh-CN"/>
              </w:rPr>
              <w:t>当</w:t>
            </w:r>
            <w:r>
              <w:rPr>
                <w:rFonts w:hint="eastAsia"/>
                <w:color w:val="auto"/>
                <w:highlight w:val="none"/>
                <w:lang w:val="en-US" w:eastAsia="zh-CN"/>
              </w:rPr>
              <w:drawing>
                <wp:inline distT="0" distB="0" distL="114300" distR="114300">
                  <wp:extent cx="457200" cy="393700"/>
                  <wp:effectExtent l="0" t="0" r="0" b="5080"/>
                  <wp:docPr id="1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6"/>
                          <pic:cNvPicPr>
                            <a:picLocks noChangeAspect="1"/>
                          </pic:cNvPicPr>
                        </pic:nvPicPr>
                        <pic:blipFill>
                          <a:blip r:embed="rId26"/>
                          <a:stretch>
                            <a:fillRect/>
                          </a:stretch>
                        </pic:blipFill>
                        <pic:spPr>
                          <a:xfrm>
                            <a:off x="0" y="0"/>
                            <a:ext cx="457200" cy="393700"/>
                          </a:xfrm>
                          <a:prstGeom prst="rect">
                            <a:avLst/>
                          </a:prstGeom>
                          <a:noFill/>
                          <a:ln>
                            <a:noFill/>
                          </a:ln>
                        </pic:spPr>
                      </pic:pic>
                    </a:graphicData>
                  </a:graphic>
                </wp:inline>
              </w:drawing>
            </w:r>
            <w:r>
              <w:rPr>
                <w:rFonts w:hint="eastAsia"/>
                <w:color w:val="auto"/>
                <w:highlight w:val="none"/>
                <w:lang w:val="en-US" w:eastAsia="zh-CN"/>
              </w:rPr>
              <w:t>时，</w:t>
            </w:r>
            <m:oMath>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L</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A(r)</m:t>
                  </m:r>
                  <m:ctrlPr>
                    <w:rPr>
                      <w:rFonts w:hint="eastAsia" w:ascii="Cambria Math" w:hAnsi="Cambria Math"/>
                      <w:color w:val="auto"/>
                      <w:highlight w:val="none"/>
                      <w:lang w:val="en-US" w:eastAsia="zh-CN"/>
                    </w:rPr>
                  </m:ctrlPr>
                </m:sub>
              </m:sSub>
              <m:r>
                <m:rPr>
                  <m:sty m:val="p"/>
                </m:rPr>
                <w:rPr>
                  <w:rFonts w:hint="eastAsia" w:ascii="Cambria Math" w:hAnsi="Cambria Math"/>
                  <w:color w:val="auto"/>
                  <w:highlight w:val="none"/>
                  <w:lang w:val="en-US" w:eastAsia="zh-CN"/>
                </w:rPr>
                <m:t>=</m:t>
              </m:r>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L</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2</m:t>
                  </m:r>
                  <m:ctrlPr>
                    <w:rPr>
                      <w:rFonts w:hint="eastAsia" w:ascii="Cambria Math" w:hAnsi="Cambria Math"/>
                      <w:color w:val="auto"/>
                      <w:highlight w:val="none"/>
                      <w:lang w:val="en-US" w:eastAsia="zh-CN"/>
                    </w:rPr>
                  </m:ctrlPr>
                </m:sub>
              </m:sSub>
              <m:r>
                <m:rPr>
                  <m:sty m:val="p"/>
                </m:rPr>
                <w:rPr>
                  <w:rFonts w:hint="eastAsia" w:ascii="Cambria Math" w:hAnsi="Cambria Math"/>
                  <w:color w:val="auto"/>
                  <w:highlight w:val="none"/>
                  <w:lang w:val="en-US" w:eastAsia="zh-CN"/>
                </w:rPr>
                <m:t>−20lg</m:t>
              </m:r>
              <m:f>
                <m:fPr>
                  <m:ctrlPr>
                    <w:rPr>
                      <w:rFonts w:hint="eastAsia" w:ascii="Cambria Math" w:hAnsi="Cambria Math"/>
                      <w:color w:val="auto"/>
                      <w:highlight w:val="none"/>
                      <w:lang w:val="en-US" w:eastAsia="zh-CN"/>
                    </w:rPr>
                  </m:ctrlPr>
                </m:fPr>
                <m:num>
                  <m:r>
                    <m:rPr>
                      <m:sty m:val="p"/>
                    </m:rPr>
                    <w:rPr>
                      <w:rFonts w:hint="eastAsia" w:ascii="Cambria Math" w:hAnsi="Cambria Math"/>
                      <w:color w:val="auto"/>
                      <w:highlight w:val="none"/>
                      <w:lang w:val="en-US" w:eastAsia="zh-CN"/>
                    </w:rPr>
                    <m:t>r</m:t>
                  </m:r>
                  <m:ctrlPr>
                    <w:rPr>
                      <w:rFonts w:hint="eastAsia" w:ascii="Cambria Math" w:hAnsi="Cambria Math"/>
                      <w:color w:val="auto"/>
                      <w:highlight w:val="none"/>
                      <w:lang w:val="en-US" w:eastAsia="zh-CN"/>
                    </w:rPr>
                  </m:ctrlPr>
                </m:num>
                <m:den>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r</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0</m:t>
                      </m:r>
                      <m:ctrlPr>
                        <w:rPr>
                          <w:rFonts w:hint="eastAsia" w:ascii="Cambria Math" w:hAnsi="Cambria Math"/>
                          <w:color w:val="auto"/>
                          <w:highlight w:val="none"/>
                          <w:lang w:val="en-US" w:eastAsia="zh-CN"/>
                        </w:rPr>
                      </m:ctrlPr>
                    </m:sub>
                  </m:sSub>
                  <m:ctrlPr>
                    <w:rPr>
                      <w:rFonts w:hint="eastAsia" w:ascii="Cambria Math" w:hAnsi="Cambria Math"/>
                      <w:color w:val="auto"/>
                      <w:highlight w:val="none"/>
                      <w:lang w:val="en-US" w:eastAsia="zh-CN"/>
                    </w:rPr>
                  </m:ctrlPr>
                </m:den>
              </m:f>
            </m:oMath>
            <w:r>
              <w:rPr>
                <w:rFonts w:hint="eastAsia"/>
                <w:color w:val="auto"/>
                <w:highlight w:val="none"/>
                <w:lang w:val="en-US" w:eastAsia="zh-CN"/>
              </w:rPr>
              <w:t>（即按点声源处理）；</w:t>
            </w:r>
          </w:p>
          <w:p w14:paraId="0C705746">
            <w:pPr>
              <w:bidi w:val="0"/>
              <w:rPr>
                <w:rFonts w:hint="eastAsia"/>
                <w:color w:val="auto"/>
                <w:highlight w:val="none"/>
                <w:lang w:val="en-US" w:eastAsia="zh-CN"/>
              </w:rPr>
            </w:pPr>
            <w:r>
              <w:rPr>
                <w:rFonts w:hint="eastAsia"/>
                <w:color w:val="auto"/>
                <w:highlight w:val="none"/>
                <w:lang w:val="en-US" w:eastAsia="zh-CN"/>
              </w:rPr>
              <w:t>（3）计算噪声贡献值</w:t>
            </w:r>
          </w:p>
          <w:p w14:paraId="2F86D5FE">
            <w:pPr>
              <w:bidi w:val="0"/>
              <w:rPr>
                <w:rFonts w:hint="eastAsia"/>
                <w:color w:val="auto"/>
                <w:highlight w:val="none"/>
                <w:lang w:val="en-US" w:eastAsia="zh-CN"/>
              </w:rPr>
            </w:pPr>
            <w:r>
              <w:rPr>
                <w:rFonts w:hint="eastAsia"/>
                <w:color w:val="auto"/>
                <w:highlight w:val="none"/>
                <w:lang w:val="en-US" w:eastAsia="zh-CN"/>
              </w:rPr>
              <w:t>设第i个室外声源在预测点产生的A声级为，在T时间内该声源工作时间为ti；第j个等效室外声源在预测点产生的A声级为LAj，在T时间内该声源工作时间为tj，则拟建工程声源对预测点产生的贡献值（Leqg）为：</w:t>
            </w:r>
          </w:p>
          <w:p w14:paraId="2208CFA7">
            <w:pPr>
              <w:bidi w:val="0"/>
              <w:jc w:val="center"/>
              <w:rPr>
                <w:rFonts w:hint="eastAsia"/>
                <w:color w:val="auto"/>
                <w:highlight w:val="none"/>
                <w:lang w:val="en-US" w:eastAsia="zh-CN"/>
              </w:rPr>
            </w:pPr>
            <w:r>
              <w:rPr>
                <w:rFonts w:hint="eastAsia"/>
                <w:color w:val="auto"/>
                <w:highlight w:val="none"/>
                <w:lang w:val="en-US" w:eastAsia="zh-CN"/>
              </w:rPr>
              <w:t>Leqg=10Lg[</w:t>
            </w:r>
            <w:r>
              <w:rPr>
                <w:rFonts w:hint="eastAsia"/>
                <w:b/>
                <w:bCs/>
                <w:color w:val="auto"/>
                <w:highlight w:val="none"/>
                <w:lang w:val="en-US" w:eastAsia="zh-CN"/>
              </w:rPr>
              <w:object>
                <v:shape id="_x0000_i1026" o:spt="75" type="#_x0000_t75" style="height:30.75pt;width:12.75pt;" o:ole="t" filled="f" coordsize="21600,21600">
                  <v:path/>
                  <v:fill on="f" focussize="0,0"/>
                  <v:stroke/>
                  <v:imagedata r:id="rId28" o:title=""/>
                  <o:lock v:ext="edit" aspectratio="t"/>
                  <w10:wrap type="none"/>
                  <w10:anchorlock/>
                </v:shape>
                <o:OLEObject Type="Embed" ProgID="Equations" ShapeID="_x0000_i1026" DrawAspect="Content" ObjectID="_1468075726" r:id="rId27">
                  <o:LockedField>false</o:LockedField>
                </o:OLEObject>
              </w:object>
            </w:r>
            <w:r>
              <w:rPr>
                <w:rFonts w:hint="eastAsia"/>
                <w:color w:val="auto"/>
                <w:highlight w:val="none"/>
                <w:lang w:val="en-US" w:eastAsia="zh-CN"/>
              </w:rPr>
              <w:t>（</w:t>
            </w:r>
            <w:r>
              <w:rPr>
                <w:rFonts w:hint="eastAsia"/>
                <w:b/>
                <w:bCs/>
                <w:color w:val="auto"/>
                <w:highlight w:val="none"/>
                <w:lang w:val="en-US" w:eastAsia="zh-CN"/>
              </w:rPr>
              <w:object>
                <v:shape id="_x0000_i1027" o:spt="75" type="#_x0000_t75" style="height:35.25pt;width:125.25pt;" o:ole="t" filled="f" coordsize="21600,21600">
                  <v:path/>
                  <v:fill on="f" focussize="0,0"/>
                  <v:stroke/>
                  <v:imagedata r:id="rId30" o:title=""/>
                  <o:lock v:ext="edit" aspectratio="t"/>
                  <w10:wrap type="none"/>
                  <w10:anchorlock/>
                </v:shape>
                <o:OLEObject Type="Embed" ProgID="Equations" ShapeID="_x0000_i1027" DrawAspect="Content" ObjectID="_1468075727" r:id="rId29">
                  <o:LockedField>false</o:LockedField>
                </o:OLEObject>
              </w:object>
            </w:r>
            <w:r>
              <w:rPr>
                <w:rFonts w:hint="eastAsia"/>
                <w:color w:val="auto"/>
                <w:highlight w:val="none"/>
                <w:lang w:val="en-US" w:eastAsia="zh-CN"/>
              </w:rPr>
              <w:t>]</w:t>
            </w:r>
          </w:p>
          <w:p w14:paraId="71C9E1B6">
            <w:pPr>
              <w:bidi w:val="0"/>
              <w:rPr>
                <w:rFonts w:hint="eastAsia"/>
                <w:color w:val="auto"/>
                <w:highlight w:val="none"/>
                <w:lang w:val="en-US" w:eastAsia="zh-CN"/>
              </w:rPr>
            </w:pPr>
            <w:r>
              <w:rPr>
                <w:rFonts w:hint="eastAsia"/>
                <w:color w:val="auto"/>
                <w:highlight w:val="none"/>
                <w:lang w:val="en-US" w:eastAsia="zh-CN"/>
              </w:rPr>
              <w:t>式中：tj—在T时间内j声源工作时间，s；</w:t>
            </w:r>
          </w:p>
          <w:p w14:paraId="7F7F86AB">
            <w:pPr>
              <w:bidi w:val="0"/>
              <w:rPr>
                <w:rFonts w:hint="eastAsia"/>
                <w:color w:val="auto"/>
                <w:highlight w:val="none"/>
                <w:lang w:val="en-US" w:eastAsia="zh-CN"/>
              </w:rPr>
            </w:pPr>
            <w:r>
              <w:rPr>
                <w:rFonts w:hint="eastAsia"/>
                <w:color w:val="auto"/>
                <w:highlight w:val="none"/>
                <w:lang w:val="en-US" w:eastAsia="zh-CN"/>
              </w:rPr>
              <w:t>ti—在T时间内i声源工作时间，s；</w:t>
            </w:r>
          </w:p>
          <w:p w14:paraId="34AFD550">
            <w:pPr>
              <w:bidi w:val="0"/>
              <w:rPr>
                <w:rFonts w:hint="eastAsia"/>
                <w:color w:val="auto"/>
                <w:highlight w:val="none"/>
                <w:lang w:val="en-US" w:eastAsia="zh-CN"/>
              </w:rPr>
            </w:pPr>
            <w:r>
              <w:rPr>
                <w:rFonts w:hint="eastAsia"/>
                <w:color w:val="auto"/>
                <w:highlight w:val="none"/>
                <w:lang w:val="en-US" w:eastAsia="zh-CN"/>
              </w:rPr>
              <w:t>T—用于计算等效声级的时间，s；</w:t>
            </w:r>
          </w:p>
          <w:p w14:paraId="6EF11009">
            <w:pPr>
              <w:bidi w:val="0"/>
              <w:rPr>
                <w:rFonts w:hint="eastAsia"/>
                <w:color w:val="auto"/>
                <w:highlight w:val="none"/>
                <w:lang w:val="en-US" w:eastAsia="zh-CN"/>
              </w:rPr>
            </w:pPr>
            <w:r>
              <w:rPr>
                <w:rFonts w:hint="eastAsia"/>
                <w:color w:val="auto"/>
                <w:highlight w:val="none"/>
                <w:lang w:val="en-US" w:eastAsia="zh-CN"/>
              </w:rPr>
              <w:t>N—室外声源个数；</w:t>
            </w:r>
          </w:p>
          <w:p w14:paraId="49531C04">
            <w:pPr>
              <w:bidi w:val="0"/>
              <w:rPr>
                <w:rFonts w:hint="eastAsia"/>
                <w:color w:val="auto"/>
                <w:highlight w:val="none"/>
                <w:lang w:val="en-US" w:eastAsia="zh-CN"/>
              </w:rPr>
            </w:pPr>
            <w:r>
              <w:rPr>
                <w:rFonts w:hint="eastAsia"/>
                <w:color w:val="auto"/>
                <w:highlight w:val="none"/>
                <w:lang w:val="en-US" w:eastAsia="zh-CN"/>
              </w:rPr>
              <w:t>M—等效室外声源个数。</w:t>
            </w:r>
          </w:p>
          <w:p w14:paraId="38220020">
            <w:pPr>
              <w:bidi w:val="0"/>
              <w:rPr>
                <w:rFonts w:hint="eastAsia"/>
                <w:color w:val="auto"/>
                <w:highlight w:val="none"/>
                <w:lang w:val="en-US" w:eastAsia="zh-CN"/>
              </w:rPr>
            </w:pPr>
            <w:r>
              <w:rPr>
                <w:rFonts w:hint="eastAsia"/>
                <w:color w:val="auto"/>
                <w:highlight w:val="none"/>
                <w:lang w:val="en-US" w:eastAsia="zh-CN"/>
              </w:rPr>
              <w:t>（4）计算噪声贡献值</w:t>
            </w:r>
          </w:p>
          <w:p w14:paraId="60B0A3F9">
            <w:pPr>
              <w:bidi w:val="0"/>
              <w:rPr>
                <w:rFonts w:hint="eastAsia"/>
                <w:color w:val="auto"/>
                <w:highlight w:val="none"/>
                <w:lang w:val="en-US" w:eastAsia="zh-CN"/>
              </w:rPr>
            </w:pPr>
            <w:r>
              <w:rPr>
                <w:rFonts w:hint="eastAsia"/>
                <w:color w:val="auto"/>
                <w:highlight w:val="none"/>
                <w:lang w:val="en-US" w:eastAsia="zh-CN"/>
              </w:rPr>
              <w:t>预测点的预测等效声级（Leq）计算公式：</w:t>
            </w:r>
          </w:p>
          <w:p w14:paraId="0D18CFA4">
            <w:pPr>
              <w:bidi w:val="0"/>
              <w:rPr>
                <w:rFonts w:hint="eastAsia"/>
                <w:color w:val="auto"/>
                <w:highlight w:val="none"/>
                <w:lang w:val="en-US" w:eastAsia="zh-CN"/>
              </w:rPr>
            </w:pPr>
            <m:oMathPara>
              <m:oMath>
                <m:r>
                  <m:rPr>
                    <m:sty m:val="p"/>
                  </m:rPr>
                  <w:rPr>
                    <w:rFonts w:hint="eastAsia" w:ascii="Cambria Math" w:hAnsi="Cambria Math"/>
                    <w:color w:val="auto"/>
                    <w:highlight w:val="none"/>
                    <w:lang w:val="en-US" w:eastAsia="zh-CN"/>
                  </w:rPr>
                  <m:t>Leq=10lg(</m:t>
                </m:r>
                <m:sSup>
                  <m:sSupPr>
                    <m:ctrlPr>
                      <w:rPr>
                        <w:rFonts w:hint="eastAsia" w:ascii="Cambria Math" w:hAnsi="Cambria Math"/>
                        <w:color w:val="auto"/>
                        <w:highlight w:val="none"/>
                        <w:lang w:val="en-US" w:eastAsia="zh-CN"/>
                      </w:rPr>
                    </m:ctrlPr>
                  </m:sSupPr>
                  <m:e>
                    <m:r>
                      <m:rPr>
                        <m:sty m:val="p"/>
                      </m:rPr>
                      <w:rPr>
                        <w:rFonts w:hint="eastAsia" w:ascii="Cambria Math" w:hAnsi="Cambria Math"/>
                        <w:color w:val="auto"/>
                        <w:highlight w:val="none"/>
                        <w:lang w:val="en-US" w:eastAsia="zh-CN"/>
                      </w:rPr>
                      <m:t>10</m:t>
                    </m:r>
                    <m:ctrlPr>
                      <w:rPr>
                        <w:rFonts w:hint="eastAsia" w:ascii="Cambria Math" w:hAnsi="Cambria Math"/>
                        <w:color w:val="auto"/>
                        <w:highlight w:val="none"/>
                        <w:lang w:val="en-US" w:eastAsia="zh-CN"/>
                      </w:rPr>
                    </m:ctrlPr>
                  </m:e>
                  <m:sup>
                    <m:r>
                      <m:rPr>
                        <m:sty m:val="p"/>
                      </m:rPr>
                      <w:rPr>
                        <w:rFonts w:hint="eastAsia" w:ascii="Cambria Math" w:hAnsi="Cambria Math"/>
                        <w:color w:val="auto"/>
                        <w:highlight w:val="none"/>
                        <w:lang w:val="en-US" w:eastAsia="zh-CN"/>
                      </w:rPr>
                      <m:t>0.1</m:t>
                    </m:r>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L</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eqg</m:t>
                        </m:r>
                        <m:ctrlPr>
                          <w:rPr>
                            <w:rFonts w:hint="eastAsia" w:ascii="Cambria Math" w:hAnsi="Cambria Math"/>
                            <w:color w:val="auto"/>
                            <w:highlight w:val="none"/>
                            <w:lang w:val="en-US" w:eastAsia="zh-CN"/>
                          </w:rPr>
                        </m:ctrlPr>
                      </m:sub>
                    </m:sSub>
                    <m:ctrlPr>
                      <w:rPr>
                        <w:rFonts w:hint="eastAsia" w:ascii="Cambria Math" w:hAnsi="Cambria Math"/>
                        <w:color w:val="auto"/>
                        <w:highlight w:val="none"/>
                        <w:lang w:val="en-US" w:eastAsia="zh-CN"/>
                      </w:rPr>
                    </m:ctrlPr>
                  </m:sup>
                </m:sSup>
                <m:r>
                  <m:rPr>
                    <m:sty m:val="p"/>
                  </m:rPr>
                  <w:rPr>
                    <w:rFonts w:hint="eastAsia" w:ascii="Cambria Math" w:hAnsi="Cambria Math"/>
                    <w:color w:val="auto"/>
                    <w:highlight w:val="none"/>
                    <w:lang w:val="en-US" w:eastAsia="zh-CN"/>
                  </w:rPr>
                  <m:t>+</m:t>
                </m:r>
                <m:sSup>
                  <m:sSupPr>
                    <m:ctrlPr>
                      <w:rPr>
                        <w:rFonts w:hint="eastAsia" w:ascii="Cambria Math" w:hAnsi="Cambria Math"/>
                        <w:color w:val="auto"/>
                        <w:highlight w:val="none"/>
                        <w:lang w:val="en-US" w:eastAsia="zh-CN"/>
                      </w:rPr>
                    </m:ctrlPr>
                  </m:sSupPr>
                  <m:e>
                    <m:r>
                      <m:rPr>
                        <m:sty m:val="p"/>
                      </m:rPr>
                      <w:rPr>
                        <w:rFonts w:hint="eastAsia" w:ascii="Cambria Math" w:hAnsi="Cambria Math"/>
                        <w:color w:val="auto"/>
                        <w:highlight w:val="none"/>
                        <w:lang w:val="en-US" w:eastAsia="zh-CN"/>
                      </w:rPr>
                      <m:t>10</m:t>
                    </m:r>
                    <m:ctrlPr>
                      <w:rPr>
                        <w:rFonts w:hint="eastAsia" w:ascii="Cambria Math" w:hAnsi="Cambria Math"/>
                        <w:color w:val="auto"/>
                        <w:highlight w:val="none"/>
                        <w:lang w:val="en-US" w:eastAsia="zh-CN"/>
                      </w:rPr>
                    </m:ctrlPr>
                  </m:e>
                  <m:sup>
                    <m:r>
                      <m:rPr>
                        <m:sty m:val="p"/>
                      </m:rPr>
                      <w:rPr>
                        <w:rFonts w:hint="eastAsia" w:ascii="Cambria Math" w:hAnsi="Cambria Math"/>
                        <w:color w:val="auto"/>
                        <w:highlight w:val="none"/>
                        <w:lang w:val="en-US" w:eastAsia="zh-CN"/>
                      </w:rPr>
                      <m:t>0.1</m:t>
                    </m:r>
                    <m:sSub>
                      <m:sSubPr>
                        <m:ctrlPr>
                          <w:rPr>
                            <w:rFonts w:hint="eastAsia" w:ascii="Cambria Math" w:hAnsi="Cambria Math"/>
                            <w:color w:val="auto"/>
                            <w:highlight w:val="none"/>
                            <w:lang w:val="en-US" w:eastAsia="zh-CN"/>
                          </w:rPr>
                        </m:ctrlPr>
                      </m:sSubPr>
                      <m:e>
                        <m:r>
                          <m:rPr>
                            <m:sty m:val="p"/>
                          </m:rPr>
                          <w:rPr>
                            <w:rFonts w:hint="eastAsia" w:ascii="Cambria Math" w:hAnsi="Cambria Math"/>
                            <w:color w:val="auto"/>
                            <w:highlight w:val="none"/>
                            <w:lang w:val="en-US" w:eastAsia="zh-CN"/>
                          </w:rPr>
                          <m:t>L</m:t>
                        </m:r>
                        <m:ctrlPr>
                          <w:rPr>
                            <w:rFonts w:hint="eastAsia" w:ascii="Cambria Math" w:hAnsi="Cambria Math"/>
                            <w:color w:val="auto"/>
                            <w:highlight w:val="none"/>
                            <w:lang w:val="en-US" w:eastAsia="zh-CN"/>
                          </w:rPr>
                        </m:ctrlPr>
                      </m:e>
                      <m:sub>
                        <m:r>
                          <m:rPr>
                            <m:sty m:val="p"/>
                          </m:rPr>
                          <w:rPr>
                            <w:rFonts w:hint="eastAsia" w:ascii="Cambria Math" w:hAnsi="Cambria Math"/>
                            <w:color w:val="auto"/>
                            <w:highlight w:val="none"/>
                            <w:lang w:val="en-US" w:eastAsia="zh-CN"/>
                          </w:rPr>
                          <m:t>eqb</m:t>
                        </m:r>
                        <m:ctrlPr>
                          <w:rPr>
                            <w:rFonts w:hint="eastAsia" w:ascii="Cambria Math" w:hAnsi="Cambria Math"/>
                            <w:color w:val="auto"/>
                            <w:highlight w:val="none"/>
                            <w:lang w:val="en-US" w:eastAsia="zh-CN"/>
                          </w:rPr>
                        </m:ctrlPr>
                      </m:sub>
                    </m:sSub>
                    <m:ctrlPr>
                      <w:rPr>
                        <w:rFonts w:hint="eastAsia" w:ascii="Cambria Math" w:hAnsi="Cambria Math"/>
                        <w:color w:val="auto"/>
                        <w:highlight w:val="none"/>
                        <w:lang w:val="en-US" w:eastAsia="zh-CN"/>
                      </w:rPr>
                    </m:ctrlPr>
                  </m:sup>
                </m:sSup>
                <m:r>
                  <m:rPr>
                    <m:sty m:val="p"/>
                  </m:rPr>
                  <w:rPr>
                    <w:rFonts w:hint="eastAsia" w:ascii="Cambria Math" w:hAnsi="Cambria Math"/>
                    <w:color w:val="auto"/>
                    <w:highlight w:val="none"/>
                    <w:lang w:val="en-US" w:eastAsia="zh-CN"/>
                  </w:rPr>
                  <m:t>)</m:t>
                </m:r>
              </m:oMath>
            </m:oMathPara>
          </w:p>
          <w:p w14:paraId="365D23CE">
            <w:pPr>
              <w:bidi w:val="0"/>
              <w:rPr>
                <w:rFonts w:hint="eastAsia"/>
                <w:color w:val="auto"/>
                <w:highlight w:val="none"/>
                <w:lang w:val="en-US" w:eastAsia="zh-CN"/>
              </w:rPr>
            </w:pPr>
            <w:r>
              <w:rPr>
                <w:rFonts w:hint="eastAsia"/>
                <w:color w:val="auto"/>
                <w:highlight w:val="none"/>
                <w:lang w:val="en-US" w:eastAsia="zh-CN"/>
              </w:rPr>
              <w:t>式中：Leq----噪声源贡献值与背景噪声叠加值，dB（A）；</w:t>
            </w:r>
          </w:p>
          <w:p w14:paraId="0B91C5B3">
            <w:pPr>
              <w:bidi w:val="0"/>
              <w:rPr>
                <w:rFonts w:hint="eastAsia"/>
                <w:color w:val="auto"/>
                <w:highlight w:val="none"/>
                <w:lang w:val="en-US" w:eastAsia="zh-CN"/>
              </w:rPr>
            </w:pPr>
            <w:r>
              <w:rPr>
                <w:rFonts w:hint="eastAsia"/>
                <w:color w:val="auto"/>
                <w:highlight w:val="none"/>
                <w:lang w:val="en-US" w:eastAsia="zh-CN"/>
              </w:rPr>
              <w:t>Leqg----建设项目声源在预测点的等效声级贡献值，dB（A）；</w:t>
            </w:r>
          </w:p>
          <w:p w14:paraId="7C6BEB4A">
            <w:pPr>
              <w:bidi w:val="0"/>
              <w:rPr>
                <w:rFonts w:hint="eastAsia"/>
                <w:color w:val="auto"/>
                <w:highlight w:val="none"/>
                <w:lang w:val="en-US" w:eastAsia="zh-CN"/>
              </w:rPr>
            </w:pPr>
            <w:r>
              <w:rPr>
                <w:rFonts w:hint="eastAsia"/>
                <w:color w:val="auto"/>
                <w:highlight w:val="none"/>
                <w:lang w:val="en-US" w:eastAsia="zh-CN"/>
              </w:rPr>
              <w:t>Leqb----预测点的背景值，dB（A）。</w:t>
            </w:r>
          </w:p>
          <w:p w14:paraId="19D0CBDB">
            <w:pPr>
              <w:bidi w:val="0"/>
              <w:rPr>
                <w:rFonts w:hint="eastAsia"/>
                <w:b/>
                <w:bCs/>
                <w:color w:val="auto"/>
                <w:highlight w:val="none"/>
                <w:lang w:val="en-US" w:eastAsia="zh-CN"/>
              </w:rPr>
            </w:pPr>
            <w:r>
              <w:rPr>
                <w:rFonts w:hint="eastAsia"/>
                <w:b/>
                <w:bCs/>
                <w:color w:val="auto"/>
                <w:highlight w:val="none"/>
                <w:lang w:val="en-US" w:eastAsia="zh-CN"/>
              </w:rPr>
              <w:t>3、噪声预测结果及评价</w:t>
            </w:r>
          </w:p>
          <w:p w14:paraId="3FF016D2">
            <w:pPr>
              <w:bidi w:val="0"/>
              <w:rPr>
                <w:rFonts w:hint="eastAsia"/>
                <w:color w:val="auto"/>
                <w:highlight w:val="none"/>
                <w:lang w:val="en-US" w:eastAsia="zh-CN"/>
              </w:rPr>
            </w:pPr>
            <w:r>
              <w:rPr>
                <w:rFonts w:hint="eastAsia"/>
                <w:color w:val="auto"/>
                <w:highlight w:val="none"/>
                <w:lang w:val="en-US" w:eastAsia="zh-CN"/>
              </w:rPr>
              <w:t>根据预测方法，对项目运行后厂界噪声贡献值进行预测，预测结果见表4-5。</w:t>
            </w:r>
          </w:p>
          <w:p w14:paraId="371E8B81">
            <w:pPr>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表4-5噪声预测结果</w:t>
            </w:r>
          </w:p>
          <w:tbl>
            <w:tblPr>
              <w:tblStyle w:val="26"/>
              <w:tblW w:w="79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64"/>
              <w:gridCol w:w="800"/>
              <w:gridCol w:w="827"/>
              <w:gridCol w:w="796"/>
              <w:gridCol w:w="520"/>
              <w:gridCol w:w="704"/>
              <w:gridCol w:w="755"/>
              <w:gridCol w:w="889"/>
              <w:gridCol w:w="793"/>
              <w:gridCol w:w="430"/>
              <w:gridCol w:w="701"/>
            </w:tblGrid>
            <w:tr w14:paraId="14B36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478" w:type="pct"/>
                  <w:vMerge w:val="restart"/>
                  <w:tcBorders>
                    <w:tl2br w:val="nil"/>
                    <w:tr2bl w:val="nil"/>
                  </w:tcBorders>
                  <w:noWrap w:val="0"/>
                  <w:vAlign w:val="center"/>
                </w:tcPr>
                <w:p w14:paraId="3532BC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监测点位</w:t>
                  </w:r>
                </w:p>
              </w:tc>
              <w:tc>
                <w:tcPr>
                  <w:tcW w:w="2285" w:type="pct"/>
                  <w:gridSpan w:val="5"/>
                  <w:tcBorders>
                    <w:tl2br w:val="nil"/>
                    <w:tr2bl w:val="nil"/>
                  </w:tcBorders>
                  <w:noWrap w:val="0"/>
                  <w:vAlign w:val="center"/>
                </w:tcPr>
                <w:p w14:paraId="4B1223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昼间</w:t>
                  </w:r>
                </w:p>
              </w:tc>
              <w:tc>
                <w:tcPr>
                  <w:tcW w:w="2235" w:type="pct"/>
                  <w:gridSpan w:val="5"/>
                  <w:tcBorders>
                    <w:tl2br w:val="nil"/>
                    <w:tr2bl w:val="nil"/>
                  </w:tcBorders>
                  <w:noWrap w:val="0"/>
                  <w:vAlign w:val="center"/>
                </w:tcPr>
                <w:p w14:paraId="7C3EC2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夜间</w:t>
                  </w:r>
                </w:p>
              </w:tc>
            </w:tr>
            <w:tr w14:paraId="6C067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478" w:type="pct"/>
                  <w:vMerge w:val="continue"/>
                  <w:tcBorders>
                    <w:tl2br w:val="nil"/>
                    <w:tr2bl w:val="nil"/>
                  </w:tcBorders>
                  <w:noWrap w:val="0"/>
                  <w:vAlign w:val="center"/>
                </w:tcPr>
                <w:p w14:paraId="6088B63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p>
              </w:tc>
              <w:tc>
                <w:tcPr>
                  <w:tcW w:w="501" w:type="pct"/>
                  <w:tcBorders>
                    <w:right w:val="single" w:color="000000" w:sz="4" w:space="0"/>
                    <w:tl2br w:val="nil"/>
                    <w:tr2bl w:val="nil"/>
                  </w:tcBorders>
                  <w:noWrap w:val="0"/>
                  <w:vAlign w:val="center"/>
                </w:tcPr>
                <w:p w14:paraId="7EFF61C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贡献值</w:t>
                  </w:r>
                </w:p>
              </w:tc>
              <w:tc>
                <w:tcPr>
                  <w:tcW w:w="518" w:type="pct"/>
                  <w:tcBorders>
                    <w:left w:val="single" w:color="000000" w:sz="4" w:space="0"/>
                    <w:right w:val="single" w:color="000000" w:sz="4" w:space="0"/>
                    <w:tl2br w:val="nil"/>
                    <w:tr2bl w:val="nil"/>
                  </w:tcBorders>
                  <w:noWrap w:val="0"/>
                  <w:vAlign w:val="center"/>
                </w:tcPr>
                <w:p w14:paraId="2E23F4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现状值</w:t>
                  </w:r>
                </w:p>
              </w:tc>
              <w:tc>
                <w:tcPr>
                  <w:tcW w:w="498" w:type="pct"/>
                  <w:tcBorders>
                    <w:left w:val="single" w:color="000000" w:sz="4" w:space="0"/>
                    <w:tl2br w:val="nil"/>
                    <w:tr2bl w:val="nil"/>
                  </w:tcBorders>
                  <w:noWrap w:val="0"/>
                  <w:vAlign w:val="center"/>
                </w:tcPr>
                <w:p w14:paraId="4A3B72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预测值</w:t>
                  </w:r>
                </w:p>
              </w:tc>
              <w:tc>
                <w:tcPr>
                  <w:tcW w:w="325" w:type="pct"/>
                  <w:tcBorders>
                    <w:tl2br w:val="nil"/>
                    <w:tr2bl w:val="nil"/>
                  </w:tcBorders>
                  <w:noWrap w:val="0"/>
                  <w:vAlign w:val="center"/>
                </w:tcPr>
                <w:p w14:paraId="544666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标准</w:t>
                  </w:r>
                </w:p>
              </w:tc>
              <w:tc>
                <w:tcPr>
                  <w:tcW w:w="441" w:type="pct"/>
                  <w:tcBorders>
                    <w:tl2br w:val="nil"/>
                    <w:tr2bl w:val="nil"/>
                  </w:tcBorders>
                  <w:noWrap w:val="0"/>
                  <w:vAlign w:val="center"/>
                </w:tcPr>
                <w:p w14:paraId="5AB6196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达标情况</w:t>
                  </w:r>
                </w:p>
              </w:tc>
              <w:tc>
                <w:tcPr>
                  <w:tcW w:w="473" w:type="pct"/>
                  <w:tcBorders>
                    <w:right w:val="single" w:color="000000" w:sz="4" w:space="0"/>
                    <w:tl2br w:val="nil"/>
                    <w:tr2bl w:val="nil"/>
                  </w:tcBorders>
                  <w:noWrap w:val="0"/>
                  <w:vAlign w:val="center"/>
                </w:tcPr>
                <w:p w14:paraId="5A2B487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贡献值</w:t>
                  </w:r>
                </w:p>
              </w:tc>
              <w:tc>
                <w:tcPr>
                  <w:tcW w:w="557" w:type="pct"/>
                  <w:tcBorders>
                    <w:left w:val="single" w:color="000000" w:sz="4" w:space="0"/>
                    <w:tl2br w:val="nil"/>
                    <w:tr2bl w:val="nil"/>
                  </w:tcBorders>
                  <w:noWrap w:val="0"/>
                  <w:vAlign w:val="center"/>
                </w:tcPr>
                <w:p w14:paraId="6DD423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现状值</w:t>
                  </w:r>
                </w:p>
              </w:tc>
              <w:tc>
                <w:tcPr>
                  <w:tcW w:w="496" w:type="pct"/>
                  <w:tcBorders>
                    <w:right w:val="single" w:color="000000" w:sz="4" w:space="0"/>
                    <w:tl2br w:val="nil"/>
                    <w:tr2bl w:val="nil"/>
                  </w:tcBorders>
                  <w:noWrap w:val="0"/>
                  <w:vAlign w:val="center"/>
                </w:tcPr>
                <w:p w14:paraId="7824EC5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预测值</w:t>
                  </w:r>
                </w:p>
              </w:tc>
              <w:tc>
                <w:tcPr>
                  <w:tcW w:w="269" w:type="pct"/>
                  <w:tcBorders>
                    <w:left w:val="single" w:color="000000" w:sz="4" w:space="0"/>
                    <w:tl2br w:val="nil"/>
                    <w:tr2bl w:val="nil"/>
                  </w:tcBorders>
                  <w:noWrap w:val="0"/>
                  <w:vAlign w:val="center"/>
                </w:tcPr>
                <w:p w14:paraId="7D5D08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标准</w:t>
                  </w:r>
                </w:p>
              </w:tc>
              <w:tc>
                <w:tcPr>
                  <w:tcW w:w="439" w:type="pct"/>
                  <w:tcBorders>
                    <w:tl2br w:val="nil"/>
                    <w:tr2bl w:val="nil"/>
                  </w:tcBorders>
                  <w:noWrap w:val="0"/>
                  <w:vAlign w:val="center"/>
                </w:tcPr>
                <w:p w14:paraId="0D1583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达标情况</w:t>
                  </w:r>
                </w:p>
              </w:tc>
            </w:tr>
            <w:tr w14:paraId="1C1BB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478" w:type="pct"/>
                  <w:tcBorders>
                    <w:tl2br w:val="nil"/>
                    <w:tr2bl w:val="nil"/>
                  </w:tcBorders>
                  <w:noWrap w:val="0"/>
                  <w:vAlign w:val="center"/>
                </w:tcPr>
                <w:p w14:paraId="537C33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东厂界</w:t>
                  </w:r>
                </w:p>
              </w:tc>
              <w:tc>
                <w:tcPr>
                  <w:tcW w:w="501" w:type="pct"/>
                  <w:tcBorders>
                    <w:right w:val="single" w:color="000000" w:sz="4" w:space="0"/>
                    <w:tl2br w:val="nil"/>
                    <w:tr2bl w:val="nil"/>
                  </w:tcBorders>
                  <w:noWrap w:val="0"/>
                  <w:vAlign w:val="center"/>
                </w:tcPr>
                <w:p w14:paraId="125B33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32.28</w:t>
                  </w:r>
                </w:p>
              </w:tc>
              <w:tc>
                <w:tcPr>
                  <w:tcW w:w="518" w:type="pct"/>
                  <w:tcBorders>
                    <w:left w:val="single" w:color="000000" w:sz="4" w:space="0"/>
                    <w:right w:val="single" w:color="000000" w:sz="4" w:space="0"/>
                    <w:tl2br w:val="nil"/>
                    <w:tr2bl w:val="nil"/>
                  </w:tcBorders>
                  <w:noWrap w:val="0"/>
                  <w:vAlign w:val="center"/>
                </w:tcPr>
                <w:p w14:paraId="1ECD68C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54.00</w:t>
                  </w:r>
                </w:p>
              </w:tc>
              <w:tc>
                <w:tcPr>
                  <w:tcW w:w="498" w:type="pct"/>
                  <w:tcBorders>
                    <w:left w:val="single" w:color="000000" w:sz="4" w:space="0"/>
                    <w:tl2br w:val="nil"/>
                    <w:tr2bl w:val="nil"/>
                  </w:tcBorders>
                  <w:noWrap w:val="0"/>
                  <w:vAlign w:val="center"/>
                </w:tcPr>
                <w:p w14:paraId="1CB545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54.03</w:t>
                  </w:r>
                </w:p>
              </w:tc>
              <w:tc>
                <w:tcPr>
                  <w:tcW w:w="325" w:type="pct"/>
                  <w:tcBorders>
                    <w:tl2br w:val="nil"/>
                    <w:tr2bl w:val="nil"/>
                  </w:tcBorders>
                  <w:noWrap w:val="0"/>
                  <w:vAlign w:val="center"/>
                </w:tcPr>
                <w:p w14:paraId="524892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65</w:t>
                  </w:r>
                </w:p>
              </w:tc>
              <w:tc>
                <w:tcPr>
                  <w:tcW w:w="441" w:type="pct"/>
                  <w:tcBorders>
                    <w:tl2br w:val="nil"/>
                    <w:tr2bl w:val="nil"/>
                  </w:tcBorders>
                  <w:noWrap w:val="0"/>
                  <w:vAlign w:val="center"/>
                </w:tcPr>
                <w:p w14:paraId="4975B1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c>
                <w:tcPr>
                  <w:tcW w:w="473" w:type="pct"/>
                  <w:tcBorders>
                    <w:right w:val="single" w:color="000000" w:sz="4" w:space="0"/>
                    <w:tl2br w:val="nil"/>
                    <w:tr2bl w:val="nil"/>
                  </w:tcBorders>
                  <w:noWrap w:val="0"/>
                  <w:vAlign w:val="center"/>
                </w:tcPr>
                <w:p w14:paraId="6C3C18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29.57</w:t>
                  </w:r>
                </w:p>
              </w:tc>
              <w:tc>
                <w:tcPr>
                  <w:tcW w:w="557" w:type="pct"/>
                  <w:tcBorders>
                    <w:left w:val="single" w:color="000000" w:sz="4" w:space="0"/>
                    <w:tl2br w:val="nil"/>
                    <w:tr2bl w:val="nil"/>
                  </w:tcBorders>
                  <w:noWrap w:val="0"/>
                  <w:vAlign w:val="center"/>
                </w:tcPr>
                <w:p w14:paraId="6350285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44.00</w:t>
                  </w:r>
                </w:p>
              </w:tc>
              <w:tc>
                <w:tcPr>
                  <w:tcW w:w="496" w:type="pct"/>
                  <w:tcBorders>
                    <w:right w:val="single" w:color="000000" w:sz="4" w:space="0"/>
                    <w:tl2br w:val="nil"/>
                    <w:tr2bl w:val="nil"/>
                  </w:tcBorders>
                  <w:noWrap w:val="0"/>
                  <w:vAlign w:val="center"/>
                </w:tcPr>
                <w:p w14:paraId="7AC241F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44.15</w:t>
                  </w:r>
                </w:p>
              </w:tc>
              <w:tc>
                <w:tcPr>
                  <w:tcW w:w="269" w:type="pct"/>
                  <w:tcBorders>
                    <w:left w:val="single" w:color="000000" w:sz="4" w:space="0"/>
                    <w:tl2br w:val="nil"/>
                    <w:tr2bl w:val="nil"/>
                  </w:tcBorders>
                  <w:noWrap w:val="0"/>
                  <w:vAlign w:val="center"/>
                </w:tcPr>
                <w:p w14:paraId="5A8200F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55</w:t>
                  </w:r>
                </w:p>
              </w:tc>
              <w:tc>
                <w:tcPr>
                  <w:tcW w:w="439" w:type="pct"/>
                  <w:tcBorders>
                    <w:tl2br w:val="nil"/>
                    <w:tr2bl w:val="nil"/>
                  </w:tcBorders>
                  <w:noWrap w:val="0"/>
                  <w:vAlign w:val="center"/>
                </w:tcPr>
                <w:p w14:paraId="65B71BE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r>
            <w:tr w14:paraId="1B79AE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478" w:type="pct"/>
                  <w:tcBorders>
                    <w:tl2br w:val="nil"/>
                    <w:tr2bl w:val="nil"/>
                  </w:tcBorders>
                  <w:noWrap w:val="0"/>
                  <w:vAlign w:val="center"/>
                </w:tcPr>
                <w:p w14:paraId="26E3AB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南厂界</w:t>
                  </w:r>
                </w:p>
              </w:tc>
              <w:tc>
                <w:tcPr>
                  <w:tcW w:w="501" w:type="pct"/>
                  <w:tcBorders>
                    <w:right w:val="single" w:color="000000" w:sz="4" w:space="0"/>
                    <w:tl2br w:val="nil"/>
                    <w:tr2bl w:val="nil"/>
                  </w:tcBorders>
                  <w:noWrap w:val="0"/>
                  <w:vAlign w:val="center"/>
                </w:tcPr>
                <w:p w14:paraId="1A33347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39.13</w:t>
                  </w:r>
                </w:p>
              </w:tc>
              <w:tc>
                <w:tcPr>
                  <w:tcW w:w="518" w:type="pct"/>
                  <w:tcBorders>
                    <w:left w:val="single" w:color="000000" w:sz="4" w:space="0"/>
                    <w:right w:val="single" w:color="000000" w:sz="4" w:space="0"/>
                    <w:tl2br w:val="nil"/>
                    <w:tr2bl w:val="nil"/>
                  </w:tcBorders>
                  <w:noWrap w:val="0"/>
                  <w:vAlign w:val="center"/>
                </w:tcPr>
                <w:p w14:paraId="70B62BD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53.00</w:t>
                  </w:r>
                </w:p>
              </w:tc>
              <w:tc>
                <w:tcPr>
                  <w:tcW w:w="498" w:type="pct"/>
                  <w:tcBorders>
                    <w:left w:val="single" w:color="000000" w:sz="4" w:space="0"/>
                    <w:tl2br w:val="nil"/>
                    <w:tr2bl w:val="nil"/>
                  </w:tcBorders>
                  <w:noWrap w:val="0"/>
                  <w:vAlign w:val="center"/>
                </w:tcPr>
                <w:p w14:paraId="1DF3437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53.17</w:t>
                  </w:r>
                </w:p>
              </w:tc>
              <w:tc>
                <w:tcPr>
                  <w:tcW w:w="325" w:type="pct"/>
                  <w:tcBorders>
                    <w:tl2br w:val="nil"/>
                    <w:tr2bl w:val="nil"/>
                  </w:tcBorders>
                  <w:noWrap w:val="0"/>
                  <w:vAlign w:val="center"/>
                </w:tcPr>
                <w:p w14:paraId="507F57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65</w:t>
                  </w:r>
                </w:p>
              </w:tc>
              <w:tc>
                <w:tcPr>
                  <w:tcW w:w="441" w:type="pct"/>
                  <w:tcBorders>
                    <w:tl2br w:val="nil"/>
                    <w:tr2bl w:val="nil"/>
                  </w:tcBorders>
                  <w:noWrap w:val="0"/>
                  <w:vAlign w:val="center"/>
                </w:tcPr>
                <w:p w14:paraId="07026B6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c>
                <w:tcPr>
                  <w:tcW w:w="473" w:type="pct"/>
                  <w:tcBorders>
                    <w:right w:val="single" w:color="000000" w:sz="4" w:space="0"/>
                    <w:tl2br w:val="nil"/>
                    <w:tr2bl w:val="nil"/>
                  </w:tcBorders>
                  <w:noWrap w:val="0"/>
                  <w:vAlign w:val="center"/>
                </w:tcPr>
                <w:p w14:paraId="2659CE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38.89</w:t>
                  </w:r>
                </w:p>
              </w:tc>
              <w:tc>
                <w:tcPr>
                  <w:tcW w:w="557" w:type="pct"/>
                  <w:tcBorders>
                    <w:left w:val="single" w:color="000000" w:sz="4" w:space="0"/>
                    <w:tl2br w:val="nil"/>
                    <w:tr2bl w:val="nil"/>
                  </w:tcBorders>
                  <w:noWrap w:val="0"/>
                  <w:vAlign w:val="center"/>
                </w:tcPr>
                <w:p w14:paraId="1DF9FE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45.00</w:t>
                  </w:r>
                </w:p>
              </w:tc>
              <w:tc>
                <w:tcPr>
                  <w:tcW w:w="496" w:type="pct"/>
                  <w:tcBorders>
                    <w:right w:val="single" w:color="000000" w:sz="4" w:space="0"/>
                    <w:tl2br w:val="nil"/>
                    <w:tr2bl w:val="nil"/>
                  </w:tcBorders>
                  <w:noWrap w:val="0"/>
                  <w:vAlign w:val="center"/>
                </w:tcPr>
                <w:p w14:paraId="3D24B1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45.95</w:t>
                  </w:r>
                </w:p>
              </w:tc>
              <w:tc>
                <w:tcPr>
                  <w:tcW w:w="269" w:type="pct"/>
                  <w:tcBorders>
                    <w:left w:val="single" w:color="000000" w:sz="4" w:space="0"/>
                    <w:tl2br w:val="nil"/>
                    <w:tr2bl w:val="nil"/>
                  </w:tcBorders>
                  <w:noWrap w:val="0"/>
                  <w:vAlign w:val="center"/>
                </w:tcPr>
                <w:p w14:paraId="7FCB246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55</w:t>
                  </w:r>
                </w:p>
              </w:tc>
              <w:tc>
                <w:tcPr>
                  <w:tcW w:w="439" w:type="pct"/>
                  <w:tcBorders>
                    <w:tl2br w:val="nil"/>
                    <w:tr2bl w:val="nil"/>
                  </w:tcBorders>
                  <w:noWrap w:val="0"/>
                  <w:vAlign w:val="center"/>
                </w:tcPr>
                <w:p w14:paraId="146B91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r>
            <w:tr w14:paraId="29C0C5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478" w:type="pct"/>
                  <w:tcBorders>
                    <w:tl2br w:val="nil"/>
                    <w:tr2bl w:val="nil"/>
                  </w:tcBorders>
                  <w:noWrap w:val="0"/>
                  <w:vAlign w:val="center"/>
                </w:tcPr>
                <w:p w14:paraId="083E5B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西厂界</w:t>
                  </w:r>
                </w:p>
              </w:tc>
              <w:tc>
                <w:tcPr>
                  <w:tcW w:w="501" w:type="pct"/>
                  <w:tcBorders>
                    <w:right w:val="single" w:color="000000" w:sz="4" w:space="0"/>
                    <w:tl2br w:val="nil"/>
                    <w:tr2bl w:val="nil"/>
                  </w:tcBorders>
                  <w:noWrap w:val="0"/>
                  <w:vAlign w:val="center"/>
                </w:tcPr>
                <w:p w14:paraId="14FDA7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36.07</w:t>
                  </w:r>
                </w:p>
              </w:tc>
              <w:tc>
                <w:tcPr>
                  <w:tcW w:w="518" w:type="pct"/>
                  <w:tcBorders>
                    <w:left w:val="single" w:color="000000" w:sz="4" w:space="0"/>
                    <w:right w:val="single" w:color="000000" w:sz="4" w:space="0"/>
                    <w:tl2br w:val="nil"/>
                    <w:tr2bl w:val="nil"/>
                  </w:tcBorders>
                  <w:noWrap w:val="0"/>
                  <w:vAlign w:val="center"/>
                </w:tcPr>
                <w:p w14:paraId="4C16DBC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52.00</w:t>
                  </w:r>
                </w:p>
              </w:tc>
              <w:tc>
                <w:tcPr>
                  <w:tcW w:w="498" w:type="pct"/>
                  <w:tcBorders>
                    <w:left w:val="single" w:color="000000" w:sz="4" w:space="0"/>
                    <w:tl2br w:val="nil"/>
                    <w:tr2bl w:val="nil"/>
                  </w:tcBorders>
                  <w:noWrap w:val="0"/>
                  <w:vAlign w:val="center"/>
                </w:tcPr>
                <w:p w14:paraId="4CA389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52.11</w:t>
                  </w:r>
                </w:p>
              </w:tc>
              <w:tc>
                <w:tcPr>
                  <w:tcW w:w="325" w:type="pct"/>
                  <w:tcBorders>
                    <w:tl2br w:val="nil"/>
                    <w:tr2bl w:val="nil"/>
                  </w:tcBorders>
                  <w:noWrap w:val="0"/>
                  <w:vAlign w:val="center"/>
                </w:tcPr>
                <w:p w14:paraId="3FF04F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65</w:t>
                  </w:r>
                </w:p>
              </w:tc>
              <w:tc>
                <w:tcPr>
                  <w:tcW w:w="441" w:type="pct"/>
                  <w:tcBorders>
                    <w:tl2br w:val="nil"/>
                    <w:tr2bl w:val="nil"/>
                  </w:tcBorders>
                  <w:noWrap w:val="0"/>
                  <w:vAlign w:val="center"/>
                </w:tcPr>
                <w:p w14:paraId="411853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c>
                <w:tcPr>
                  <w:tcW w:w="473" w:type="pct"/>
                  <w:tcBorders>
                    <w:right w:val="single" w:color="000000" w:sz="4" w:space="0"/>
                    <w:tl2br w:val="nil"/>
                    <w:tr2bl w:val="nil"/>
                  </w:tcBorders>
                  <w:noWrap w:val="0"/>
                  <w:vAlign w:val="center"/>
                </w:tcPr>
                <w:p w14:paraId="64AC42F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35.26</w:t>
                  </w:r>
                </w:p>
              </w:tc>
              <w:tc>
                <w:tcPr>
                  <w:tcW w:w="557" w:type="pct"/>
                  <w:tcBorders>
                    <w:left w:val="single" w:color="000000" w:sz="4" w:space="0"/>
                    <w:tl2br w:val="nil"/>
                    <w:tr2bl w:val="nil"/>
                  </w:tcBorders>
                  <w:noWrap w:val="0"/>
                  <w:vAlign w:val="center"/>
                </w:tcPr>
                <w:p w14:paraId="53A170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45.00</w:t>
                  </w:r>
                </w:p>
              </w:tc>
              <w:tc>
                <w:tcPr>
                  <w:tcW w:w="496" w:type="pct"/>
                  <w:tcBorders>
                    <w:right w:val="single" w:color="000000" w:sz="4" w:space="0"/>
                    <w:tl2br w:val="nil"/>
                    <w:tr2bl w:val="nil"/>
                  </w:tcBorders>
                  <w:noWrap w:val="0"/>
                  <w:vAlign w:val="center"/>
                </w:tcPr>
                <w:p w14:paraId="352DC10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45.44</w:t>
                  </w:r>
                </w:p>
              </w:tc>
              <w:tc>
                <w:tcPr>
                  <w:tcW w:w="269" w:type="pct"/>
                  <w:tcBorders>
                    <w:left w:val="single" w:color="000000" w:sz="4" w:space="0"/>
                    <w:tl2br w:val="nil"/>
                    <w:tr2bl w:val="nil"/>
                  </w:tcBorders>
                  <w:noWrap w:val="0"/>
                  <w:vAlign w:val="center"/>
                </w:tcPr>
                <w:p w14:paraId="1699F4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55</w:t>
                  </w:r>
                </w:p>
              </w:tc>
              <w:tc>
                <w:tcPr>
                  <w:tcW w:w="439" w:type="pct"/>
                  <w:tcBorders>
                    <w:tl2br w:val="nil"/>
                    <w:tr2bl w:val="nil"/>
                  </w:tcBorders>
                  <w:noWrap w:val="0"/>
                  <w:vAlign w:val="center"/>
                </w:tcPr>
                <w:p w14:paraId="3EAD7C5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r>
            <w:tr w14:paraId="0FAFE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478" w:type="pct"/>
                  <w:tcBorders>
                    <w:tl2br w:val="nil"/>
                    <w:tr2bl w:val="nil"/>
                  </w:tcBorders>
                  <w:noWrap w:val="0"/>
                  <w:vAlign w:val="center"/>
                </w:tcPr>
                <w:p w14:paraId="2206D4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北厂界</w:t>
                  </w:r>
                </w:p>
              </w:tc>
              <w:tc>
                <w:tcPr>
                  <w:tcW w:w="501" w:type="pct"/>
                  <w:tcBorders>
                    <w:right w:val="single" w:color="000000" w:sz="4" w:space="0"/>
                    <w:tl2br w:val="nil"/>
                    <w:tr2bl w:val="nil"/>
                  </w:tcBorders>
                  <w:noWrap w:val="0"/>
                  <w:vAlign w:val="center"/>
                </w:tcPr>
                <w:p w14:paraId="6800F6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40.22</w:t>
                  </w:r>
                </w:p>
              </w:tc>
              <w:tc>
                <w:tcPr>
                  <w:tcW w:w="518" w:type="pct"/>
                  <w:tcBorders>
                    <w:left w:val="single" w:color="000000" w:sz="4" w:space="0"/>
                    <w:right w:val="single" w:color="000000" w:sz="4" w:space="0"/>
                    <w:tl2br w:val="nil"/>
                    <w:tr2bl w:val="nil"/>
                  </w:tcBorders>
                  <w:noWrap w:val="0"/>
                  <w:vAlign w:val="center"/>
                </w:tcPr>
                <w:p w14:paraId="7EE9F53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52.00</w:t>
                  </w:r>
                </w:p>
              </w:tc>
              <w:tc>
                <w:tcPr>
                  <w:tcW w:w="498" w:type="pct"/>
                  <w:tcBorders>
                    <w:left w:val="single" w:color="000000" w:sz="4" w:space="0"/>
                    <w:tl2br w:val="nil"/>
                    <w:tr2bl w:val="nil"/>
                  </w:tcBorders>
                  <w:noWrap w:val="0"/>
                  <w:vAlign w:val="center"/>
                </w:tcPr>
                <w:p w14:paraId="3AAD9E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52.28</w:t>
                  </w:r>
                </w:p>
              </w:tc>
              <w:tc>
                <w:tcPr>
                  <w:tcW w:w="325" w:type="pct"/>
                  <w:tcBorders>
                    <w:tl2br w:val="nil"/>
                    <w:tr2bl w:val="nil"/>
                  </w:tcBorders>
                  <w:noWrap w:val="0"/>
                  <w:vAlign w:val="center"/>
                </w:tcPr>
                <w:p w14:paraId="72F66E2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65</w:t>
                  </w:r>
                </w:p>
              </w:tc>
              <w:tc>
                <w:tcPr>
                  <w:tcW w:w="441" w:type="pct"/>
                  <w:tcBorders>
                    <w:tl2br w:val="nil"/>
                    <w:tr2bl w:val="nil"/>
                  </w:tcBorders>
                  <w:noWrap w:val="0"/>
                  <w:vAlign w:val="center"/>
                </w:tcPr>
                <w:p w14:paraId="741EE6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c>
                <w:tcPr>
                  <w:tcW w:w="473" w:type="pct"/>
                  <w:tcBorders>
                    <w:right w:val="single" w:color="000000" w:sz="4" w:space="0"/>
                    <w:tl2br w:val="nil"/>
                    <w:tr2bl w:val="nil"/>
                  </w:tcBorders>
                  <w:noWrap w:val="0"/>
                  <w:vAlign w:val="center"/>
                </w:tcPr>
                <w:p w14:paraId="72F7254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39.99</w:t>
                  </w:r>
                </w:p>
              </w:tc>
              <w:tc>
                <w:tcPr>
                  <w:tcW w:w="557" w:type="pct"/>
                  <w:tcBorders>
                    <w:left w:val="single" w:color="000000" w:sz="4" w:space="0"/>
                    <w:tl2br w:val="nil"/>
                    <w:tr2bl w:val="nil"/>
                  </w:tcBorders>
                  <w:noWrap w:val="0"/>
                  <w:vAlign w:val="center"/>
                </w:tcPr>
                <w:p w14:paraId="4150D9C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43.00</w:t>
                  </w:r>
                </w:p>
              </w:tc>
              <w:tc>
                <w:tcPr>
                  <w:tcW w:w="496" w:type="pct"/>
                  <w:tcBorders>
                    <w:right w:val="single" w:color="000000" w:sz="4" w:space="0"/>
                    <w:tl2br w:val="nil"/>
                    <w:tr2bl w:val="nil"/>
                  </w:tcBorders>
                  <w:noWrap w:val="0"/>
                  <w:vAlign w:val="center"/>
                </w:tcPr>
                <w:p w14:paraId="2B2D87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44.76</w:t>
                  </w:r>
                </w:p>
              </w:tc>
              <w:tc>
                <w:tcPr>
                  <w:tcW w:w="269" w:type="pct"/>
                  <w:tcBorders>
                    <w:left w:val="single" w:color="000000" w:sz="4" w:space="0"/>
                    <w:tl2br w:val="nil"/>
                    <w:tr2bl w:val="nil"/>
                  </w:tcBorders>
                  <w:noWrap w:val="0"/>
                  <w:vAlign w:val="center"/>
                </w:tcPr>
                <w:p w14:paraId="516EA4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55</w:t>
                  </w:r>
                </w:p>
              </w:tc>
              <w:tc>
                <w:tcPr>
                  <w:tcW w:w="439" w:type="pct"/>
                  <w:tcBorders>
                    <w:tl2br w:val="nil"/>
                    <w:tr2bl w:val="nil"/>
                  </w:tcBorders>
                  <w:noWrap w:val="0"/>
                  <w:vAlign w:val="center"/>
                </w:tcPr>
                <w:p w14:paraId="242357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达标</w:t>
                  </w:r>
                </w:p>
              </w:tc>
            </w:tr>
          </w:tbl>
          <w:p w14:paraId="1556BE21">
            <w:pPr>
              <w:bidi w:val="0"/>
              <w:rPr>
                <w:rFonts w:hint="eastAsia" w:ascii="Times New Roman" w:hAnsi="Times New Roman" w:eastAsia="宋体" w:cs="Times New Roman"/>
                <w:b/>
                <w:bCs/>
                <w:color w:val="auto"/>
                <w:highlight w:val="none"/>
                <w:lang w:val="en-US" w:eastAsia="zh-CN"/>
              </w:rPr>
            </w:pPr>
            <w:r>
              <w:rPr>
                <w:rFonts w:hint="eastAsia"/>
                <w:color w:val="auto"/>
                <w:highlight w:val="none"/>
                <w:lang w:val="en-US" w:eastAsia="zh-CN"/>
              </w:rPr>
              <w:t>由预测结果可知，厂界噪声昼间预测值在52.11~54.03dB（A）之间，夜间预测值在44.15~45.95dB（A），满足《工业企业厂界环境噪声排放标准》（GB12348-2008）中3类标准。因此，本项目噪声不会对周围声环境产生明显影响。</w:t>
            </w:r>
            <w:bookmarkEnd w:id="4"/>
          </w:p>
          <w:p w14:paraId="7C83DB78">
            <w:pPr>
              <w:bidi w:val="0"/>
              <w:rPr>
                <w:rFonts w:hint="default" w:eastAsia="宋体"/>
                <w:b/>
                <w:bCs/>
                <w:color w:val="auto"/>
                <w:highlight w:val="none"/>
                <w:lang w:val="en-US" w:eastAsia="zh-CN"/>
              </w:rPr>
            </w:pPr>
            <w:r>
              <w:rPr>
                <w:rFonts w:hint="default" w:eastAsia="宋体"/>
                <w:b/>
                <w:bCs/>
                <w:color w:val="auto"/>
                <w:highlight w:val="none"/>
                <w:lang w:val="en-US" w:eastAsia="zh-CN"/>
              </w:rPr>
              <w:t>四、固体废物</w:t>
            </w:r>
          </w:p>
          <w:p w14:paraId="26078F8E">
            <w:pPr>
              <w:bidi w:val="0"/>
              <w:rPr>
                <w:rFonts w:hint="default" w:eastAsia="宋体"/>
                <w:b/>
                <w:bCs/>
                <w:color w:val="auto"/>
                <w:highlight w:val="none"/>
                <w:lang w:val="en-US" w:eastAsia="zh-CN"/>
              </w:rPr>
            </w:pPr>
            <w:r>
              <w:rPr>
                <w:rFonts w:hint="default" w:eastAsia="宋体"/>
                <w:b/>
                <w:bCs/>
                <w:color w:val="auto"/>
                <w:highlight w:val="none"/>
                <w:lang w:val="en-US" w:eastAsia="zh-CN"/>
              </w:rPr>
              <w:t>1</w:t>
            </w:r>
            <w:r>
              <w:rPr>
                <w:rFonts w:hint="eastAsia"/>
                <w:b/>
                <w:bCs/>
                <w:color w:val="auto"/>
                <w:highlight w:val="none"/>
                <w:lang w:val="en-US" w:eastAsia="zh-CN"/>
              </w:rPr>
              <w:t>、</w:t>
            </w:r>
            <w:r>
              <w:rPr>
                <w:rFonts w:hint="default" w:eastAsia="宋体"/>
                <w:b/>
                <w:bCs/>
                <w:color w:val="auto"/>
                <w:highlight w:val="none"/>
                <w:lang w:val="en-US" w:eastAsia="zh-CN"/>
              </w:rPr>
              <w:t>固体废物来源</w:t>
            </w:r>
            <w:r>
              <w:rPr>
                <w:rFonts w:hint="eastAsia"/>
                <w:b/>
                <w:bCs/>
                <w:color w:val="auto"/>
                <w:highlight w:val="none"/>
                <w:lang w:val="en-US" w:eastAsia="zh-CN"/>
              </w:rPr>
              <w:t>及产生情况</w:t>
            </w:r>
          </w:p>
          <w:p w14:paraId="7FEE9322">
            <w:pPr>
              <w:bidi w:val="0"/>
              <w:rPr>
                <w:rFonts w:hint="default" w:eastAsia="宋体"/>
                <w:color w:val="auto"/>
                <w:highlight w:val="none"/>
                <w:lang w:val="en-US" w:eastAsia="zh-CN"/>
              </w:rPr>
            </w:pPr>
            <w:r>
              <w:rPr>
                <w:rFonts w:hint="default" w:eastAsia="宋体"/>
                <w:color w:val="auto"/>
                <w:highlight w:val="none"/>
                <w:lang w:val="en-US" w:eastAsia="zh-CN"/>
              </w:rPr>
              <w:t>本项目固体废物主要包括</w:t>
            </w:r>
            <w:r>
              <w:rPr>
                <w:rFonts w:hint="eastAsia"/>
                <w:color w:val="auto"/>
                <w:highlight w:val="none"/>
                <w:lang w:val="en-US" w:eastAsia="zh-CN"/>
              </w:rPr>
              <w:t>一般工业固体废弃物、危险废物及生活垃圾。一般工业固体废物包括袋式除尘器收集的除尘灰，定期收集暂存于一般工业固体废物暂存间内，定期外售综合利用；危险废物主要包括</w:t>
            </w:r>
            <w:r>
              <w:rPr>
                <w:rFonts w:hint="default" w:eastAsia="宋体"/>
                <w:color w:val="auto"/>
                <w:highlight w:val="none"/>
                <w:lang w:val="en-US" w:eastAsia="zh-CN"/>
              </w:rPr>
              <w:t>生产过程产</w:t>
            </w:r>
            <w:r>
              <w:rPr>
                <w:rFonts w:hint="eastAsia"/>
                <w:color w:val="auto"/>
                <w:highlight w:val="none"/>
                <w:lang w:val="en-US" w:eastAsia="zh-CN"/>
              </w:rPr>
              <w:t>生的</w:t>
            </w:r>
            <w:r>
              <w:rPr>
                <w:rFonts w:hint="eastAsia" w:ascii="Times New Roman" w:hAnsi="Times New Roman" w:eastAsia="宋体" w:cs="Times New Roman"/>
                <w:color w:val="auto"/>
                <w:szCs w:val="21"/>
                <w:highlight w:val="none"/>
                <w:lang w:val="en-US" w:eastAsia="zh-CN"/>
              </w:rPr>
              <w:t>废纸壳（含废漆渣）、废过滤棉（含废漆渣）、废活性炭、</w:t>
            </w:r>
            <w:r>
              <w:rPr>
                <w:rFonts w:hint="eastAsia" w:cs="Times New Roman"/>
                <w:color w:val="auto"/>
                <w:szCs w:val="21"/>
                <w:highlight w:val="none"/>
                <w:lang w:val="en-US" w:eastAsia="zh-CN"/>
              </w:rPr>
              <w:t>废漆渣、</w:t>
            </w:r>
            <w:r>
              <w:rPr>
                <w:rFonts w:hint="eastAsia" w:ascii="Times New Roman" w:hAnsi="Times New Roman" w:eastAsia="宋体" w:cs="Times New Roman"/>
                <w:color w:val="auto"/>
                <w:szCs w:val="21"/>
                <w:highlight w:val="none"/>
                <w:lang w:val="en-US" w:eastAsia="zh-CN"/>
              </w:rPr>
              <w:t>废漆桶、废机油</w:t>
            </w:r>
            <w:r>
              <w:rPr>
                <w:rFonts w:hint="eastAsia" w:cs="Times New Roman"/>
                <w:color w:val="auto"/>
                <w:szCs w:val="21"/>
                <w:highlight w:val="none"/>
                <w:lang w:val="en-US" w:eastAsia="zh-CN"/>
              </w:rPr>
              <w:t>、废油桶</w:t>
            </w:r>
            <w:r>
              <w:rPr>
                <w:rFonts w:hint="eastAsia" w:ascii="Times New Roman" w:hAnsi="Times New Roman" w:eastAsia="宋体" w:cs="Times New Roman"/>
                <w:color w:val="auto"/>
                <w:szCs w:val="21"/>
                <w:highlight w:val="none"/>
                <w:lang w:val="en-US" w:eastAsia="zh-CN"/>
              </w:rPr>
              <w:t>分类收集后暂存在危险废物暂存库</w:t>
            </w:r>
            <w:r>
              <w:rPr>
                <w:rFonts w:hint="eastAsia" w:eastAsia="宋体" w:cs="Times New Roman"/>
                <w:color w:val="auto"/>
                <w:szCs w:val="21"/>
                <w:highlight w:val="none"/>
                <w:lang w:val="en-US" w:eastAsia="zh-CN"/>
              </w:rPr>
              <w:t>内</w:t>
            </w:r>
            <w:r>
              <w:rPr>
                <w:rFonts w:hint="eastAsia" w:ascii="Times New Roman" w:hAnsi="Times New Roman" w:eastAsia="宋体" w:cs="Times New Roman"/>
                <w:color w:val="auto"/>
                <w:szCs w:val="21"/>
                <w:highlight w:val="none"/>
                <w:lang w:val="en-US" w:eastAsia="zh-CN"/>
              </w:rPr>
              <w:t>，定期交由有资质单位进行处置。生活垃圾统由厂区内的垃圾桶统一收集后，定期交由环卫部门统一处理。</w:t>
            </w:r>
            <w:r>
              <w:rPr>
                <w:rFonts w:hint="default" w:eastAsia="宋体"/>
                <w:color w:val="auto"/>
                <w:highlight w:val="none"/>
                <w:lang w:val="en-US" w:eastAsia="zh-CN"/>
              </w:rPr>
              <w:t>具体</w:t>
            </w:r>
            <w:r>
              <w:rPr>
                <w:rFonts w:hint="eastAsia"/>
                <w:color w:val="auto"/>
                <w:highlight w:val="none"/>
                <w:lang w:val="en-US" w:eastAsia="zh-CN"/>
              </w:rPr>
              <w:t>产生情况如下。</w:t>
            </w:r>
          </w:p>
          <w:p w14:paraId="4485D269">
            <w:pPr>
              <w:bidi w:val="0"/>
              <w:rPr>
                <w:rFonts w:hint="default" w:eastAsia="宋体"/>
                <w:color w:val="auto"/>
                <w:highlight w:val="none"/>
                <w:lang w:val="en-US" w:eastAsia="zh-CN"/>
              </w:rPr>
            </w:pPr>
            <w:r>
              <w:rPr>
                <w:rFonts w:hint="eastAsia"/>
                <w:color w:val="auto"/>
                <w:highlight w:val="none"/>
                <w:lang w:val="en-US" w:eastAsia="zh-CN"/>
              </w:rPr>
              <w:t>（1）生活垃圾</w:t>
            </w:r>
          </w:p>
          <w:p w14:paraId="113DEB3D">
            <w:pPr>
              <w:bidi w:val="0"/>
              <w:rPr>
                <w:rFonts w:hint="default" w:eastAsia="宋体"/>
                <w:color w:val="auto"/>
                <w:highlight w:val="none"/>
                <w:lang w:val="en-US" w:eastAsia="zh-CN"/>
              </w:rPr>
            </w:pPr>
            <w:r>
              <w:rPr>
                <w:rFonts w:hint="default" w:eastAsia="宋体"/>
                <w:color w:val="auto"/>
                <w:highlight w:val="none"/>
                <w:lang w:val="en-US" w:eastAsia="zh-CN"/>
              </w:rPr>
              <w:t>本项目劳动定员共计</w:t>
            </w:r>
            <w:r>
              <w:rPr>
                <w:rFonts w:hint="eastAsia"/>
                <w:color w:val="auto"/>
                <w:highlight w:val="none"/>
                <w:lang w:val="en-US" w:eastAsia="zh-CN"/>
              </w:rPr>
              <w:t>4</w:t>
            </w:r>
            <w:r>
              <w:rPr>
                <w:rFonts w:hint="default" w:eastAsia="宋体"/>
                <w:color w:val="auto"/>
                <w:highlight w:val="none"/>
                <w:lang w:val="en-US" w:eastAsia="zh-CN"/>
              </w:rPr>
              <w:t>5人，年工作</w:t>
            </w:r>
            <w:r>
              <w:rPr>
                <w:rFonts w:hint="eastAsia"/>
                <w:color w:val="auto"/>
                <w:highlight w:val="none"/>
                <w:lang w:val="en-US" w:eastAsia="zh-CN"/>
              </w:rPr>
              <w:t>265</w:t>
            </w:r>
            <w:r>
              <w:rPr>
                <w:rFonts w:hint="default" w:eastAsia="宋体"/>
                <w:color w:val="auto"/>
                <w:highlight w:val="none"/>
                <w:lang w:val="en-US" w:eastAsia="zh-CN"/>
              </w:rPr>
              <w:t>天，生活垃圾产生量按照0.5kg/人·d计算，则本项目生活垃圾产生量为</w:t>
            </w:r>
            <w:r>
              <w:rPr>
                <w:rFonts w:hint="eastAsia"/>
                <w:color w:val="auto"/>
                <w:highlight w:val="none"/>
                <w:lang w:val="en-US" w:eastAsia="zh-CN"/>
              </w:rPr>
              <w:t>5.96</w:t>
            </w:r>
            <w:r>
              <w:rPr>
                <w:rFonts w:hint="default" w:eastAsia="宋体"/>
                <w:color w:val="auto"/>
                <w:highlight w:val="none"/>
                <w:lang w:val="en-US" w:eastAsia="zh-CN"/>
              </w:rPr>
              <w:t>t/a，产生的生活垃圾由垃圾桶统一收集后，由当地环卫部门定期清运。</w:t>
            </w:r>
          </w:p>
          <w:p w14:paraId="0869F320">
            <w:pPr>
              <w:bidi w:val="0"/>
              <w:rPr>
                <w:rFonts w:hint="eastAsia"/>
                <w:color w:val="auto"/>
                <w:highlight w:val="none"/>
                <w:lang w:val="en-US" w:eastAsia="zh-CN"/>
              </w:rPr>
            </w:pPr>
            <w:r>
              <w:rPr>
                <w:rFonts w:hint="eastAsia"/>
                <w:color w:val="auto"/>
                <w:highlight w:val="none"/>
                <w:lang w:val="en-US" w:eastAsia="zh-CN"/>
              </w:rPr>
              <w:t>（2）一般工业固体废物</w:t>
            </w:r>
          </w:p>
          <w:p w14:paraId="5500BA06">
            <w:pPr>
              <w:bidi w:val="0"/>
              <w:rPr>
                <w:rFonts w:hint="eastAsia"/>
                <w:color w:val="auto"/>
                <w:highlight w:val="none"/>
                <w:lang w:val="en-US" w:eastAsia="zh-CN"/>
              </w:rPr>
            </w:pPr>
            <w:r>
              <w:rPr>
                <w:rFonts w:hint="eastAsia"/>
                <w:color w:val="auto"/>
                <w:highlight w:val="none"/>
                <w:lang w:val="en-US" w:eastAsia="zh-CN"/>
              </w:rPr>
              <w:t>除尘灰：本项目除尘灰产生量为22.47t/a，产生的除尘灰暂存于厂区内的一般工业固体废物暂存间内，定期外售综合利用。</w:t>
            </w:r>
          </w:p>
          <w:p w14:paraId="16FDDDCC">
            <w:pPr>
              <w:bidi w:val="0"/>
              <w:rPr>
                <w:rFonts w:hint="default" w:eastAsia="宋体"/>
                <w:color w:val="auto"/>
                <w:highlight w:val="none"/>
                <w:lang w:val="en-US" w:eastAsia="zh-CN"/>
              </w:rPr>
            </w:pPr>
            <w:r>
              <w:rPr>
                <w:rFonts w:hint="default" w:eastAsia="宋体"/>
                <w:color w:val="auto"/>
                <w:highlight w:val="none"/>
                <w:lang w:val="en-US" w:eastAsia="zh-CN"/>
              </w:rPr>
              <w:t>（</w:t>
            </w:r>
            <w:r>
              <w:rPr>
                <w:rFonts w:hint="eastAsia"/>
                <w:color w:val="auto"/>
                <w:highlight w:val="none"/>
                <w:lang w:val="en-US" w:eastAsia="zh-CN"/>
              </w:rPr>
              <w:t>3</w:t>
            </w:r>
            <w:r>
              <w:rPr>
                <w:rFonts w:hint="default" w:eastAsia="宋体"/>
                <w:color w:val="auto"/>
                <w:highlight w:val="none"/>
                <w:lang w:val="en-US" w:eastAsia="zh-CN"/>
              </w:rPr>
              <w:t>）</w:t>
            </w:r>
            <w:r>
              <w:rPr>
                <w:rFonts w:hint="eastAsia"/>
                <w:color w:val="auto"/>
                <w:highlight w:val="none"/>
                <w:lang w:val="en-US" w:eastAsia="zh-CN"/>
              </w:rPr>
              <w:t>危险废物</w:t>
            </w:r>
          </w:p>
          <w:p w14:paraId="5548D4C3">
            <w:pPr>
              <w:bidi w:val="0"/>
              <w:rPr>
                <w:rFonts w:hint="default"/>
                <w:color w:val="auto"/>
                <w:highlight w:val="none"/>
                <w:lang w:val="en-US" w:eastAsia="zh-CN"/>
              </w:rPr>
            </w:pPr>
            <w:r>
              <w:rPr>
                <w:rFonts w:hint="eastAsia"/>
                <w:color w:val="auto"/>
                <w:highlight w:val="none"/>
                <w:lang w:val="en-US" w:eastAsia="zh-CN"/>
              </w:rPr>
              <w:t>①废纸壳（含废漆渣）</w:t>
            </w:r>
          </w:p>
          <w:p w14:paraId="58811B7F">
            <w:pPr>
              <w:bidi w:val="0"/>
              <w:rPr>
                <w:rFonts w:hint="eastAsia"/>
                <w:color w:val="auto"/>
                <w:highlight w:val="none"/>
                <w:lang w:val="en-US" w:eastAsia="zh-CN"/>
              </w:rPr>
            </w:pPr>
            <w:r>
              <w:rPr>
                <w:rFonts w:hint="eastAsia"/>
                <w:color w:val="auto"/>
                <w:highlight w:val="none"/>
                <w:lang w:val="en-US" w:eastAsia="zh-CN"/>
              </w:rPr>
              <w:t>根据建设单位提供资料，</w:t>
            </w:r>
            <w:r>
              <w:rPr>
                <w:rFonts w:hint="eastAsia" w:ascii="Times New Roman" w:hAnsi="Times New Roman" w:eastAsia="宋体" w:cs="Times New Roman"/>
                <w:color w:val="auto"/>
                <w:szCs w:val="21"/>
                <w:highlight w:val="none"/>
                <w:lang w:val="en-US" w:eastAsia="zh-CN"/>
              </w:rPr>
              <w:t>干式过滤器（迷宫纸盒）6个月更换一次，单次产生量约0.05t/次，即0.1t/a，根据《国家危险废物名录》（2025年版），废纸盒属于危险废物，危险废物编号为HW49，废物代码为900-041-49（含有或沾染毒性、感染性危险废物的废弃包装物、容器、过滤吸附介质），暂存危险废物暂存库内，定期交有资质的单位处理。</w:t>
            </w:r>
          </w:p>
          <w:p w14:paraId="686A2DD5">
            <w:pPr>
              <w:bidi w:val="0"/>
              <w:rPr>
                <w:rFonts w:hint="default" w:eastAsia="宋体"/>
                <w:color w:val="auto"/>
                <w:highlight w:val="none"/>
                <w:lang w:val="en-US" w:eastAsia="zh-CN"/>
              </w:rPr>
            </w:pPr>
            <w:r>
              <w:rPr>
                <w:rFonts w:hint="eastAsia"/>
                <w:color w:val="auto"/>
                <w:highlight w:val="none"/>
                <w:lang w:val="en-US" w:eastAsia="zh-CN"/>
              </w:rPr>
              <w:t>②废过滤棉（含废漆渣）</w:t>
            </w:r>
          </w:p>
          <w:p w14:paraId="3C0703FE">
            <w:pPr>
              <w:bidi w:val="0"/>
              <w:rPr>
                <w:rFonts w:hint="eastAsia"/>
                <w:color w:val="auto"/>
                <w:highlight w:val="none"/>
                <w:lang w:val="en-US" w:eastAsia="zh-CN"/>
              </w:rPr>
            </w:pPr>
            <w:r>
              <w:rPr>
                <w:rFonts w:hint="eastAsia"/>
                <w:color w:val="auto"/>
                <w:highlight w:val="none"/>
                <w:lang w:val="en-US" w:eastAsia="zh-CN"/>
              </w:rPr>
              <w:t>根据建设单位提供资料，过滤棉6个月更换一次，单次产生量约0.05t/次，即0.1t/a，根据《国家危险废物名录》（2025年版），废过滤棉（含废漆渣）属于危险废物，危险废物编号为HW49，废物代码为900-041-49（含有或沾染毒性、感染性危险废物的废弃包装物、容器、过滤吸附介质），暂存危险废物暂存库内，定期交有资质的单位处理。</w:t>
            </w:r>
          </w:p>
          <w:p w14:paraId="1AE1399C">
            <w:pPr>
              <w:bidi w:val="0"/>
              <w:rPr>
                <w:rFonts w:hint="eastAsia"/>
                <w:color w:val="auto"/>
                <w:highlight w:val="none"/>
                <w:lang w:val="en-US" w:eastAsia="zh-CN"/>
              </w:rPr>
            </w:pPr>
            <w:r>
              <w:rPr>
                <w:rFonts w:hint="eastAsia"/>
                <w:color w:val="auto"/>
                <w:highlight w:val="none"/>
                <w:lang w:val="en-US" w:eastAsia="zh-CN"/>
              </w:rPr>
              <w:t>③废活性炭</w:t>
            </w:r>
          </w:p>
          <w:p w14:paraId="734955DF">
            <w:pPr>
              <w:bidi w:val="0"/>
              <w:rPr>
                <w:rFonts w:hint="eastAsia"/>
                <w:color w:val="auto"/>
                <w:highlight w:val="none"/>
                <w:lang w:val="en-US" w:eastAsia="zh-CN"/>
              </w:rPr>
            </w:pPr>
            <w:r>
              <w:rPr>
                <w:rFonts w:hint="eastAsia"/>
                <w:color w:val="auto"/>
                <w:highlight w:val="none"/>
                <w:lang w:val="en-US" w:eastAsia="zh-CN"/>
              </w:rPr>
              <w:t>本项目设置二级活性炭吸附装置处理有机废气，采用颗粒状活性炭，根据《工业通风》（第四版），活性炭颗粒的吸附有机废气饱和率约为23%，即1kg活性炭可以吸附0.23kg的有机废气，本项目吸附的有机废气量为0.40t/a，需要的活性炭为1.74t/a，选用的活性炭吸附箱活性炭容量均为0.5t，则活性炭每年更换2次，更换下的废活性炭量为2t/a，暂存于危险废物暂存库，定期交由有资质单位清运。根据《国家危险废物名录》（2025年版），废活性炭属于“HW49其他废物”，危险废物代码为900-039-49（烟气、VOCs治理过程（不包括餐饮行业油烟治理过程）产生的废活性炭，化学原料和化学制品脱色（不包括有机合成食品添加剂脱色）、除杂、净化过程产生的废活性炭（不包括900-405-06、772-005-18、261-053-29、265-002-29、384-003-29、387-001-29类废物）），暂存危险废物暂存库内，定期交有资质的单位处理。</w:t>
            </w:r>
          </w:p>
          <w:p w14:paraId="2967C1C4">
            <w:pPr>
              <w:bidi w:val="0"/>
              <w:rPr>
                <w:rFonts w:hint="default"/>
                <w:color w:val="auto"/>
                <w:highlight w:val="none"/>
                <w:lang w:val="en-US" w:eastAsia="zh-CN"/>
              </w:rPr>
            </w:pPr>
            <w:r>
              <w:rPr>
                <w:rFonts w:hint="eastAsia"/>
                <w:color w:val="auto"/>
                <w:highlight w:val="none"/>
                <w:lang w:val="en-US" w:eastAsia="zh-CN"/>
              </w:rPr>
              <w:t>④废漆渣</w:t>
            </w:r>
          </w:p>
          <w:p w14:paraId="5E1D93B4">
            <w:pPr>
              <w:bidi w:val="0"/>
              <w:rPr>
                <w:rFonts w:hint="eastAsia"/>
                <w:color w:val="auto"/>
                <w:highlight w:val="none"/>
                <w:lang w:val="en-US" w:eastAsia="zh-CN"/>
              </w:rPr>
            </w:pPr>
            <w:r>
              <w:rPr>
                <w:rFonts w:hint="eastAsia"/>
                <w:color w:val="auto"/>
                <w:highlight w:val="none"/>
                <w:lang w:val="en-US" w:eastAsia="zh-CN"/>
              </w:rPr>
              <w:t>废漆渣产生量约为0.5t/a，根据《国家危险废物名录》（2025年版），废漆渣属于危险废物，危险废物编号为HW49，废物代码为900-041-49（含有或沾染毒性、感染性危险废物的废弃包装物、容器、过滤吸附介质），暂存危险废物暂存库内，定期交有资质的单位处理。</w:t>
            </w:r>
          </w:p>
          <w:p w14:paraId="7B7C904A">
            <w:pPr>
              <w:bidi w:val="0"/>
              <w:rPr>
                <w:rFonts w:hint="eastAsia"/>
                <w:color w:val="auto"/>
                <w:highlight w:val="none"/>
                <w:lang w:val="en-US" w:eastAsia="zh-CN"/>
              </w:rPr>
            </w:pPr>
            <w:r>
              <w:rPr>
                <w:rFonts w:hint="eastAsia"/>
                <w:color w:val="auto"/>
                <w:highlight w:val="none"/>
                <w:lang w:val="en-US" w:eastAsia="zh-CN"/>
              </w:rPr>
              <w:t>⑤废漆桶</w:t>
            </w:r>
          </w:p>
          <w:p w14:paraId="01C44960">
            <w:pPr>
              <w:bidi w:val="0"/>
              <w:rPr>
                <w:rFonts w:hint="eastAsia"/>
                <w:color w:val="auto"/>
                <w:highlight w:val="none"/>
                <w:lang w:val="en-US" w:eastAsia="zh-CN"/>
              </w:rPr>
            </w:pPr>
            <w:r>
              <w:rPr>
                <w:rFonts w:hint="eastAsia" w:ascii="Times New Roman" w:hAnsi="Times New Roman" w:eastAsia="宋体" w:cs="Times New Roman"/>
                <w:color w:val="auto"/>
                <w:highlight w:val="none"/>
                <w:lang w:val="en-US" w:eastAsia="zh-CN"/>
              </w:rPr>
              <w:t>本项目涂料使用过程会产生废漆料桶，涉及的漆料包括底漆、面漆等，漆料桶规格为25kg/桶，废油漆桶重量为1.5kg/桶，废漆桶年产生量约0.17t/a。</w:t>
            </w:r>
            <w:r>
              <w:rPr>
                <w:rFonts w:hint="eastAsia"/>
                <w:color w:val="auto"/>
                <w:highlight w:val="none"/>
                <w:lang w:val="en-US" w:eastAsia="zh-CN"/>
              </w:rPr>
              <w:t>根据《国家危险废物名录》（2025年版），废漆桶属于危险废物，危险废物编号为HW49，废物代码为900-041-49（含有或沾染毒性、感染性危险废物的废弃包装物、容器、过滤吸附介质），暂存危险废物暂存库内，定期交有资质的单位处理。</w:t>
            </w:r>
          </w:p>
          <w:p w14:paraId="03E743F5">
            <w:pPr>
              <w:bidi w:val="0"/>
              <w:rPr>
                <w:rFonts w:hint="default" w:eastAsia="宋体"/>
                <w:color w:val="auto"/>
                <w:highlight w:val="none"/>
                <w:lang w:val="en-US" w:eastAsia="zh-CN"/>
              </w:rPr>
            </w:pPr>
            <w:r>
              <w:rPr>
                <w:rFonts w:hint="eastAsia"/>
                <w:color w:val="auto"/>
                <w:highlight w:val="none"/>
                <w:lang w:val="en-US" w:eastAsia="zh-CN"/>
              </w:rPr>
              <w:t>⑥废机油</w:t>
            </w:r>
          </w:p>
          <w:p w14:paraId="4D7BCEDF">
            <w:pPr>
              <w:bidi w:val="0"/>
              <w:rPr>
                <w:rFonts w:hint="eastAsia"/>
                <w:color w:val="auto"/>
                <w:highlight w:val="none"/>
                <w:lang w:val="en-US" w:eastAsia="zh-CN"/>
              </w:rPr>
            </w:pPr>
            <w:r>
              <w:rPr>
                <w:rFonts w:hint="eastAsia"/>
                <w:color w:val="auto"/>
                <w:highlight w:val="none"/>
                <w:lang w:val="en-US" w:eastAsia="zh-CN"/>
              </w:rPr>
              <w:t>运营期设备维修过程中会产生一定量的废机油，根据建设单位提供资料，本项目废机油产生量为0.1t/a，根据《国家危险废物名录》（2025年版），废机油属于危险废物，危险废物编号为HW08，废物代码为900-214-08，暂存危险废物暂存库内，定期交有资质的单位处理。</w:t>
            </w:r>
          </w:p>
          <w:p w14:paraId="5FC9244B">
            <w:pPr>
              <w:bidi w:val="0"/>
              <w:rPr>
                <w:rFonts w:hint="eastAsia"/>
                <w:color w:val="auto"/>
                <w:highlight w:val="none"/>
                <w:lang w:val="en-US" w:eastAsia="zh-CN"/>
              </w:rPr>
            </w:pPr>
            <w:r>
              <w:rPr>
                <w:rFonts w:hint="eastAsia"/>
                <w:color w:val="auto"/>
                <w:highlight w:val="none"/>
                <w:lang w:val="en-US" w:eastAsia="zh-CN"/>
              </w:rPr>
              <w:t>⑦废油桶</w:t>
            </w:r>
          </w:p>
          <w:p w14:paraId="1790DE6D">
            <w:pPr>
              <w:bidi w:val="0"/>
              <w:rPr>
                <w:rFonts w:hint="eastAsia"/>
                <w:color w:val="auto"/>
                <w:highlight w:val="none"/>
                <w:lang w:val="en-US" w:eastAsia="zh-CN"/>
              </w:rPr>
            </w:pPr>
            <w:r>
              <w:rPr>
                <w:rFonts w:hint="eastAsia"/>
                <w:color w:val="auto"/>
                <w:highlight w:val="none"/>
                <w:lang w:val="en-US" w:eastAsia="zh-CN"/>
              </w:rPr>
              <w:t>运营期设备维修过程中会产生一定量的废机油，根据建设单位提供资料，本项目废机油产生量为0.1t/a，根据《国家危险废物名录》（2025年版），废机油属于危险废物，危险废物编号为HW49，废物代码为900-041-49，暂存危险废物暂存库内，定期交有资质的单位处理。</w:t>
            </w:r>
          </w:p>
          <w:p w14:paraId="04361D3B">
            <w:pPr>
              <w:bidi w:val="0"/>
              <w:ind w:left="0" w:leftChars="0" w:firstLine="0" w:firstLineChars="0"/>
              <w:jc w:val="center"/>
              <w:rPr>
                <w:rFonts w:hint="default"/>
                <w:b/>
                <w:bCs/>
                <w:color w:val="auto"/>
                <w:highlight w:val="none"/>
                <w:lang w:val="en-US" w:eastAsia="zh-CN"/>
              </w:rPr>
            </w:pPr>
            <w:r>
              <w:rPr>
                <w:rFonts w:hint="eastAsia"/>
                <w:b/>
                <w:bCs/>
                <w:color w:val="auto"/>
                <w:highlight w:val="none"/>
                <w:lang w:val="en-US" w:eastAsia="zh-CN"/>
              </w:rPr>
              <w:t>表4-6固废产生情况一览表</w:t>
            </w:r>
          </w:p>
          <w:tbl>
            <w:tblPr>
              <w:tblStyle w:val="27"/>
              <w:tblW w:w="7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85"/>
              <w:gridCol w:w="761"/>
              <w:gridCol w:w="655"/>
              <w:gridCol w:w="715"/>
              <w:gridCol w:w="1183"/>
              <w:gridCol w:w="791"/>
              <w:gridCol w:w="792"/>
              <w:gridCol w:w="792"/>
              <w:gridCol w:w="792"/>
            </w:tblGrid>
            <w:tr w14:paraId="55A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7" w:type="dxa"/>
                </w:tcPr>
                <w:p w14:paraId="5D4CBF90">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785" w:type="dxa"/>
                </w:tcPr>
                <w:p w14:paraId="645DE47B">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固废名称</w:t>
                  </w:r>
                </w:p>
              </w:tc>
              <w:tc>
                <w:tcPr>
                  <w:tcW w:w="761" w:type="dxa"/>
                </w:tcPr>
                <w:p w14:paraId="0113357A">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产生工序</w:t>
                  </w:r>
                </w:p>
              </w:tc>
              <w:tc>
                <w:tcPr>
                  <w:tcW w:w="655" w:type="dxa"/>
                </w:tcPr>
                <w:p w14:paraId="58F74749">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形态</w:t>
                  </w:r>
                </w:p>
              </w:tc>
              <w:tc>
                <w:tcPr>
                  <w:tcW w:w="715" w:type="dxa"/>
                </w:tcPr>
                <w:p w14:paraId="21769DAE">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主要成分</w:t>
                  </w:r>
                </w:p>
              </w:tc>
              <w:tc>
                <w:tcPr>
                  <w:tcW w:w="1183" w:type="dxa"/>
                </w:tcPr>
                <w:p w14:paraId="5E8BD933">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危险特性鉴定方法</w:t>
                  </w:r>
                </w:p>
              </w:tc>
              <w:tc>
                <w:tcPr>
                  <w:tcW w:w="791" w:type="dxa"/>
                </w:tcPr>
                <w:p w14:paraId="36187430">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废物类别</w:t>
                  </w:r>
                </w:p>
              </w:tc>
              <w:tc>
                <w:tcPr>
                  <w:tcW w:w="792" w:type="dxa"/>
                </w:tcPr>
                <w:p w14:paraId="632E162C">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废物代码</w:t>
                  </w:r>
                </w:p>
              </w:tc>
              <w:tc>
                <w:tcPr>
                  <w:tcW w:w="792" w:type="dxa"/>
                </w:tcPr>
                <w:p w14:paraId="7A1593C9">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产生量t/a</w:t>
                  </w:r>
                </w:p>
              </w:tc>
              <w:tc>
                <w:tcPr>
                  <w:tcW w:w="792" w:type="dxa"/>
                </w:tcPr>
                <w:p w14:paraId="28D38540">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处置措施</w:t>
                  </w:r>
                </w:p>
              </w:tc>
            </w:tr>
            <w:tr w14:paraId="2E19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913" w:type="dxa"/>
                  <w:gridSpan w:val="10"/>
                </w:tcPr>
                <w:p w14:paraId="535990E8">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w:t>
                  </w:r>
                </w:p>
              </w:tc>
            </w:tr>
            <w:tr w14:paraId="6A3D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647" w:type="dxa"/>
                </w:tcPr>
                <w:p w14:paraId="113F8139">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785" w:type="dxa"/>
                </w:tcPr>
                <w:p w14:paraId="4C4D3542">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w:t>
                  </w:r>
                </w:p>
              </w:tc>
              <w:tc>
                <w:tcPr>
                  <w:tcW w:w="761" w:type="dxa"/>
                </w:tcPr>
                <w:p w14:paraId="4900FEBE">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职工生活</w:t>
                  </w:r>
                </w:p>
              </w:tc>
              <w:tc>
                <w:tcPr>
                  <w:tcW w:w="655" w:type="dxa"/>
                </w:tcPr>
                <w:p w14:paraId="463989BA">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w:t>
                  </w:r>
                </w:p>
              </w:tc>
              <w:tc>
                <w:tcPr>
                  <w:tcW w:w="715" w:type="dxa"/>
                </w:tcPr>
                <w:p w14:paraId="28658215">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83" w:type="dxa"/>
                </w:tcPr>
                <w:p w14:paraId="593C2D7A">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91" w:type="dxa"/>
                </w:tcPr>
                <w:p w14:paraId="74A996F4">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92" w:type="dxa"/>
                </w:tcPr>
                <w:p w14:paraId="29111597">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92" w:type="dxa"/>
                </w:tcPr>
                <w:p w14:paraId="0F75FA94">
                  <w:pPr>
                    <w:spacing w:line="240" w:lineRule="auto"/>
                    <w:ind w:firstLine="0" w:firstLineChars="0"/>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5.96</w:t>
                  </w:r>
                  <w:r>
                    <w:rPr>
                      <w:rFonts w:hint="default" w:ascii="Times New Roman" w:hAnsi="Times New Roman" w:cs="Times New Roman"/>
                      <w:color w:val="auto"/>
                      <w:sz w:val="21"/>
                      <w:szCs w:val="21"/>
                      <w:highlight w:val="none"/>
                    </w:rPr>
                    <w:t>t/a</w:t>
                  </w:r>
                </w:p>
              </w:tc>
              <w:tc>
                <w:tcPr>
                  <w:tcW w:w="792" w:type="dxa"/>
                </w:tcPr>
                <w:p w14:paraId="3C1AC680">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产生的生活垃圾由垃圾桶统一收集后</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由当地环卫部门定期清运。</w:t>
                  </w:r>
                </w:p>
              </w:tc>
            </w:tr>
            <w:tr w14:paraId="3294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913" w:type="dxa"/>
                  <w:gridSpan w:val="10"/>
                </w:tcPr>
                <w:p w14:paraId="21B4818A">
                  <w:pPr>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一般固废</w:t>
                  </w:r>
                </w:p>
              </w:tc>
            </w:tr>
            <w:tr w14:paraId="04C6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647" w:type="dxa"/>
                </w:tcPr>
                <w:p w14:paraId="01CE9494">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785" w:type="dxa"/>
                </w:tcPr>
                <w:p w14:paraId="3FACCC3F">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除尘灰</w:t>
                  </w:r>
                </w:p>
              </w:tc>
              <w:tc>
                <w:tcPr>
                  <w:tcW w:w="761" w:type="dxa"/>
                </w:tcPr>
                <w:p w14:paraId="12A5A369">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袋式除尘器</w:t>
                  </w:r>
                </w:p>
              </w:tc>
              <w:tc>
                <w:tcPr>
                  <w:tcW w:w="655" w:type="dxa"/>
                </w:tcPr>
                <w:p w14:paraId="542883D7">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固体</w:t>
                  </w:r>
                </w:p>
              </w:tc>
              <w:tc>
                <w:tcPr>
                  <w:tcW w:w="715" w:type="dxa"/>
                </w:tcPr>
                <w:p w14:paraId="7A504089">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除尘灰</w:t>
                  </w:r>
                </w:p>
              </w:tc>
              <w:tc>
                <w:tcPr>
                  <w:tcW w:w="1183" w:type="dxa"/>
                </w:tcPr>
                <w:p w14:paraId="0DCC92D7">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791" w:type="dxa"/>
                </w:tcPr>
                <w:p w14:paraId="2A671732">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792" w:type="dxa"/>
                </w:tcPr>
                <w:p w14:paraId="22BBAAD7">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792" w:type="dxa"/>
                </w:tcPr>
                <w:p w14:paraId="2B7DF75A">
                  <w:pPr>
                    <w:spacing w:line="240" w:lineRule="auto"/>
                    <w:ind w:firstLine="0" w:firstLineChars="0"/>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22.47t/a</w:t>
                  </w:r>
                </w:p>
              </w:tc>
              <w:tc>
                <w:tcPr>
                  <w:tcW w:w="792" w:type="dxa"/>
                </w:tcPr>
                <w:p w14:paraId="68EA426B">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暂存于厂区内的一般工业固体废物暂存间内，定期外售综合利用</w:t>
                  </w:r>
                </w:p>
              </w:tc>
            </w:tr>
            <w:tr w14:paraId="5271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913" w:type="dxa"/>
                  <w:gridSpan w:val="10"/>
                </w:tcPr>
                <w:p w14:paraId="63125C74">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危险废物</w:t>
                  </w:r>
                </w:p>
              </w:tc>
            </w:tr>
            <w:tr w14:paraId="4CBF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647" w:type="dxa"/>
                </w:tcPr>
                <w:p w14:paraId="6E76CC25">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785" w:type="dxa"/>
                </w:tcPr>
                <w:p w14:paraId="5E82985B">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废纸壳（含废漆渣）</w:t>
                  </w:r>
                </w:p>
              </w:tc>
              <w:tc>
                <w:tcPr>
                  <w:tcW w:w="761" w:type="dxa"/>
                  <w:vMerge w:val="restart"/>
                </w:tcPr>
                <w:p w14:paraId="531BD112">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生产运行</w:t>
                  </w:r>
                </w:p>
              </w:tc>
              <w:tc>
                <w:tcPr>
                  <w:tcW w:w="655" w:type="dxa"/>
                </w:tcPr>
                <w:p w14:paraId="6D307C99">
                  <w:pPr>
                    <w:spacing w:line="240" w:lineRule="auto"/>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固体</w:t>
                  </w:r>
                </w:p>
              </w:tc>
              <w:tc>
                <w:tcPr>
                  <w:tcW w:w="715" w:type="dxa"/>
                </w:tcPr>
                <w:p w14:paraId="7828EA59">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废漆渣</w:t>
                  </w:r>
                </w:p>
              </w:tc>
              <w:tc>
                <w:tcPr>
                  <w:tcW w:w="1183" w:type="dxa"/>
                  <w:vMerge w:val="restart"/>
                </w:tcPr>
                <w:p w14:paraId="54B34068">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《国家危险废物名录》（2025年版）</w:t>
                  </w:r>
                </w:p>
              </w:tc>
              <w:tc>
                <w:tcPr>
                  <w:tcW w:w="791" w:type="dxa"/>
                </w:tcPr>
                <w:p w14:paraId="7BBABB28">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HW49</w:t>
                  </w:r>
                </w:p>
              </w:tc>
              <w:tc>
                <w:tcPr>
                  <w:tcW w:w="792" w:type="dxa"/>
                </w:tcPr>
                <w:p w14:paraId="45AAE484">
                  <w:pPr>
                    <w:spacing w:line="240" w:lineRule="auto"/>
                    <w:ind w:firstLine="0" w:firstLineChars="0"/>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sz w:val="21"/>
                      <w:szCs w:val="18"/>
                      <w:highlight w:val="none"/>
                      <w:lang w:val="en-US" w:eastAsia="zh-CN"/>
                    </w:rPr>
                    <w:t>900-041-49</w:t>
                  </w:r>
                </w:p>
              </w:tc>
              <w:tc>
                <w:tcPr>
                  <w:tcW w:w="792" w:type="dxa"/>
                </w:tcPr>
                <w:p w14:paraId="480D86E0">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0.1t/a</w:t>
                  </w:r>
                </w:p>
              </w:tc>
              <w:tc>
                <w:tcPr>
                  <w:tcW w:w="792" w:type="dxa"/>
                  <w:vMerge w:val="restart"/>
                </w:tcPr>
                <w:p w14:paraId="49FC20EE">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暂存于危险废物暂存库</w:t>
                  </w:r>
                  <w:r>
                    <w:rPr>
                      <w:rFonts w:hint="default"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定期</w:t>
                  </w:r>
                  <w:r>
                    <w:rPr>
                      <w:rFonts w:hint="default" w:ascii="Times New Roman" w:hAnsi="Times New Roman" w:cs="Times New Roman"/>
                      <w:color w:val="auto"/>
                      <w:sz w:val="21"/>
                      <w:szCs w:val="21"/>
                      <w:highlight w:val="none"/>
                    </w:rPr>
                    <w:t>由具有危险废物处理资质公司统一收集、贮存。</w:t>
                  </w:r>
                </w:p>
                <w:p w14:paraId="68883754">
                  <w:pPr>
                    <w:spacing w:line="240" w:lineRule="auto"/>
                    <w:ind w:firstLine="0" w:firstLineChars="0"/>
                    <w:rPr>
                      <w:rFonts w:hint="default" w:ascii="Times New Roman" w:hAnsi="Times New Roman" w:cs="Times New Roman"/>
                      <w:color w:val="auto"/>
                      <w:sz w:val="21"/>
                      <w:szCs w:val="21"/>
                      <w:highlight w:val="none"/>
                    </w:rPr>
                  </w:pPr>
                </w:p>
              </w:tc>
            </w:tr>
            <w:tr w14:paraId="0615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47" w:type="dxa"/>
                </w:tcPr>
                <w:p w14:paraId="6BD5F68F">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785" w:type="dxa"/>
                </w:tcPr>
                <w:p w14:paraId="0A60AC9C">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废过滤棉（含废漆渣）</w:t>
                  </w:r>
                </w:p>
              </w:tc>
              <w:tc>
                <w:tcPr>
                  <w:tcW w:w="761" w:type="dxa"/>
                  <w:vMerge w:val="continue"/>
                </w:tcPr>
                <w:p w14:paraId="39CA9C70">
                  <w:pPr>
                    <w:spacing w:line="240" w:lineRule="auto"/>
                    <w:ind w:firstLine="0" w:firstLineChars="0"/>
                    <w:rPr>
                      <w:rFonts w:hint="default" w:ascii="Times New Roman" w:hAnsi="Times New Roman" w:cs="Times New Roman"/>
                      <w:color w:val="auto"/>
                      <w:sz w:val="21"/>
                      <w:szCs w:val="21"/>
                      <w:highlight w:val="none"/>
                    </w:rPr>
                  </w:pPr>
                </w:p>
              </w:tc>
              <w:tc>
                <w:tcPr>
                  <w:tcW w:w="655" w:type="dxa"/>
                </w:tcPr>
                <w:p w14:paraId="2CE03E45">
                  <w:pPr>
                    <w:spacing w:line="240" w:lineRule="auto"/>
                    <w:ind w:firstLine="0" w:firstLineChars="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固体</w:t>
                  </w:r>
                </w:p>
              </w:tc>
              <w:tc>
                <w:tcPr>
                  <w:tcW w:w="715" w:type="dxa"/>
                </w:tcPr>
                <w:p w14:paraId="31C19EC8">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废漆渣</w:t>
                  </w:r>
                </w:p>
              </w:tc>
              <w:tc>
                <w:tcPr>
                  <w:tcW w:w="1183" w:type="dxa"/>
                  <w:vMerge w:val="continue"/>
                </w:tcPr>
                <w:p w14:paraId="6BF51D98">
                  <w:pPr>
                    <w:spacing w:line="240" w:lineRule="auto"/>
                    <w:ind w:firstLine="0" w:firstLineChars="0"/>
                    <w:rPr>
                      <w:rFonts w:hint="default" w:ascii="Times New Roman" w:hAnsi="Times New Roman" w:cs="Times New Roman"/>
                      <w:color w:val="auto"/>
                      <w:sz w:val="21"/>
                      <w:szCs w:val="21"/>
                      <w:highlight w:val="none"/>
                    </w:rPr>
                  </w:pPr>
                </w:p>
              </w:tc>
              <w:tc>
                <w:tcPr>
                  <w:tcW w:w="791" w:type="dxa"/>
                </w:tcPr>
                <w:p w14:paraId="357D403D">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HW49</w:t>
                  </w:r>
                </w:p>
              </w:tc>
              <w:tc>
                <w:tcPr>
                  <w:tcW w:w="792" w:type="dxa"/>
                </w:tcPr>
                <w:p w14:paraId="21162CEB">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900-041-49</w:t>
                  </w:r>
                </w:p>
              </w:tc>
              <w:tc>
                <w:tcPr>
                  <w:tcW w:w="792" w:type="dxa"/>
                </w:tcPr>
                <w:p w14:paraId="6AC5F528">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0.1t/a</w:t>
                  </w:r>
                </w:p>
              </w:tc>
              <w:tc>
                <w:tcPr>
                  <w:tcW w:w="792" w:type="dxa"/>
                  <w:vMerge w:val="continue"/>
                </w:tcPr>
                <w:p w14:paraId="475AEBCD">
                  <w:pPr>
                    <w:spacing w:line="240" w:lineRule="auto"/>
                    <w:ind w:firstLine="0" w:firstLineChars="0"/>
                    <w:rPr>
                      <w:rFonts w:hint="default" w:ascii="Times New Roman" w:hAnsi="Times New Roman" w:cs="Times New Roman"/>
                      <w:color w:val="auto"/>
                      <w:sz w:val="21"/>
                      <w:szCs w:val="21"/>
                      <w:highlight w:val="none"/>
                    </w:rPr>
                  </w:pPr>
                </w:p>
              </w:tc>
            </w:tr>
            <w:tr w14:paraId="460C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647" w:type="dxa"/>
                </w:tcPr>
                <w:p w14:paraId="1DD1D375">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785" w:type="dxa"/>
                </w:tcPr>
                <w:p w14:paraId="3702E2CD">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废活性炭</w:t>
                  </w:r>
                </w:p>
              </w:tc>
              <w:tc>
                <w:tcPr>
                  <w:tcW w:w="761" w:type="dxa"/>
                  <w:vMerge w:val="continue"/>
                </w:tcPr>
                <w:p w14:paraId="3621530F">
                  <w:pPr>
                    <w:spacing w:line="240" w:lineRule="auto"/>
                    <w:ind w:firstLine="0" w:firstLineChars="0"/>
                    <w:rPr>
                      <w:rFonts w:hint="default" w:ascii="Times New Roman" w:hAnsi="Times New Roman" w:cs="Times New Roman"/>
                      <w:color w:val="auto"/>
                      <w:sz w:val="21"/>
                      <w:szCs w:val="21"/>
                      <w:highlight w:val="none"/>
                    </w:rPr>
                  </w:pPr>
                </w:p>
              </w:tc>
              <w:tc>
                <w:tcPr>
                  <w:tcW w:w="655" w:type="dxa"/>
                </w:tcPr>
                <w:p w14:paraId="377C2577">
                  <w:pPr>
                    <w:spacing w:line="240" w:lineRule="auto"/>
                    <w:ind w:firstLine="0" w:firstLineChars="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固体</w:t>
                  </w:r>
                </w:p>
              </w:tc>
              <w:tc>
                <w:tcPr>
                  <w:tcW w:w="715" w:type="dxa"/>
                </w:tcPr>
                <w:p w14:paraId="30B616DB">
                  <w:pPr>
                    <w:spacing w:line="240" w:lineRule="auto"/>
                    <w:ind w:firstLine="0" w:firstLineChars="0"/>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废活性炭</w:t>
                  </w:r>
                </w:p>
              </w:tc>
              <w:tc>
                <w:tcPr>
                  <w:tcW w:w="1183" w:type="dxa"/>
                  <w:vMerge w:val="continue"/>
                </w:tcPr>
                <w:p w14:paraId="5497941E">
                  <w:pPr>
                    <w:spacing w:line="240" w:lineRule="auto"/>
                    <w:ind w:firstLine="0" w:firstLineChars="0"/>
                    <w:rPr>
                      <w:rFonts w:hint="default" w:ascii="Times New Roman" w:hAnsi="Times New Roman" w:cs="Times New Roman"/>
                      <w:color w:val="auto"/>
                      <w:sz w:val="21"/>
                      <w:szCs w:val="21"/>
                      <w:highlight w:val="none"/>
                    </w:rPr>
                  </w:pPr>
                </w:p>
              </w:tc>
              <w:tc>
                <w:tcPr>
                  <w:tcW w:w="791" w:type="dxa"/>
                </w:tcPr>
                <w:p w14:paraId="561A2474">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HW49</w:t>
                  </w:r>
                </w:p>
              </w:tc>
              <w:tc>
                <w:tcPr>
                  <w:tcW w:w="792" w:type="dxa"/>
                </w:tcPr>
                <w:p w14:paraId="43F56303">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900-039-49</w:t>
                  </w:r>
                </w:p>
              </w:tc>
              <w:tc>
                <w:tcPr>
                  <w:tcW w:w="792" w:type="dxa"/>
                </w:tcPr>
                <w:p w14:paraId="37E44102">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r>
                    <w:rPr>
                      <w:rFonts w:hint="eastAsia" w:ascii="Times New Roman" w:hAnsi="Times New Roman" w:cs="Times New Roman"/>
                      <w:color w:val="auto"/>
                      <w:sz w:val="21"/>
                      <w:szCs w:val="21"/>
                      <w:highlight w:val="none"/>
                      <w:lang w:val="en-US" w:eastAsia="zh-CN"/>
                    </w:rPr>
                    <w:t>t/a</w:t>
                  </w:r>
                </w:p>
              </w:tc>
              <w:tc>
                <w:tcPr>
                  <w:tcW w:w="792" w:type="dxa"/>
                  <w:vMerge w:val="continue"/>
                </w:tcPr>
                <w:p w14:paraId="4A9EB82D">
                  <w:pPr>
                    <w:spacing w:line="240" w:lineRule="auto"/>
                    <w:ind w:firstLine="0" w:firstLineChars="0"/>
                    <w:rPr>
                      <w:rFonts w:hint="default" w:ascii="Times New Roman" w:hAnsi="Times New Roman" w:cs="Times New Roman"/>
                      <w:color w:val="auto"/>
                      <w:sz w:val="21"/>
                      <w:szCs w:val="21"/>
                      <w:highlight w:val="none"/>
                    </w:rPr>
                  </w:pPr>
                </w:p>
              </w:tc>
            </w:tr>
            <w:tr w14:paraId="32AA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647" w:type="dxa"/>
                </w:tcPr>
                <w:p w14:paraId="2F899BC3">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785" w:type="dxa"/>
                </w:tcPr>
                <w:p w14:paraId="2A1000C9">
                  <w:pPr>
                    <w:spacing w:line="240" w:lineRule="auto"/>
                    <w:ind w:firstLine="0" w:firstLineChars="0"/>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废漆渣</w:t>
                  </w:r>
                </w:p>
              </w:tc>
              <w:tc>
                <w:tcPr>
                  <w:tcW w:w="761" w:type="dxa"/>
                  <w:vMerge w:val="continue"/>
                </w:tcPr>
                <w:p w14:paraId="216AA1A4">
                  <w:pPr>
                    <w:spacing w:line="240" w:lineRule="auto"/>
                    <w:ind w:firstLine="0" w:firstLineChars="0"/>
                    <w:rPr>
                      <w:rFonts w:hint="default" w:ascii="Times New Roman" w:hAnsi="Times New Roman" w:cs="Times New Roman"/>
                      <w:color w:val="auto"/>
                      <w:sz w:val="21"/>
                      <w:szCs w:val="21"/>
                      <w:highlight w:val="none"/>
                    </w:rPr>
                  </w:pPr>
                </w:p>
              </w:tc>
              <w:tc>
                <w:tcPr>
                  <w:tcW w:w="655" w:type="dxa"/>
                </w:tcPr>
                <w:p w14:paraId="7043774C">
                  <w:pPr>
                    <w:spacing w:line="240" w:lineRule="auto"/>
                    <w:ind w:firstLine="0" w:firstLine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固体</w:t>
                  </w:r>
                </w:p>
              </w:tc>
              <w:tc>
                <w:tcPr>
                  <w:tcW w:w="715" w:type="dxa"/>
                </w:tcPr>
                <w:p w14:paraId="13D6D0A6">
                  <w:pPr>
                    <w:spacing w:line="240" w:lineRule="auto"/>
                    <w:ind w:firstLine="0" w:firstLineChars="0"/>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废漆渣</w:t>
                  </w:r>
                </w:p>
              </w:tc>
              <w:tc>
                <w:tcPr>
                  <w:tcW w:w="1183" w:type="dxa"/>
                  <w:vMerge w:val="continue"/>
                </w:tcPr>
                <w:p w14:paraId="75655002">
                  <w:pPr>
                    <w:spacing w:line="240" w:lineRule="auto"/>
                    <w:ind w:firstLine="0" w:firstLineChars="0"/>
                    <w:rPr>
                      <w:rFonts w:hint="default" w:ascii="Times New Roman" w:hAnsi="Times New Roman" w:cs="Times New Roman"/>
                      <w:color w:val="auto"/>
                      <w:sz w:val="21"/>
                      <w:szCs w:val="21"/>
                      <w:highlight w:val="none"/>
                    </w:rPr>
                  </w:pPr>
                </w:p>
              </w:tc>
              <w:tc>
                <w:tcPr>
                  <w:tcW w:w="791" w:type="dxa"/>
                </w:tcPr>
                <w:p w14:paraId="1B7912E9">
                  <w:pPr>
                    <w:spacing w:line="240" w:lineRule="auto"/>
                    <w:ind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HW49</w:t>
                  </w:r>
                </w:p>
              </w:tc>
              <w:tc>
                <w:tcPr>
                  <w:tcW w:w="792" w:type="dxa"/>
                </w:tcPr>
                <w:p w14:paraId="40929EE8">
                  <w:pPr>
                    <w:spacing w:line="240" w:lineRule="auto"/>
                    <w:ind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900-041-49</w:t>
                  </w:r>
                </w:p>
              </w:tc>
              <w:tc>
                <w:tcPr>
                  <w:tcW w:w="792" w:type="dxa"/>
                </w:tcPr>
                <w:p w14:paraId="0C5C97E0">
                  <w:pPr>
                    <w:spacing w:line="240" w:lineRule="auto"/>
                    <w:ind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0.5t/a</w:t>
                  </w:r>
                </w:p>
              </w:tc>
              <w:tc>
                <w:tcPr>
                  <w:tcW w:w="792" w:type="dxa"/>
                  <w:vMerge w:val="continue"/>
                </w:tcPr>
                <w:p w14:paraId="5C499EA8">
                  <w:pPr>
                    <w:spacing w:line="240" w:lineRule="auto"/>
                    <w:ind w:firstLine="0" w:firstLineChars="0"/>
                    <w:rPr>
                      <w:rFonts w:hint="default" w:ascii="Times New Roman" w:hAnsi="Times New Roman" w:cs="Times New Roman"/>
                      <w:color w:val="auto"/>
                      <w:sz w:val="21"/>
                      <w:szCs w:val="21"/>
                      <w:highlight w:val="none"/>
                    </w:rPr>
                  </w:pPr>
                </w:p>
              </w:tc>
            </w:tr>
            <w:tr w14:paraId="68BD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647" w:type="dxa"/>
                </w:tcPr>
                <w:p w14:paraId="673E4757">
                  <w:pPr>
                    <w:spacing w:line="240" w:lineRule="auto"/>
                    <w:ind w:firstLine="0" w:firstLineChars="0"/>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5</w:t>
                  </w:r>
                </w:p>
              </w:tc>
              <w:tc>
                <w:tcPr>
                  <w:tcW w:w="785" w:type="dxa"/>
                </w:tcPr>
                <w:p w14:paraId="5B43B69C">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废漆桶</w:t>
                  </w:r>
                </w:p>
              </w:tc>
              <w:tc>
                <w:tcPr>
                  <w:tcW w:w="761" w:type="dxa"/>
                  <w:vMerge w:val="continue"/>
                </w:tcPr>
                <w:p w14:paraId="4FC16EFD">
                  <w:pPr>
                    <w:spacing w:line="240" w:lineRule="auto"/>
                    <w:ind w:firstLine="0" w:firstLineChars="0"/>
                    <w:rPr>
                      <w:rFonts w:hint="default" w:ascii="Times New Roman" w:hAnsi="Times New Roman" w:cs="Times New Roman"/>
                      <w:color w:val="auto"/>
                      <w:sz w:val="21"/>
                      <w:szCs w:val="21"/>
                      <w:highlight w:val="none"/>
                    </w:rPr>
                  </w:pPr>
                </w:p>
              </w:tc>
              <w:tc>
                <w:tcPr>
                  <w:tcW w:w="655" w:type="dxa"/>
                </w:tcPr>
                <w:p w14:paraId="4ACBC477">
                  <w:pPr>
                    <w:spacing w:line="240" w:lineRule="auto"/>
                    <w:ind w:firstLine="0" w:firstLineChars="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固体</w:t>
                  </w:r>
                </w:p>
              </w:tc>
              <w:tc>
                <w:tcPr>
                  <w:tcW w:w="715" w:type="dxa"/>
                </w:tcPr>
                <w:p w14:paraId="063CD9EF">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废漆渣</w:t>
                  </w:r>
                </w:p>
              </w:tc>
              <w:tc>
                <w:tcPr>
                  <w:tcW w:w="1183" w:type="dxa"/>
                  <w:vMerge w:val="continue"/>
                </w:tcPr>
                <w:p w14:paraId="67814AFD">
                  <w:pPr>
                    <w:spacing w:line="240" w:lineRule="auto"/>
                    <w:ind w:firstLine="0" w:firstLineChars="0"/>
                    <w:rPr>
                      <w:rFonts w:hint="default" w:ascii="Times New Roman" w:hAnsi="Times New Roman" w:cs="Times New Roman"/>
                      <w:color w:val="auto"/>
                      <w:sz w:val="21"/>
                      <w:szCs w:val="21"/>
                      <w:highlight w:val="none"/>
                    </w:rPr>
                  </w:pPr>
                </w:p>
              </w:tc>
              <w:tc>
                <w:tcPr>
                  <w:tcW w:w="791" w:type="dxa"/>
                </w:tcPr>
                <w:p w14:paraId="6626A958">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HW49</w:t>
                  </w:r>
                </w:p>
              </w:tc>
              <w:tc>
                <w:tcPr>
                  <w:tcW w:w="792" w:type="dxa"/>
                </w:tcPr>
                <w:p w14:paraId="743B8236">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900-041-49</w:t>
                  </w:r>
                </w:p>
              </w:tc>
              <w:tc>
                <w:tcPr>
                  <w:tcW w:w="792" w:type="dxa"/>
                </w:tcPr>
                <w:p w14:paraId="29FF4B61">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0.17t/a</w:t>
                  </w:r>
                </w:p>
              </w:tc>
              <w:tc>
                <w:tcPr>
                  <w:tcW w:w="792" w:type="dxa"/>
                  <w:vMerge w:val="continue"/>
                </w:tcPr>
                <w:p w14:paraId="41FB8228">
                  <w:pPr>
                    <w:spacing w:line="240" w:lineRule="auto"/>
                    <w:ind w:firstLine="0" w:firstLineChars="0"/>
                    <w:rPr>
                      <w:rFonts w:hint="default" w:ascii="Times New Roman" w:hAnsi="Times New Roman" w:cs="Times New Roman"/>
                      <w:color w:val="auto"/>
                      <w:sz w:val="21"/>
                      <w:szCs w:val="21"/>
                      <w:highlight w:val="none"/>
                    </w:rPr>
                  </w:pPr>
                </w:p>
              </w:tc>
            </w:tr>
            <w:tr w14:paraId="680C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47" w:type="dxa"/>
                </w:tcPr>
                <w:p w14:paraId="2827938A">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w:t>
                  </w:r>
                </w:p>
              </w:tc>
              <w:tc>
                <w:tcPr>
                  <w:tcW w:w="785" w:type="dxa"/>
                </w:tcPr>
                <w:p w14:paraId="2A0F173E">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废机油</w:t>
                  </w:r>
                </w:p>
              </w:tc>
              <w:tc>
                <w:tcPr>
                  <w:tcW w:w="761" w:type="dxa"/>
                  <w:vMerge w:val="restart"/>
                </w:tcPr>
                <w:p w14:paraId="36882413">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设备维修</w:t>
                  </w:r>
                </w:p>
              </w:tc>
              <w:tc>
                <w:tcPr>
                  <w:tcW w:w="655" w:type="dxa"/>
                </w:tcPr>
                <w:p w14:paraId="6E65FEBB">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固体</w:t>
                  </w:r>
                </w:p>
              </w:tc>
              <w:tc>
                <w:tcPr>
                  <w:tcW w:w="715" w:type="dxa"/>
                </w:tcPr>
                <w:p w14:paraId="332C5886">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废机油</w:t>
                  </w:r>
                </w:p>
              </w:tc>
              <w:tc>
                <w:tcPr>
                  <w:tcW w:w="1183" w:type="dxa"/>
                  <w:vMerge w:val="continue"/>
                </w:tcPr>
                <w:p w14:paraId="1AFF4CC3">
                  <w:pPr>
                    <w:spacing w:line="240" w:lineRule="auto"/>
                    <w:ind w:firstLine="0" w:firstLineChars="0"/>
                    <w:rPr>
                      <w:rFonts w:hint="default" w:ascii="Times New Roman" w:hAnsi="Times New Roman" w:cs="Times New Roman"/>
                      <w:color w:val="auto"/>
                      <w:sz w:val="21"/>
                      <w:szCs w:val="21"/>
                      <w:highlight w:val="none"/>
                    </w:rPr>
                  </w:pPr>
                </w:p>
              </w:tc>
              <w:tc>
                <w:tcPr>
                  <w:tcW w:w="791" w:type="dxa"/>
                </w:tcPr>
                <w:p w14:paraId="72450097">
                  <w:pPr>
                    <w:spacing w:line="240" w:lineRule="auto"/>
                    <w:ind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HW08</w:t>
                  </w:r>
                </w:p>
              </w:tc>
              <w:tc>
                <w:tcPr>
                  <w:tcW w:w="792" w:type="dxa"/>
                </w:tcPr>
                <w:p w14:paraId="052C1F66">
                  <w:pPr>
                    <w:spacing w:line="240" w:lineRule="auto"/>
                    <w:ind w:firstLine="0" w:firstLineChars="0"/>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900-214-08</w:t>
                  </w:r>
                </w:p>
              </w:tc>
              <w:tc>
                <w:tcPr>
                  <w:tcW w:w="792" w:type="dxa"/>
                </w:tcPr>
                <w:p w14:paraId="7E4E173F">
                  <w:pPr>
                    <w:spacing w:line="240" w:lineRule="auto"/>
                    <w:ind w:firstLine="0" w:firstLineChars="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0.1t/a</w:t>
                  </w:r>
                </w:p>
              </w:tc>
              <w:tc>
                <w:tcPr>
                  <w:tcW w:w="792" w:type="dxa"/>
                  <w:vMerge w:val="continue"/>
                </w:tcPr>
                <w:p w14:paraId="0BC13517">
                  <w:pPr>
                    <w:spacing w:line="240" w:lineRule="auto"/>
                    <w:ind w:firstLine="0" w:firstLineChars="0"/>
                    <w:rPr>
                      <w:rFonts w:hint="default" w:ascii="Times New Roman" w:hAnsi="Times New Roman" w:cs="Times New Roman"/>
                      <w:color w:val="auto"/>
                      <w:sz w:val="21"/>
                      <w:szCs w:val="21"/>
                      <w:highlight w:val="none"/>
                    </w:rPr>
                  </w:pPr>
                </w:p>
              </w:tc>
            </w:tr>
            <w:tr w14:paraId="42DD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47" w:type="dxa"/>
                </w:tcPr>
                <w:p w14:paraId="6CB2857D">
                  <w:pPr>
                    <w:spacing w:line="240" w:lineRule="auto"/>
                    <w:ind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w:t>
                  </w:r>
                </w:p>
              </w:tc>
              <w:tc>
                <w:tcPr>
                  <w:tcW w:w="785" w:type="dxa"/>
                </w:tcPr>
                <w:p w14:paraId="5777815E">
                  <w:pPr>
                    <w:spacing w:line="240" w:lineRule="auto"/>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废油桶</w:t>
                  </w:r>
                </w:p>
              </w:tc>
              <w:tc>
                <w:tcPr>
                  <w:tcW w:w="761" w:type="dxa"/>
                  <w:vMerge w:val="continue"/>
                </w:tcPr>
                <w:p w14:paraId="68E538BF">
                  <w:pPr>
                    <w:spacing w:line="240" w:lineRule="auto"/>
                    <w:ind w:firstLine="0" w:firstLineChars="0"/>
                    <w:rPr>
                      <w:rFonts w:hint="eastAsia" w:ascii="Times New Roman" w:hAnsi="Times New Roman" w:eastAsia="宋体" w:cs="Times New Roman"/>
                      <w:color w:val="auto"/>
                      <w:sz w:val="21"/>
                      <w:szCs w:val="21"/>
                      <w:highlight w:val="none"/>
                      <w:lang w:val="en-US" w:eastAsia="zh-CN"/>
                    </w:rPr>
                  </w:pPr>
                </w:p>
              </w:tc>
              <w:tc>
                <w:tcPr>
                  <w:tcW w:w="655" w:type="dxa"/>
                </w:tcPr>
                <w:p w14:paraId="12BD3ADA">
                  <w:pPr>
                    <w:spacing w:line="240" w:lineRule="auto"/>
                    <w:ind w:firstLine="0" w:firstLine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固体</w:t>
                  </w:r>
                </w:p>
              </w:tc>
              <w:tc>
                <w:tcPr>
                  <w:tcW w:w="715" w:type="dxa"/>
                </w:tcPr>
                <w:p w14:paraId="13D9A89C">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废机油</w:t>
                  </w:r>
                </w:p>
              </w:tc>
              <w:tc>
                <w:tcPr>
                  <w:tcW w:w="1183" w:type="dxa"/>
                </w:tcPr>
                <w:p w14:paraId="5D9FD87D">
                  <w:pPr>
                    <w:spacing w:line="240" w:lineRule="auto"/>
                    <w:ind w:firstLine="0" w:firstLineChars="0"/>
                    <w:rPr>
                      <w:rFonts w:hint="default" w:ascii="Times New Roman" w:hAnsi="Times New Roman" w:cs="Times New Roman"/>
                      <w:color w:val="auto"/>
                      <w:sz w:val="21"/>
                      <w:szCs w:val="21"/>
                      <w:highlight w:val="none"/>
                    </w:rPr>
                  </w:pPr>
                </w:p>
              </w:tc>
              <w:tc>
                <w:tcPr>
                  <w:tcW w:w="791" w:type="dxa"/>
                </w:tcPr>
                <w:p w14:paraId="50B1B94D">
                  <w:pPr>
                    <w:spacing w:line="240" w:lineRule="auto"/>
                    <w:ind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HW49</w:t>
                  </w:r>
                </w:p>
              </w:tc>
              <w:tc>
                <w:tcPr>
                  <w:tcW w:w="792" w:type="dxa"/>
                </w:tcPr>
                <w:p w14:paraId="37F5D709">
                  <w:pPr>
                    <w:spacing w:line="240" w:lineRule="auto"/>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900-041-49</w:t>
                  </w:r>
                </w:p>
              </w:tc>
              <w:tc>
                <w:tcPr>
                  <w:tcW w:w="792" w:type="dxa"/>
                </w:tcPr>
                <w:p w14:paraId="7AB1A5C6">
                  <w:pPr>
                    <w:spacing w:line="240" w:lineRule="auto"/>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0.1t/a</w:t>
                  </w:r>
                </w:p>
              </w:tc>
              <w:tc>
                <w:tcPr>
                  <w:tcW w:w="792" w:type="dxa"/>
                  <w:vMerge w:val="continue"/>
                </w:tcPr>
                <w:p w14:paraId="3F11F5D2">
                  <w:pPr>
                    <w:spacing w:line="240" w:lineRule="auto"/>
                    <w:ind w:firstLine="0" w:firstLineChars="0"/>
                    <w:rPr>
                      <w:rFonts w:hint="default" w:ascii="Times New Roman" w:hAnsi="Times New Roman" w:cs="Times New Roman"/>
                      <w:color w:val="auto"/>
                      <w:sz w:val="21"/>
                      <w:szCs w:val="21"/>
                      <w:highlight w:val="none"/>
                    </w:rPr>
                  </w:pPr>
                </w:p>
              </w:tc>
            </w:tr>
          </w:tbl>
          <w:p w14:paraId="0234F44A">
            <w:pPr>
              <w:bidi w:val="0"/>
              <w:jc w:val="center"/>
              <w:rPr>
                <w:rFonts w:hint="eastAsia"/>
                <w:b/>
                <w:bCs/>
                <w:color w:val="auto"/>
                <w:highlight w:val="none"/>
                <w:lang w:val="en-US" w:eastAsia="zh-CN"/>
              </w:rPr>
            </w:pPr>
            <w:r>
              <w:rPr>
                <w:rFonts w:hint="eastAsia"/>
                <w:b/>
                <w:bCs/>
                <w:color w:val="auto"/>
                <w:highlight w:val="none"/>
                <w:lang w:val="en-US" w:eastAsia="zh-CN"/>
              </w:rPr>
              <w:t>表4-7建设项目危险废物贮存场所基本情况样表</w:t>
            </w:r>
          </w:p>
          <w:tbl>
            <w:tblPr>
              <w:tblStyle w:val="26"/>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666"/>
              <w:gridCol w:w="1123"/>
              <w:gridCol w:w="826"/>
              <w:gridCol w:w="1269"/>
              <w:gridCol w:w="660"/>
              <w:gridCol w:w="734"/>
              <w:gridCol w:w="697"/>
              <w:gridCol w:w="697"/>
              <w:gridCol w:w="715"/>
            </w:tblGrid>
            <w:tr w14:paraId="40CC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342" w:type="pct"/>
                  <w:shd w:val="clear" w:color="auto" w:fill="auto"/>
                  <w:vAlign w:val="center"/>
                </w:tcPr>
                <w:p w14:paraId="6652772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序号</w:t>
                  </w:r>
                </w:p>
              </w:tc>
              <w:tc>
                <w:tcPr>
                  <w:tcW w:w="419" w:type="pct"/>
                  <w:shd w:val="clear" w:color="auto" w:fill="auto"/>
                  <w:vAlign w:val="center"/>
                </w:tcPr>
                <w:p w14:paraId="5309FF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贮存场所名称</w:t>
                  </w:r>
                </w:p>
              </w:tc>
              <w:tc>
                <w:tcPr>
                  <w:tcW w:w="707" w:type="pct"/>
                  <w:shd w:val="clear" w:color="auto" w:fill="auto"/>
                  <w:vAlign w:val="center"/>
                </w:tcPr>
                <w:p w14:paraId="75D5363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危险废物名称</w:t>
                  </w:r>
                </w:p>
              </w:tc>
              <w:tc>
                <w:tcPr>
                  <w:tcW w:w="520" w:type="pct"/>
                  <w:shd w:val="clear" w:color="auto" w:fill="auto"/>
                  <w:vAlign w:val="center"/>
                </w:tcPr>
                <w:p w14:paraId="194E1FD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危险废物类别</w:t>
                  </w:r>
                </w:p>
              </w:tc>
              <w:tc>
                <w:tcPr>
                  <w:tcW w:w="800" w:type="pct"/>
                  <w:shd w:val="clear" w:color="auto" w:fill="auto"/>
                  <w:vAlign w:val="center"/>
                </w:tcPr>
                <w:p w14:paraId="79097F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危险废物</w:t>
                  </w:r>
                </w:p>
                <w:p w14:paraId="440306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代码</w:t>
                  </w:r>
                </w:p>
              </w:tc>
              <w:tc>
                <w:tcPr>
                  <w:tcW w:w="416" w:type="pct"/>
                  <w:shd w:val="clear" w:color="auto" w:fill="auto"/>
                  <w:vAlign w:val="center"/>
                </w:tcPr>
                <w:p w14:paraId="0868B36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分区</w:t>
                  </w:r>
                </w:p>
              </w:tc>
              <w:tc>
                <w:tcPr>
                  <w:tcW w:w="462" w:type="pct"/>
                  <w:shd w:val="clear" w:color="auto" w:fill="auto"/>
                  <w:vAlign w:val="center"/>
                </w:tcPr>
                <w:p w14:paraId="32BC8A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占地面积</w:t>
                  </w:r>
                </w:p>
              </w:tc>
              <w:tc>
                <w:tcPr>
                  <w:tcW w:w="439" w:type="pct"/>
                  <w:shd w:val="clear" w:color="auto" w:fill="auto"/>
                  <w:vAlign w:val="center"/>
                </w:tcPr>
                <w:p w14:paraId="2BD9D6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贮存方式</w:t>
                  </w:r>
                </w:p>
              </w:tc>
              <w:tc>
                <w:tcPr>
                  <w:tcW w:w="439" w:type="pct"/>
                  <w:shd w:val="clear" w:color="auto" w:fill="auto"/>
                  <w:vAlign w:val="center"/>
                </w:tcPr>
                <w:p w14:paraId="19ACA2D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贮存能力</w:t>
                  </w:r>
                </w:p>
              </w:tc>
              <w:tc>
                <w:tcPr>
                  <w:tcW w:w="450" w:type="pct"/>
                  <w:shd w:val="clear" w:color="auto" w:fill="auto"/>
                  <w:vAlign w:val="center"/>
                </w:tcPr>
                <w:p w14:paraId="306D9F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贮存</w:t>
                  </w:r>
                </w:p>
                <w:p w14:paraId="6C9C79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周期</w:t>
                  </w:r>
                </w:p>
              </w:tc>
            </w:tr>
            <w:tr w14:paraId="3ABC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shd w:val="clear" w:color="auto" w:fill="auto"/>
                  <w:vAlign w:val="center"/>
                </w:tcPr>
                <w:p w14:paraId="0B672B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1</w:t>
                  </w:r>
                </w:p>
              </w:tc>
              <w:tc>
                <w:tcPr>
                  <w:tcW w:w="419" w:type="pct"/>
                  <w:vMerge w:val="restart"/>
                  <w:shd w:val="clear" w:color="auto" w:fill="auto"/>
                  <w:vAlign w:val="center"/>
                </w:tcPr>
                <w:p w14:paraId="0C69B8C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危险废物暂存库</w:t>
                  </w:r>
                </w:p>
              </w:tc>
              <w:tc>
                <w:tcPr>
                  <w:tcW w:w="707" w:type="pct"/>
                  <w:shd w:val="clear" w:color="auto" w:fill="auto"/>
                  <w:vAlign w:val="top"/>
                </w:tcPr>
                <w:p w14:paraId="316D16C6">
                  <w:pPr>
                    <w:spacing w:line="240" w:lineRule="auto"/>
                    <w:ind w:firstLine="0" w:firstLineChars="0"/>
                    <w:rPr>
                      <w:rFonts w:hint="eastAsia"/>
                      <w:color w:val="auto"/>
                      <w:sz w:val="22"/>
                      <w:szCs w:val="22"/>
                      <w:highlight w:val="none"/>
                      <w:lang w:val="en-US" w:eastAsia="zh-CN"/>
                    </w:rPr>
                  </w:pPr>
                  <w:r>
                    <w:rPr>
                      <w:rFonts w:hint="eastAsia"/>
                      <w:color w:val="auto"/>
                      <w:sz w:val="22"/>
                      <w:szCs w:val="22"/>
                      <w:highlight w:val="none"/>
                      <w:lang w:val="en-US" w:eastAsia="zh-CN"/>
                    </w:rPr>
                    <w:t>废纸壳（含废漆渣）</w:t>
                  </w:r>
                </w:p>
              </w:tc>
              <w:tc>
                <w:tcPr>
                  <w:tcW w:w="520" w:type="pct"/>
                  <w:shd w:val="clear" w:color="auto" w:fill="auto"/>
                  <w:vAlign w:val="center"/>
                </w:tcPr>
                <w:p w14:paraId="645893E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HW49</w:t>
                  </w:r>
                </w:p>
              </w:tc>
              <w:tc>
                <w:tcPr>
                  <w:tcW w:w="800" w:type="pct"/>
                  <w:shd w:val="clear" w:color="auto" w:fill="auto"/>
                  <w:vAlign w:val="center"/>
                </w:tcPr>
                <w:p w14:paraId="2DF1CA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900-041-49</w:t>
                  </w:r>
                </w:p>
              </w:tc>
              <w:tc>
                <w:tcPr>
                  <w:tcW w:w="416" w:type="pct"/>
                  <w:shd w:val="clear" w:color="auto" w:fill="auto"/>
                  <w:vAlign w:val="center"/>
                </w:tcPr>
                <w:p w14:paraId="2AD158B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分区一</w:t>
                  </w:r>
                </w:p>
              </w:tc>
              <w:tc>
                <w:tcPr>
                  <w:tcW w:w="462" w:type="pct"/>
                  <w:vMerge w:val="restart"/>
                  <w:shd w:val="clear" w:color="auto" w:fill="auto"/>
                  <w:vAlign w:val="center"/>
                </w:tcPr>
                <w:p w14:paraId="4C076F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12㎡</w:t>
                  </w:r>
                </w:p>
              </w:tc>
              <w:tc>
                <w:tcPr>
                  <w:tcW w:w="439" w:type="pct"/>
                  <w:shd w:val="clear" w:color="auto" w:fill="auto"/>
                  <w:vAlign w:val="center"/>
                </w:tcPr>
                <w:p w14:paraId="429F29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桶装</w:t>
                  </w:r>
                </w:p>
              </w:tc>
              <w:tc>
                <w:tcPr>
                  <w:tcW w:w="439" w:type="pct"/>
                  <w:shd w:val="clear" w:color="auto" w:fill="auto"/>
                  <w:vAlign w:val="center"/>
                </w:tcPr>
                <w:p w14:paraId="02DD52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0.1t/a</w:t>
                  </w:r>
                </w:p>
              </w:tc>
              <w:tc>
                <w:tcPr>
                  <w:tcW w:w="450" w:type="pct"/>
                  <w:shd w:val="clear" w:color="auto" w:fill="auto"/>
                  <w:vAlign w:val="center"/>
                </w:tcPr>
                <w:p w14:paraId="40C3807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12月</w:t>
                  </w:r>
                </w:p>
              </w:tc>
            </w:tr>
            <w:tr w14:paraId="08A7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shd w:val="clear" w:color="auto" w:fill="auto"/>
                  <w:vAlign w:val="center"/>
                </w:tcPr>
                <w:p w14:paraId="729E993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2</w:t>
                  </w:r>
                </w:p>
              </w:tc>
              <w:tc>
                <w:tcPr>
                  <w:tcW w:w="419" w:type="pct"/>
                  <w:vMerge w:val="continue"/>
                  <w:shd w:val="clear" w:color="auto" w:fill="auto"/>
                  <w:vAlign w:val="center"/>
                </w:tcPr>
                <w:p w14:paraId="66EAB3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707" w:type="pct"/>
                  <w:shd w:val="clear" w:color="auto" w:fill="auto"/>
                  <w:vAlign w:val="top"/>
                </w:tcPr>
                <w:p w14:paraId="11537E98">
                  <w:pPr>
                    <w:spacing w:line="240" w:lineRule="auto"/>
                    <w:ind w:firstLine="0" w:firstLineChars="0"/>
                    <w:rPr>
                      <w:rFonts w:hint="eastAsia"/>
                      <w:color w:val="auto"/>
                      <w:sz w:val="22"/>
                      <w:szCs w:val="22"/>
                      <w:highlight w:val="none"/>
                      <w:lang w:val="en-US" w:eastAsia="zh-CN"/>
                    </w:rPr>
                  </w:pPr>
                  <w:r>
                    <w:rPr>
                      <w:rFonts w:hint="eastAsia"/>
                      <w:color w:val="auto"/>
                      <w:sz w:val="22"/>
                      <w:szCs w:val="22"/>
                      <w:highlight w:val="none"/>
                      <w:lang w:val="en-US" w:eastAsia="zh-CN"/>
                    </w:rPr>
                    <w:t>废过滤棉（含废漆渣）</w:t>
                  </w:r>
                </w:p>
              </w:tc>
              <w:tc>
                <w:tcPr>
                  <w:tcW w:w="826" w:type="dxa"/>
                  <w:shd w:val="clear" w:color="auto" w:fill="auto"/>
                  <w:vAlign w:val="center"/>
                </w:tcPr>
                <w:p w14:paraId="7B56EF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HW49</w:t>
                  </w:r>
                </w:p>
              </w:tc>
              <w:tc>
                <w:tcPr>
                  <w:tcW w:w="1269" w:type="dxa"/>
                  <w:shd w:val="clear" w:color="auto" w:fill="auto"/>
                  <w:vAlign w:val="center"/>
                </w:tcPr>
                <w:p w14:paraId="38EEE9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900-041-49</w:t>
                  </w:r>
                </w:p>
              </w:tc>
              <w:tc>
                <w:tcPr>
                  <w:tcW w:w="660" w:type="dxa"/>
                  <w:shd w:val="clear" w:color="auto" w:fill="auto"/>
                  <w:vAlign w:val="center"/>
                </w:tcPr>
                <w:p w14:paraId="3F8945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分区一</w:t>
                  </w:r>
                </w:p>
              </w:tc>
              <w:tc>
                <w:tcPr>
                  <w:tcW w:w="462" w:type="pct"/>
                  <w:vMerge w:val="continue"/>
                  <w:shd w:val="clear" w:color="auto" w:fill="auto"/>
                  <w:vAlign w:val="center"/>
                </w:tcPr>
                <w:p w14:paraId="5BB8F0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439" w:type="pct"/>
                  <w:shd w:val="clear" w:color="auto" w:fill="auto"/>
                  <w:vAlign w:val="center"/>
                </w:tcPr>
                <w:p w14:paraId="1A5FD53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桶装</w:t>
                  </w:r>
                </w:p>
              </w:tc>
              <w:tc>
                <w:tcPr>
                  <w:tcW w:w="439" w:type="pct"/>
                  <w:shd w:val="clear" w:color="auto" w:fill="auto"/>
                  <w:vAlign w:val="center"/>
                </w:tcPr>
                <w:p w14:paraId="5E9718A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0.1t/a</w:t>
                  </w:r>
                </w:p>
              </w:tc>
              <w:tc>
                <w:tcPr>
                  <w:tcW w:w="450" w:type="pct"/>
                  <w:shd w:val="clear" w:color="auto" w:fill="auto"/>
                  <w:vAlign w:val="center"/>
                </w:tcPr>
                <w:p w14:paraId="781981D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12月</w:t>
                  </w:r>
                </w:p>
              </w:tc>
            </w:tr>
            <w:tr w14:paraId="3D8B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342" w:type="pct"/>
                  <w:shd w:val="clear" w:color="auto" w:fill="auto"/>
                  <w:vAlign w:val="center"/>
                </w:tcPr>
                <w:p w14:paraId="7801E8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3</w:t>
                  </w:r>
                </w:p>
              </w:tc>
              <w:tc>
                <w:tcPr>
                  <w:tcW w:w="419" w:type="pct"/>
                  <w:vMerge w:val="continue"/>
                  <w:shd w:val="clear" w:color="auto" w:fill="auto"/>
                  <w:vAlign w:val="center"/>
                </w:tcPr>
                <w:p w14:paraId="7D833D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707" w:type="pct"/>
                  <w:shd w:val="clear" w:color="auto" w:fill="auto"/>
                  <w:vAlign w:val="top"/>
                </w:tcPr>
                <w:p w14:paraId="1F9BD094">
                  <w:pPr>
                    <w:spacing w:line="240" w:lineRule="auto"/>
                    <w:ind w:firstLine="0" w:firstLineChars="0"/>
                    <w:rPr>
                      <w:rFonts w:hint="eastAsia"/>
                      <w:color w:val="auto"/>
                      <w:sz w:val="22"/>
                      <w:szCs w:val="22"/>
                      <w:highlight w:val="none"/>
                      <w:lang w:val="en-US" w:eastAsia="zh-CN"/>
                    </w:rPr>
                  </w:pPr>
                  <w:r>
                    <w:rPr>
                      <w:rFonts w:hint="default" w:ascii="Times New Roman" w:hAnsi="Times New Roman" w:cs="Times New Roman"/>
                      <w:color w:val="auto"/>
                      <w:sz w:val="22"/>
                      <w:szCs w:val="22"/>
                      <w:highlight w:val="none"/>
                      <w:lang w:val="en-US" w:eastAsia="zh-CN"/>
                    </w:rPr>
                    <w:t>废活性炭</w:t>
                  </w:r>
                </w:p>
              </w:tc>
              <w:tc>
                <w:tcPr>
                  <w:tcW w:w="520" w:type="pct"/>
                  <w:shd w:val="clear" w:color="auto" w:fill="auto"/>
                  <w:vAlign w:val="center"/>
                </w:tcPr>
                <w:p w14:paraId="01679D9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HW49</w:t>
                  </w:r>
                </w:p>
              </w:tc>
              <w:tc>
                <w:tcPr>
                  <w:tcW w:w="800" w:type="pct"/>
                  <w:shd w:val="clear" w:color="auto" w:fill="auto"/>
                  <w:vAlign w:val="center"/>
                </w:tcPr>
                <w:p w14:paraId="293C9E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900-039-49</w:t>
                  </w:r>
                </w:p>
              </w:tc>
              <w:tc>
                <w:tcPr>
                  <w:tcW w:w="416" w:type="pct"/>
                  <w:shd w:val="clear" w:color="auto" w:fill="auto"/>
                  <w:vAlign w:val="center"/>
                </w:tcPr>
                <w:p w14:paraId="18BDBE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分区二</w:t>
                  </w:r>
                </w:p>
              </w:tc>
              <w:tc>
                <w:tcPr>
                  <w:tcW w:w="462" w:type="pct"/>
                  <w:vMerge w:val="continue"/>
                  <w:shd w:val="clear" w:color="auto" w:fill="auto"/>
                  <w:vAlign w:val="center"/>
                </w:tcPr>
                <w:p w14:paraId="72ACB2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439" w:type="pct"/>
                  <w:shd w:val="clear" w:color="auto" w:fill="auto"/>
                  <w:vAlign w:val="center"/>
                </w:tcPr>
                <w:p w14:paraId="761F3B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桶装</w:t>
                  </w:r>
                </w:p>
              </w:tc>
              <w:tc>
                <w:tcPr>
                  <w:tcW w:w="439" w:type="pct"/>
                  <w:shd w:val="clear" w:color="auto" w:fill="auto"/>
                  <w:vAlign w:val="center"/>
                </w:tcPr>
                <w:p w14:paraId="506AB2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0.1t/a</w:t>
                  </w:r>
                </w:p>
              </w:tc>
              <w:tc>
                <w:tcPr>
                  <w:tcW w:w="450" w:type="pct"/>
                  <w:shd w:val="clear" w:color="auto" w:fill="auto"/>
                  <w:vAlign w:val="center"/>
                </w:tcPr>
                <w:p w14:paraId="401E170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4月</w:t>
                  </w:r>
                </w:p>
              </w:tc>
            </w:tr>
            <w:tr w14:paraId="6D05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342" w:type="pct"/>
                  <w:shd w:val="clear" w:color="auto" w:fill="auto"/>
                  <w:vAlign w:val="center"/>
                </w:tcPr>
                <w:p w14:paraId="213AF6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4</w:t>
                  </w:r>
                </w:p>
              </w:tc>
              <w:tc>
                <w:tcPr>
                  <w:tcW w:w="419" w:type="pct"/>
                  <w:vMerge w:val="continue"/>
                  <w:shd w:val="clear" w:color="auto" w:fill="auto"/>
                  <w:vAlign w:val="center"/>
                </w:tcPr>
                <w:p w14:paraId="01D69FF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707" w:type="pct"/>
                  <w:shd w:val="clear" w:color="auto" w:fill="auto"/>
                  <w:vAlign w:val="top"/>
                </w:tcPr>
                <w:p w14:paraId="6F5A3D10">
                  <w:pPr>
                    <w:spacing w:line="240" w:lineRule="auto"/>
                    <w:ind w:firstLine="0" w:firstLineChars="0"/>
                    <w:rPr>
                      <w:rFonts w:hint="default" w:ascii="Times New Roman" w:hAnsi="Times New Roman" w:cs="Times New Roman"/>
                      <w:color w:val="auto"/>
                      <w:sz w:val="22"/>
                      <w:szCs w:val="22"/>
                      <w:highlight w:val="none"/>
                      <w:lang w:val="en-US" w:eastAsia="zh-CN"/>
                    </w:rPr>
                  </w:pPr>
                  <w:r>
                    <w:rPr>
                      <w:rFonts w:hint="eastAsia" w:cs="Times New Roman"/>
                      <w:color w:val="auto"/>
                      <w:sz w:val="22"/>
                      <w:szCs w:val="22"/>
                      <w:highlight w:val="none"/>
                      <w:lang w:val="en-US" w:eastAsia="zh-CN"/>
                    </w:rPr>
                    <w:t>废漆渣</w:t>
                  </w:r>
                </w:p>
              </w:tc>
              <w:tc>
                <w:tcPr>
                  <w:tcW w:w="520" w:type="pct"/>
                  <w:shd w:val="clear" w:color="auto" w:fill="auto"/>
                  <w:vAlign w:val="center"/>
                </w:tcPr>
                <w:p w14:paraId="6679E26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HW49</w:t>
                  </w:r>
                </w:p>
              </w:tc>
              <w:tc>
                <w:tcPr>
                  <w:tcW w:w="800" w:type="pct"/>
                  <w:shd w:val="clear" w:color="auto" w:fill="auto"/>
                  <w:vAlign w:val="center"/>
                </w:tcPr>
                <w:p w14:paraId="0B950AE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900-041-49</w:t>
                  </w:r>
                </w:p>
              </w:tc>
              <w:tc>
                <w:tcPr>
                  <w:tcW w:w="416" w:type="pct"/>
                  <w:shd w:val="clear" w:color="auto" w:fill="auto"/>
                  <w:vAlign w:val="center"/>
                </w:tcPr>
                <w:p w14:paraId="29754F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分区一</w:t>
                  </w:r>
                </w:p>
              </w:tc>
              <w:tc>
                <w:tcPr>
                  <w:tcW w:w="462" w:type="pct"/>
                  <w:vMerge w:val="continue"/>
                  <w:shd w:val="clear" w:color="auto" w:fill="auto"/>
                  <w:vAlign w:val="center"/>
                </w:tcPr>
                <w:p w14:paraId="57FBA1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439" w:type="pct"/>
                  <w:shd w:val="clear" w:color="auto" w:fill="auto"/>
                  <w:vAlign w:val="center"/>
                </w:tcPr>
                <w:p w14:paraId="64DBFA3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桶装</w:t>
                  </w:r>
                </w:p>
              </w:tc>
              <w:tc>
                <w:tcPr>
                  <w:tcW w:w="439" w:type="pct"/>
                  <w:shd w:val="clear" w:color="auto" w:fill="auto"/>
                  <w:vAlign w:val="center"/>
                </w:tcPr>
                <w:p w14:paraId="74234E4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0.2t/a</w:t>
                  </w:r>
                </w:p>
              </w:tc>
              <w:tc>
                <w:tcPr>
                  <w:tcW w:w="450" w:type="pct"/>
                  <w:shd w:val="clear" w:color="auto" w:fill="auto"/>
                  <w:vAlign w:val="center"/>
                </w:tcPr>
                <w:p w14:paraId="757678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3月</w:t>
                  </w:r>
                </w:p>
              </w:tc>
            </w:tr>
            <w:tr w14:paraId="4501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342" w:type="pct"/>
                  <w:shd w:val="clear" w:color="auto" w:fill="auto"/>
                  <w:vAlign w:val="center"/>
                </w:tcPr>
                <w:p w14:paraId="32708C4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5</w:t>
                  </w:r>
                </w:p>
              </w:tc>
              <w:tc>
                <w:tcPr>
                  <w:tcW w:w="419" w:type="pct"/>
                  <w:vMerge w:val="continue"/>
                  <w:shd w:val="clear" w:color="auto" w:fill="auto"/>
                  <w:vAlign w:val="center"/>
                </w:tcPr>
                <w:p w14:paraId="57ECC4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707" w:type="pct"/>
                  <w:shd w:val="clear" w:color="auto" w:fill="auto"/>
                  <w:vAlign w:val="top"/>
                </w:tcPr>
                <w:p w14:paraId="09734885">
                  <w:pPr>
                    <w:spacing w:line="240" w:lineRule="auto"/>
                    <w:ind w:firstLine="0" w:firstLineChars="0"/>
                    <w:rPr>
                      <w:rFonts w:hint="eastAsia"/>
                      <w:color w:val="auto"/>
                      <w:sz w:val="22"/>
                      <w:szCs w:val="22"/>
                      <w:highlight w:val="none"/>
                      <w:lang w:val="en-US" w:eastAsia="zh-CN"/>
                    </w:rPr>
                  </w:pPr>
                  <w:r>
                    <w:rPr>
                      <w:rFonts w:hint="eastAsia"/>
                      <w:color w:val="auto"/>
                      <w:sz w:val="22"/>
                      <w:szCs w:val="22"/>
                      <w:highlight w:val="none"/>
                      <w:lang w:val="en-US" w:eastAsia="zh-CN"/>
                    </w:rPr>
                    <w:t>废漆桶</w:t>
                  </w:r>
                </w:p>
              </w:tc>
              <w:tc>
                <w:tcPr>
                  <w:tcW w:w="520" w:type="pct"/>
                  <w:shd w:val="clear" w:color="auto" w:fill="auto"/>
                  <w:vAlign w:val="center"/>
                </w:tcPr>
                <w:p w14:paraId="1659C6F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HW49</w:t>
                  </w:r>
                </w:p>
              </w:tc>
              <w:tc>
                <w:tcPr>
                  <w:tcW w:w="800" w:type="pct"/>
                  <w:shd w:val="clear" w:color="auto" w:fill="auto"/>
                  <w:vAlign w:val="center"/>
                </w:tcPr>
                <w:p w14:paraId="5CB98F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900-041-49</w:t>
                  </w:r>
                </w:p>
              </w:tc>
              <w:tc>
                <w:tcPr>
                  <w:tcW w:w="416" w:type="pct"/>
                  <w:shd w:val="clear" w:color="auto" w:fill="auto"/>
                  <w:vAlign w:val="center"/>
                </w:tcPr>
                <w:p w14:paraId="7DF4CF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分区一</w:t>
                  </w:r>
                </w:p>
              </w:tc>
              <w:tc>
                <w:tcPr>
                  <w:tcW w:w="462" w:type="pct"/>
                  <w:vMerge w:val="continue"/>
                  <w:shd w:val="clear" w:color="auto" w:fill="auto"/>
                  <w:vAlign w:val="center"/>
                </w:tcPr>
                <w:p w14:paraId="18B3E03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439" w:type="pct"/>
                  <w:shd w:val="clear" w:color="auto" w:fill="auto"/>
                  <w:vAlign w:val="center"/>
                </w:tcPr>
                <w:p w14:paraId="7594563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桶装</w:t>
                  </w:r>
                </w:p>
              </w:tc>
              <w:tc>
                <w:tcPr>
                  <w:tcW w:w="439" w:type="pct"/>
                  <w:shd w:val="clear" w:color="auto" w:fill="auto"/>
                  <w:vAlign w:val="center"/>
                </w:tcPr>
                <w:p w14:paraId="79B0B6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0.2t/a</w:t>
                  </w:r>
                </w:p>
              </w:tc>
              <w:tc>
                <w:tcPr>
                  <w:tcW w:w="450" w:type="pct"/>
                  <w:shd w:val="clear" w:color="auto" w:fill="auto"/>
                  <w:vAlign w:val="center"/>
                </w:tcPr>
                <w:p w14:paraId="7D8D70C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12月</w:t>
                  </w:r>
                </w:p>
              </w:tc>
            </w:tr>
            <w:tr w14:paraId="3A47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342" w:type="pct"/>
                  <w:shd w:val="clear" w:color="auto" w:fill="auto"/>
                  <w:vAlign w:val="center"/>
                </w:tcPr>
                <w:p w14:paraId="41F4E1A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6</w:t>
                  </w:r>
                </w:p>
              </w:tc>
              <w:tc>
                <w:tcPr>
                  <w:tcW w:w="419" w:type="pct"/>
                  <w:vMerge w:val="continue"/>
                  <w:shd w:val="clear" w:color="auto" w:fill="auto"/>
                  <w:vAlign w:val="center"/>
                </w:tcPr>
                <w:p w14:paraId="715885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707" w:type="pct"/>
                  <w:shd w:val="clear" w:color="auto" w:fill="auto"/>
                  <w:vAlign w:val="top"/>
                </w:tcPr>
                <w:p w14:paraId="31F84AC1">
                  <w:pPr>
                    <w:spacing w:line="240" w:lineRule="auto"/>
                    <w:ind w:firstLine="0" w:firstLineChars="0"/>
                    <w:rPr>
                      <w:rFonts w:hint="eastAsia"/>
                      <w:color w:val="auto"/>
                      <w:sz w:val="22"/>
                      <w:szCs w:val="22"/>
                      <w:highlight w:val="none"/>
                      <w:lang w:val="en-US" w:eastAsia="zh-CN"/>
                    </w:rPr>
                  </w:pPr>
                  <w:r>
                    <w:rPr>
                      <w:rFonts w:hint="eastAsia"/>
                      <w:color w:val="auto"/>
                      <w:sz w:val="22"/>
                      <w:szCs w:val="22"/>
                      <w:highlight w:val="none"/>
                      <w:lang w:val="en-US" w:eastAsia="zh-CN"/>
                    </w:rPr>
                    <w:t>废机油</w:t>
                  </w:r>
                </w:p>
              </w:tc>
              <w:tc>
                <w:tcPr>
                  <w:tcW w:w="520" w:type="pct"/>
                  <w:shd w:val="clear" w:color="auto" w:fill="auto"/>
                  <w:vAlign w:val="center"/>
                </w:tcPr>
                <w:p w14:paraId="4DBE5E1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default" w:ascii="Times New Roman" w:hAnsi="Times New Roman" w:cs="Times New Roman"/>
                      <w:color w:val="auto"/>
                      <w:sz w:val="22"/>
                      <w:szCs w:val="22"/>
                      <w:highlight w:val="none"/>
                      <w:lang w:val="en-US" w:eastAsia="zh-CN"/>
                    </w:rPr>
                    <w:t>HW08</w:t>
                  </w:r>
                </w:p>
              </w:tc>
              <w:tc>
                <w:tcPr>
                  <w:tcW w:w="800" w:type="pct"/>
                  <w:shd w:val="clear" w:color="auto" w:fill="auto"/>
                  <w:vAlign w:val="center"/>
                </w:tcPr>
                <w:p w14:paraId="4C87CF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900-214-08</w:t>
                  </w:r>
                </w:p>
              </w:tc>
              <w:tc>
                <w:tcPr>
                  <w:tcW w:w="416" w:type="pct"/>
                  <w:shd w:val="clear" w:color="auto" w:fill="auto"/>
                  <w:vAlign w:val="center"/>
                </w:tcPr>
                <w:p w14:paraId="7E1B55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分区三</w:t>
                  </w:r>
                </w:p>
              </w:tc>
              <w:tc>
                <w:tcPr>
                  <w:tcW w:w="462" w:type="pct"/>
                  <w:vMerge w:val="continue"/>
                  <w:shd w:val="clear" w:color="auto" w:fill="auto"/>
                  <w:vAlign w:val="center"/>
                </w:tcPr>
                <w:p w14:paraId="64E7D83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439" w:type="pct"/>
                  <w:shd w:val="clear" w:color="auto" w:fill="auto"/>
                  <w:vAlign w:val="center"/>
                </w:tcPr>
                <w:p w14:paraId="370DCB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桶装</w:t>
                  </w:r>
                </w:p>
              </w:tc>
              <w:tc>
                <w:tcPr>
                  <w:tcW w:w="439" w:type="pct"/>
                  <w:shd w:val="clear" w:color="auto" w:fill="auto"/>
                  <w:vAlign w:val="center"/>
                </w:tcPr>
                <w:p w14:paraId="50F4A09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0.1t/a</w:t>
                  </w:r>
                </w:p>
              </w:tc>
              <w:tc>
                <w:tcPr>
                  <w:tcW w:w="450" w:type="pct"/>
                  <w:shd w:val="clear" w:color="auto" w:fill="auto"/>
                  <w:vAlign w:val="center"/>
                </w:tcPr>
                <w:p w14:paraId="074BEE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12月</w:t>
                  </w:r>
                </w:p>
              </w:tc>
            </w:tr>
            <w:tr w14:paraId="7094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342" w:type="pct"/>
                  <w:shd w:val="clear" w:color="auto" w:fill="auto"/>
                  <w:vAlign w:val="center"/>
                </w:tcPr>
                <w:p w14:paraId="67AD1C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7</w:t>
                  </w:r>
                </w:p>
              </w:tc>
              <w:tc>
                <w:tcPr>
                  <w:tcW w:w="419" w:type="pct"/>
                  <w:vMerge w:val="continue"/>
                  <w:shd w:val="clear" w:color="auto" w:fill="auto"/>
                  <w:vAlign w:val="center"/>
                </w:tcPr>
                <w:p w14:paraId="1AB871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707" w:type="pct"/>
                  <w:shd w:val="clear" w:color="auto" w:fill="auto"/>
                  <w:vAlign w:val="top"/>
                </w:tcPr>
                <w:p w14:paraId="73DECE60">
                  <w:pPr>
                    <w:spacing w:line="240" w:lineRule="auto"/>
                    <w:ind w:firstLine="0" w:firstLineChars="0"/>
                    <w:rPr>
                      <w:rFonts w:hint="default"/>
                      <w:color w:val="auto"/>
                      <w:sz w:val="22"/>
                      <w:szCs w:val="22"/>
                      <w:highlight w:val="none"/>
                      <w:lang w:val="en-US" w:eastAsia="zh-CN"/>
                    </w:rPr>
                  </w:pPr>
                  <w:r>
                    <w:rPr>
                      <w:rFonts w:hint="eastAsia"/>
                      <w:color w:val="auto"/>
                      <w:sz w:val="22"/>
                      <w:szCs w:val="22"/>
                      <w:highlight w:val="none"/>
                      <w:lang w:val="en-US" w:eastAsia="zh-CN"/>
                    </w:rPr>
                    <w:t>废油桶</w:t>
                  </w:r>
                </w:p>
              </w:tc>
              <w:tc>
                <w:tcPr>
                  <w:tcW w:w="520" w:type="pct"/>
                  <w:shd w:val="clear" w:color="auto" w:fill="auto"/>
                  <w:vAlign w:val="center"/>
                </w:tcPr>
                <w:p w14:paraId="77822D9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2"/>
                      <w:szCs w:val="22"/>
                      <w:highlight w:val="none"/>
                      <w:lang w:val="en-US" w:eastAsia="zh-CN"/>
                    </w:rPr>
                  </w:pPr>
                  <w:r>
                    <w:rPr>
                      <w:rFonts w:hint="default" w:ascii="Times New Roman" w:hAnsi="Times New Roman" w:cs="Times New Roman"/>
                      <w:color w:val="auto"/>
                      <w:sz w:val="22"/>
                      <w:szCs w:val="22"/>
                      <w:highlight w:val="none"/>
                      <w:lang w:val="en-US" w:eastAsia="zh-CN"/>
                    </w:rPr>
                    <w:t>HW49</w:t>
                  </w:r>
                </w:p>
              </w:tc>
              <w:tc>
                <w:tcPr>
                  <w:tcW w:w="800" w:type="pct"/>
                  <w:shd w:val="clear" w:color="auto" w:fill="auto"/>
                  <w:vAlign w:val="center"/>
                </w:tcPr>
                <w:p w14:paraId="1EDC9B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900-041-49</w:t>
                  </w:r>
                </w:p>
              </w:tc>
              <w:tc>
                <w:tcPr>
                  <w:tcW w:w="416" w:type="pct"/>
                  <w:shd w:val="clear" w:color="auto" w:fill="auto"/>
                  <w:vAlign w:val="center"/>
                </w:tcPr>
                <w:p w14:paraId="27FC95A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分区一</w:t>
                  </w:r>
                </w:p>
              </w:tc>
              <w:tc>
                <w:tcPr>
                  <w:tcW w:w="462" w:type="pct"/>
                  <w:vMerge w:val="continue"/>
                  <w:shd w:val="clear" w:color="auto" w:fill="auto"/>
                  <w:vAlign w:val="center"/>
                </w:tcPr>
                <w:p w14:paraId="4E81AC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p>
              </w:tc>
              <w:tc>
                <w:tcPr>
                  <w:tcW w:w="439" w:type="pct"/>
                  <w:shd w:val="clear" w:color="auto" w:fill="auto"/>
                  <w:vAlign w:val="center"/>
                </w:tcPr>
                <w:p w14:paraId="7BAA5FA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桶装</w:t>
                  </w:r>
                </w:p>
              </w:tc>
              <w:tc>
                <w:tcPr>
                  <w:tcW w:w="439" w:type="pct"/>
                  <w:shd w:val="clear" w:color="auto" w:fill="auto"/>
                  <w:vAlign w:val="center"/>
                </w:tcPr>
                <w:p w14:paraId="4184CD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2"/>
                      <w:szCs w:val="22"/>
                      <w:highlight w:val="none"/>
                      <w:lang w:val="en-US" w:eastAsia="zh-CN"/>
                    </w:rPr>
                  </w:pPr>
                  <w:r>
                    <w:rPr>
                      <w:rFonts w:hint="eastAsia"/>
                      <w:color w:val="auto"/>
                      <w:sz w:val="22"/>
                      <w:szCs w:val="22"/>
                      <w:highlight w:val="none"/>
                      <w:lang w:val="en-US" w:eastAsia="zh-CN"/>
                    </w:rPr>
                    <w:t>0.1t/a</w:t>
                  </w:r>
                </w:p>
              </w:tc>
              <w:tc>
                <w:tcPr>
                  <w:tcW w:w="450" w:type="pct"/>
                  <w:shd w:val="clear" w:color="auto" w:fill="auto"/>
                  <w:vAlign w:val="center"/>
                </w:tcPr>
                <w:p w14:paraId="0F71B6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2"/>
                      <w:szCs w:val="22"/>
                      <w:highlight w:val="none"/>
                      <w:lang w:val="en-US" w:eastAsia="zh-CN"/>
                    </w:rPr>
                  </w:pPr>
                  <w:r>
                    <w:rPr>
                      <w:rFonts w:hint="eastAsia"/>
                      <w:color w:val="auto"/>
                      <w:sz w:val="22"/>
                      <w:szCs w:val="22"/>
                      <w:highlight w:val="none"/>
                      <w:lang w:val="en-US" w:eastAsia="zh-CN"/>
                    </w:rPr>
                    <w:t>12月</w:t>
                  </w:r>
                </w:p>
              </w:tc>
            </w:tr>
          </w:tbl>
          <w:p w14:paraId="47E3C976">
            <w:pPr>
              <w:bidi w:val="0"/>
              <w:rPr>
                <w:rFonts w:hint="default"/>
                <w:b/>
                <w:bCs/>
                <w:color w:val="auto"/>
                <w:highlight w:val="none"/>
                <w:lang w:val="en-US" w:eastAsia="zh-CN"/>
              </w:rPr>
            </w:pPr>
            <w:r>
              <w:rPr>
                <w:rFonts w:hint="eastAsia"/>
                <w:b/>
                <w:bCs/>
                <w:color w:val="auto"/>
                <w:highlight w:val="none"/>
                <w:lang w:val="en-US" w:eastAsia="zh-CN"/>
              </w:rPr>
              <w:t>2、固体废弃物环境管理</w:t>
            </w:r>
          </w:p>
          <w:p w14:paraId="687B44C9">
            <w:pPr>
              <w:bidi w:val="0"/>
              <w:rPr>
                <w:rFonts w:hint="default"/>
                <w:color w:val="auto"/>
                <w:highlight w:val="none"/>
                <w:lang w:val="en-US" w:eastAsia="zh-CN"/>
              </w:rPr>
            </w:pPr>
            <w:r>
              <w:rPr>
                <w:rFonts w:hint="eastAsia"/>
                <w:color w:val="auto"/>
                <w:highlight w:val="none"/>
                <w:lang w:val="en-US" w:eastAsia="zh-CN"/>
              </w:rPr>
              <w:t>（1）生活垃圾</w:t>
            </w:r>
          </w:p>
          <w:p w14:paraId="68B6A1C9">
            <w:pPr>
              <w:bidi w:val="0"/>
              <w:rPr>
                <w:rFonts w:hint="eastAsia"/>
                <w:color w:val="auto"/>
                <w:highlight w:val="none"/>
                <w:lang w:val="en-US" w:eastAsia="zh-CN"/>
              </w:rPr>
            </w:pPr>
            <w:r>
              <w:rPr>
                <w:rFonts w:hint="eastAsia"/>
                <w:color w:val="auto"/>
                <w:highlight w:val="none"/>
                <w:lang w:val="en-US" w:eastAsia="zh-CN"/>
              </w:rPr>
              <w:t>本项目产生的生活垃圾集中收集后定期交由当地环卫部门统一清运处理，生活垃圾应按照规定进行收集、管理、运输及处置：</w:t>
            </w:r>
          </w:p>
          <w:p w14:paraId="09CA87D1">
            <w:pPr>
              <w:bidi w:val="0"/>
              <w:rPr>
                <w:rFonts w:hint="eastAsia"/>
                <w:color w:val="auto"/>
                <w:highlight w:val="none"/>
                <w:lang w:val="en-US" w:eastAsia="zh-CN"/>
              </w:rPr>
            </w:pPr>
            <w:r>
              <w:rPr>
                <w:rFonts w:hint="eastAsia"/>
                <w:color w:val="auto"/>
                <w:highlight w:val="none"/>
                <w:lang w:val="en-US" w:eastAsia="zh-CN"/>
              </w:rPr>
              <w:t>①建立生活垃圾分类日常管理制度；</w:t>
            </w:r>
          </w:p>
          <w:p w14:paraId="4B8219D5">
            <w:pPr>
              <w:bidi w:val="0"/>
              <w:rPr>
                <w:rFonts w:hint="eastAsia"/>
                <w:color w:val="auto"/>
                <w:highlight w:val="none"/>
                <w:lang w:val="en-US" w:eastAsia="zh-CN"/>
              </w:rPr>
            </w:pPr>
            <w:r>
              <w:rPr>
                <w:rFonts w:hint="eastAsia"/>
                <w:color w:val="auto"/>
                <w:highlight w:val="none"/>
                <w:lang w:val="en-US" w:eastAsia="zh-CN"/>
              </w:rPr>
              <w:t>②按照规定设置生活垃圾分类收集点位，配备收集容器并保持正常使用，收集容器出现破旧、污损或者数量不足的，应当及时维修、更换、清洗或者配备；</w:t>
            </w:r>
          </w:p>
          <w:p w14:paraId="70104133">
            <w:pPr>
              <w:bidi w:val="0"/>
              <w:rPr>
                <w:rFonts w:hint="eastAsia"/>
                <w:color w:val="auto"/>
                <w:highlight w:val="none"/>
                <w:lang w:val="en-US" w:eastAsia="zh-CN"/>
              </w:rPr>
            </w:pPr>
            <w:r>
              <w:rPr>
                <w:rFonts w:hint="eastAsia"/>
                <w:color w:val="auto"/>
                <w:highlight w:val="none"/>
                <w:lang w:val="en-US" w:eastAsia="zh-CN"/>
              </w:rPr>
              <w:t>③建立生活垃圾分类收集系统，按时分类收集生活垃圾，不得将已分类投放的生活垃圾混合收集，不得将危险废物、工业固体废物、建筑垃圾、绿化垃圾等混入生活垃圾；</w:t>
            </w:r>
          </w:p>
          <w:p w14:paraId="23CB95A2">
            <w:pPr>
              <w:bidi w:val="0"/>
              <w:rPr>
                <w:rFonts w:hint="eastAsia"/>
                <w:color w:val="auto"/>
                <w:highlight w:val="none"/>
                <w:lang w:val="en-US" w:eastAsia="zh-CN"/>
              </w:rPr>
            </w:pPr>
            <w:r>
              <w:rPr>
                <w:rFonts w:hint="eastAsia"/>
                <w:color w:val="auto"/>
                <w:highlight w:val="none"/>
                <w:lang w:val="en-US" w:eastAsia="zh-CN"/>
              </w:rPr>
              <w:t>④不得在收集过程中随意倾倒、堆放、丢弃、遗撒生活垃圾。</w:t>
            </w:r>
          </w:p>
          <w:p w14:paraId="3E32FAED">
            <w:pPr>
              <w:bidi w:val="0"/>
              <w:rPr>
                <w:rFonts w:hint="default"/>
                <w:color w:val="auto"/>
                <w:highlight w:val="none"/>
                <w:lang w:val="en-US" w:eastAsia="zh-CN"/>
              </w:rPr>
            </w:pPr>
            <w:r>
              <w:rPr>
                <w:rFonts w:hint="eastAsia"/>
                <w:color w:val="auto"/>
                <w:highlight w:val="none"/>
                <w:lang w:val="en-US" w:eastAsia="zh-CN"/>
              </w:rPr>
              <w:t>（2）一般固体废弃物环境管理</w:t>
            </w:r>
          </w:p>
          <w:p w14:paraId="1AEBF9CD">
            <w:pPr>
              <w:bidi w:val="0"/>
              <w:rPr>
                <w:rFonts w:hint="eastAsia"/>
                <w:color w:val="auto"/>
                <w:highlight w:val="none"/>
                <w:lang w:val="en-US" w:eastAsia="zh-CN"/>
              </w:rPr>
            </w:pPr>
            <w:r>
              <w:rPr>
                <w:rFonts w:hint="eastAsia"/>
                <w:color w:val="auto"/>
                <w:highlight w:val="none"/>
                <w:lang w:val="en-US" w:eastAsia="zh-CN"/>
              </w:rPr>
              <w:t>一般固体废物的具体管理措施如下：</w:t>
            </w:r>
          </w:p>
          <w:p w14:paraId="59AB9C6F">
            <w:pPr>
              <w:bidi w:val="0"/>
              <w:rPr>
                <w:rFonts w:hint="eastAsia"/>
                <w:color w:val="auto"/>
                <w:highlight w:val="none"/>
                <w:lang w:val="en-US" w:eastAsia="zh-CN"/>
              </w:rPr>
            </w:pPr>
            <w:r>
              <w:rPr>
                <w:rFonts w:hint="eastAsia"/>
                <w:color w:val="auto"/>
                <w:highlight w:val="none"/>
                <w:lang w:val="en-US" w:eastAsia="zh-CN"/>
              </w:rPr>
              <w:t>①一般工业固体废物应执行《一般工业固体废物贮存和填埋污染控制标准》（GB18599-2020）中的有关规定，各类废物可分类收集、定点堆放在厂区内的一般工业固体废物暂存场，同时定期外运处理，作为物资回收再利用。对于需要在厂内暂存的一般固体废物，均由公司统一布置，在车间内的一般固体废物暂存并及时外运。建设单位应严格按照《一般工业固体废物贮存和填埋污染控制标准》（GB18599-2020）中相关规定，完善固废暂存场，做到防雨淋、防流失、防渗漏，避免产生二次污染。建设单位已于生产车间内设置一个面积约10㎡的一般固体废物暂存间，该暂存间已严格按照《一般工业固体废物贮存和填埋污染控制标准》（GB18599-2020）执行。</w:t>
            </w:r>
          </w:p>
          <w:p w14:paraId="1AC5E24B">
            <w:pPr>
              <w:bidi w:val="0"/>
              <w:rPr>
                <w:rFonts w:hint="eastAsia"/>
                <w:color w:val="auto"/>
                <w:highlight w:val="none"/>
                <w:lang w:val="en-US" w:eastAsia="zh-CN"/>
              </w:rPr>
            </w:pPr>
            <w:r>
              <w:rPr>
                <w:rFonts w:hint="eastAsia"/>
                <w:color w:val="auto"/>
                <w:highlight w:val="none"/>
                <w:lang w:val="en-US" w:eastAsia="zh-CN"/>
              </w:rPr>
              <w:t>②贮存、处置场采取防止粉尘污染的措施。</w:t>
            </w:r>
          </w:p>
          <w:p w14:paraId="378F8F5B">
            <w:pPr>
              <w:bidi w:val="0"/>
              <w:rPr>
                <w:rFonts w:hint="eastAsia"/>
                <w:color w:val="auto"/>
                <w:highlight w:val="none"/>
                <w:lang w:val="en-US" w:eastAsia="zh-CN"/>
              </w:rPr>
            </w:pPr>
            <w:r>
              <w:rPr>
                <w:rFonts w:hint="eastAsia"/>
                <w:color w:val="auto"/>
                <w:highlight w:val="none"/>
                <w:lang w:val="en-US" w:eastAsia="zh-CN"/>
              </w:rPr>
              <w:t>③贮存、处置场按GB15562.2设置环境保护图形标识。</w:t>
            </w:r>
          </w:p>
          <w:p w14:paraId="705EAD60">
            <w:pPr>
              <w:bidi w:val="0"/>
              <w:rPr>
                <w:rFonts w:hint="eastAsia"/>
                <w:color w:val="auto"/>
                <w:highlight w:val="none"/>
                <w:lang w:val="en-US" w:eastAsia="zh-CN"/>
              </w:rPr>
            </w:pPr>
            <w:r>
              <w:rPr>
                <w:rFonts w:hint="eastAsia"/>
                <w:color w:val="auto"/>
                <w:highlight w:val="none"/>
                <w:lang w:val="en-US" w:eastAsia="zh-CN"/>
              </w:rPr>
              <w:t>④一般工业固体废物贮存、处置场，禁止危险废物和生活垃圾混入。</w:t>
            </w:r>
          </w:p>
          <w:p w14:paraId="72A221C0">
            <w:pPr>
              <w:bidi w:val="0"/>
              <w:rPr>
                <w:rFonts w:hint="eastAsia"/>
                <w:color w:val="auto"/>
                <w:highlight w:val="none"/>
                <w:lang w:val="en-US" w:eastAsia="zh-CN"/>
              </w:rPr>
            </w:pPr>
            <w:r>
              <w:rPr>
                <w:rFonts w:hint="eastAsia"/>
                <w:color w:val="auto"/>
                <w:highlight w:val="none"/>
                <w:lang w:val="en-US" w:eastAsia="zh-CN"/>
              </w:rPr>
              <w:t>⑤暂存区建立档案制度，将一般工业固体废物的种类和环境以及维护信息，详细记录在案，长期保存，供随时查阅。</w:t>
            </w:r>
          </w:p>
          <w:p w14:paraId="090BBB5F">
            <w:pPr>
              <w:bidi w:val="0"/>
              <w:rPr>
                <w:rFonts w:hint="eastAsia"/>
                <w:color w:val="auto"/>
                <w:highlight w:val="none"/>
                <w:lang w:val="en-US" w:eastAsia="zh-CN"/>
              </w:rPr>
            </w:pPr>
            <w:r>
              <w:rPr>
                <w:rFonts w:hint="eastAsia"/>
                <w:color w:val="auto"/>
                <w:highlight w:val="none"/>
                <w:lang w:val="en-US" w:eastAsia="zh-CN"/>
              </w:rPr>
              <w:t>⑥建设单位已根据《一般工业固体废物管理台账制定指南（试行）》建立工业固体废物管理台账，如实记录工业固体废物的种类、数量、流向、贮存、利用、处置等信息，做好一般工业固体废物交接记录</w:t>
            </w:r>
          </w:p>
          <w:p w14:paraId="27B5B995">
            <w:pPr>
              <w:bidi w:val="0"/>
              <w:rPr>
                <w:rFonts w:hint="default" w:ascii="Times New Roman" w:hAnsi="Times New Roman" w:cs="Times New Roman"/>
                <w:b w:val="0"/>
                <w:bCs w:val="0"/>
                <w:color w:val="auto"/>
                <w:highlight w:val="none"/>
              </w:rPr>
            </w:pPr>
            <w:r>
              <w:rPr>
                <w:rFonts w:hint="eastAsia"/>
                <w:b w:val="0"/>
                <w:bCs w:val="0"/>
                <w:color w:val="auto"/>
                <w:highlight w:val="none"/>
                <w:lang w:val="en-US" w:eastAsia="zh-CN"/>
              </w:rPr>
              <w:t>（3）</w:t>
            </w:r>
            <w:r>
              <w:rPr>
                <w:rFonts w:hint="default" w:ascii="Times New Roman" w:hAnsi="Times New Roman" w:cs="Times New Roman"/>
                <w:b w:val="0"/>
                <w:bCs w:val="0"/>
                <w:color w:val="auto"/>
                <w:highlight w:val="none"/>
              </w:rPr>
              <w:t>危险废物污染防治措施</w:t>
            </w:r>
          </w:p>
          <w:p w14:paraId="6B25A879">
            <w:pPr>
              <w:widowControl/>
              <w:ind w:firstLine="480"/>
              <w:jc w:val="left"/>
              <w:rPr>
                <w:rFonts w:hint="default" w:ascii="Times New Roman" w:hAnsi="Times New Roman" w:cs="Times New Roman"/>
                <w:color w:val="auto"/>
                <w:kern w:val="0"/>
                <w:highlight w:val="none"/>
                <w:lang w:val="en-US" w:eastAsia="zh-CN" w:bidi="ar"/>
              </w:rPr>
            </w:pPr>
            <w:r>
              <w:rPr>
                <w:rFonts w:hint="default" w:ascii="Times New Roman" w:hAnsi="Times New Roman" w:cs="Times New Roman"/>
                <w:color w:val="auto"/>
                <w:kern w:val="0"/>
                <w:highlight w:val="none"/>
                <w:lang w:val="en-US" w:eastAsia="zh-CN" w:bidi="ar"/>
              </w:rPr>
              <w:t>本项目建设一个</w:t>
            </w:r>
            <w:r>
              <w:rPr>
                <w:rFonts w:hint="eastAsia" w:ascii="Times New Roman" w:hAnsi="Times New Roman" w:cs="Times New Roman"/>
                <w:color w:val="auto"/>
                <w:kern w:val="0"/>
                <w:highlight w:val="none"/>
                <w:lang w:val="en-US" w:eastAsia="zh-CN" w:bidi="ar"/>
              </w:rPr>
              <w:t>12</w:t>
            </w:r>
            <w:r>
              <w:rPr>
                <w:rFonts w:hint="default" w:ascii="Times New Roman" w:hAnsi="Times New Roman" w:cs="Times New Roman"/>
                <w:color w:val="auto"/>
                <w:kern w:val="0"/>
                <w:highlight w:val="none"/>
                <w:lang w:val="en-US" w:eastAsia="zh-CN" w:bidi="ar"/>
              </w:rPr>
              <w:t>㎡全封闭危险废物暂存库，危险废物按危废性质分区存放，防渗层为至少1m厚黏土层（渗透系数不大于10</w:t>
            </w:r>
            <w:r>
              <w:rPr>
                <w:rFonts w:hint="default" w:ascii="Times New Roman" w:hAnsi="Times New Roman" w:cs="Times New Roman"/>
                <w:color w:val="auto"/>
                <w:kern w:val="0"/>
                <w:highlight w:val="none"/>
                <w:vertAlign w:val="superscript"/>
                <w:lang w:val="en-US" w:eastAsia="zh-CN" w:bidi="ar"/>
              </w:rPr>
              <w:t>-7</w:t>
            </w:r>
            <w:r>
              <w:rPr>
                <w:rFonts w:hint="default" w:ascii="Times New Roman" w:hAnsi="Times New Roman" w:cs="Times New Roman"/>
                <w:color w:val="auto"/>
                <w:kern w:val="0"/>
                <w:highlight w:val="none"/>
                <w:lang w:val="en-US" w:eastAsia="zh-CN" w:bidi="ar"/>
              </w:rPr>
              <w:t>cm/s），或至少2mm厚高密度聚乙烯膜等人工防渗材料（渗透系数不大于10</w:t>
            </w:r>
            <w:r>
              <w:rPr>
                <w:rFonts w:hint="default" w:ascii="Times New Roman" w:hAnsi="Times New Roman" w:cs="Times New Roman"/>
                <w:color w:val="auto"/>
                <w:kern w:val="0"/>
                <w:highlight w:val="none"/>
                <w:vertAlign w:val="superscript"/>
                <w:lang w:val="en-US" w:eastAsia="zh-CN" w:bidi="ar"/>
              </w:rPr>
              <w:t>-10</w:t>
            </w:r>
            <w:r>
              <w:rPr>
                <w:rFonts w:hint="default" w:ascii="Times New Roman" w:hAnsi="Times New Roman" w:cs="Times New Roman"/>
                <w:color w:val="auto"/>
                <w:kern w:val="0"/>
                <w:highlight w:val="none"/>
                <w:lang w:val="en-US" w:eastAsia="zh-CN" w:bidi="ar"/>
              </w:rPr>
              <w:t>cm/s），或其他防渗性能等效的材料。防渗层满足《危险废物贮存污染控制标准》（GB18597-2023）要求。按照《危险废物贮存污染控制标准》（GB18597-2023）规定进行防渗。在运输危险废物时，必须由有危险废物运输资质的单位组织车辆进行运输，根据《危险废物转移联单管理办法》危险废物产生单位每转移一车（次）同类危险废物，应当填写一份联单。对危险废物建立台账，保证危险废物的可靠管理。</w:t>
            </w:r>
          </w:p>
          <w:p w14:paraId="73D0942B">
            <w:pPr>
              <w:widowControl/>
              <w:ind w:firstLine="480"/>
              <w:jc w:val="left"/>
              <w:rPr>
                <w:rFonts w:hint="default" w:ascii="Times New Roman" w:hAnsi="Times New Roman" w:cs="Times New Roman"/>
                <w:color w:val="auto"/>
                <w:kern w:val="0"/>
                <w:highlight w:val="none"/>
                <w:lang w:val="en-US" w:eastAsia="zh-CN" w:bidi="ar"/>
              </w:rPr>
            </w:pPr>
            <w:r>
              <w:rPr>
                <w:rFonts w:hint="default" w:ascii="Times New Roman" w:hAnsi="Times New Roman" w:cs="Times New Roman"/>
                <w:color w:val="auto"/>
                <w:kern w:val="0"/>
                <w:highlight w:val="none"/>
                <w:lang w:val="en-US" w:eastAsia="zh-CN" w:bidi="ar"/>
              </w:rPr>
              <w:t>危险废物暂存应根据《</w:t>
            </w:r>
            <w:r>
              <w:rPr>
                <w:rFonts w:hint="eastAsia" w:cs="Times New Roman"/>
                <w:color w:val="auto"/>
                <w:kern w:val="0"/>
                <w:highlight w:val="none"/>
                <w:lang w:val="en-US" w:eastAsia="zh-CN" w:bidi="ar"/>
              </w:rPr>
              <w:t>中华人民共和国固体废物污染环境防治法</w:t>
            </w:r>
            <w:r>
              <w:rPr>
                <w:rFonts w:hint="default" w:ascii="Times New Roman" w:hAnsi="Times New Roman" w:cs="Times New Roman"/>
                <w:color w:val="auto"/>
                <w:kern w:val="0"/>
                <w:highlight w:val="none"/>
                <w:lang w:val="en-US" w:eastAsia="zh-CN" w:bidi="ar"/>
              </w:rPr>
              <w:t>》、《危险废物贮存污染控制标准》（GB18597-2023）、《危险废物收集贮存运输技术规范》（HJ2025-2012）等有关文件的规定执行，要求做到以下几点：</w:t>
            </w:r>
          </w:p>
          <w:p w14:paraId="60E30126">
            <w:pPr>
              <w:bidi w:val="0"/>
              <w:rPr>
                <w:rFonts w:hint="default" w:ascii="Times New Roman" w:hAnsi="Times New Roman" w:cs="Times New Roman"/>
                <w:color w:val="auto"/>
                <w:highlight w:val="none"/>
              </w:rPr>
            </w:pPr>
            <w:r>
              <w:rPr>
                <w:rFonts w:hint="eastAsia" w:cs="Times New Roman"/>
                <w:color w:val="auto"/>
                <w:highlight w:val="none"/>
                <w:lang w:val="en-US" w:eastAsia="zh-CN"/>
              </w:rPr>
              <w:t>①</w:t>
            </w:r>
            <w:r>
              <w:rPr>
                <w:rFonts w:hint="default" w:ascii="Times New Roman" w:hAnsi="Times New Roman" w:cs="Times New Roman"/>
                <w:color w:val="auto"/>
                <w:highlight w:val="none"/>
                <w:lang w:val="en-US" w:eastAsia="zh-CN"/>
              </w:rPr>
              <w:t>基本要求</w:t>
            </w:r>
          </w:p>
          <w:p w14:paraId="3D874382">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的危险废物分类收集后在危险废物暂存库暂存，危险废物暂存库分区暂存。设置危险废物识别标志，运输过程中必须采取委托有危废处置资质单位密闭运输，严禁在雨天进行危废的运输和转运工作。暂存库应设置防风、防雨、防晒装置，本项目危险废物暂存库设置于实验区</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满足防风、防雨、防晒要求；危险废物贮存单位应建立危险废物贮存的台账制度。</w:t>
            </w:r>
          </w:p>
          <w:p w14:paraId="4EAF0AF8">
            <w:pPr>
              <w:bidi w:val="0"/>
              <w:rPr>
                <w:rFonts w:hint="default" w:ascii="Times New Roman" w:hAnsi="Times New Roman" w:cs="Times New Roman"/>
                <w:color w:val="auto"/>
                <w:highlight w:val="none"/>
              </w:rPr>
            </w:pPr>
            <w:r>
              <w:rPr>
                <w:rFonts w:hint="eastAsia" w:cs="Times New Roman"/>
                <w:color w:val="auto"/>
                <w:highlight w:val="none"/>
                <w:lang w:val="en-US" w:eastAsia="zh-CN"/>
              </w:rPr>
              <w:t>②</w:t>
            </w:r>
            <w:r>
              <w:rPr>
                <w:rFonts w:hint="default" w:ascii="Times New Roman" w:hAnsi="Times New Roman" w:cs="Times New Roman"/>
                <w:color w:val="auto"/>
                <w:highlight w:val="none"/>
                <w:lang w:val="en-US" w:eastAsia="zh-CN"/>
              </w:rPr>
              <w:t>危险废物贮存容器</w:t>
            </w:r>
          </w:p>
          <w:p w14:paraId="386FB8E9">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采用PE桶或铁皮桶盛装危险废物。防止危险废物腐蚀储存容器，危险废物贮存设施都必须设置警示标志，盛装危险废物的容器上必须粘贴符合《危险废物识别标志设置技术规范》（HJ1276-2022）附录A所示的标签。</w:t>
            </w:r>
          </w:p>
          <w:p w14:paraId="1C149B45">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③</w:t>
            </w:r>
            <w:r>
              <w:rPr>
                <w:rFonts w:hint="default" w:ascii="Times New Roman" w:hAnsi="Times New Roman" w:cs="Times New Roman"/>
                <w:color w:val="auto"/>
                <w:highlight w:val="none"/>
                <w:lang w:val="en-US" w:eastAsia="zh-CN"/>
              </w:rPr>
              <w:t>危险废物贮存设施的建设</w:t>
            </w:r>
          </w:p>
          <w:p w14:paraId="58B14C98">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地面整体做表面防渗处理，防渗层采用2mm厚高密度聚乙烯，或至少2mm厚的其他人工材料，渗透系数</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vertAlign w:val="superscript"/>
                <w:lang w:val="en-US" w:eastAsia="zh-CN"/>
              </w:rPr>
              <w:t>-10</w:t>
            </w:r>
            <w:r>
              <w:rPr>
                <w:rFonts w:hint="default" w:ascii="Times New Roman" w:hAnsi="Times New Roman" w:cs="Times New Roman"/>
                <w:color w:val="auto"/>
                <w:highlight w:val="none"/>
                <w:lang w:val="en-US" w:eastAsia="zh-CN"/>
              </w:rPr>
              <w:t>cm/s，防渗层满足《危险废物贮存污染控制标准》（GB18597-2023）要求。危险废物暂存库内各类危险废物分区存放，采用PE桶对危险废物进行贮存，所有危废容器均放置在专用防泄漏托盘上，用于收集可能</w:t>
            </w:r>
            <w:r>
              <w:rPr>
                <w:rFonts w:hint="eastAsia" w:cs="Times New Roman"/>
                <w:color w:val="auto"/>
                <w:highlight w:val="none"/>
                <w:lang w:val="en-US" w:eastAsia="zh-CN"/>
              </w:rPr>
              <w:t>泄漏</w:t>
            </w:r>
            <w:r>
              <w:rPr>
                <w:rFonts w:hint="default" w:ascii="Times New Roman" w:hAnsi="Times New Roman" w:cs="Times New Roman"/>
                <w:color w:val="auto"/>
                <w:highlight w:val="none"/>
                <w:lang w:val="en-US" w:eastAsia="zh-CN"/>
              </w:rPr>
              <w:t>、遗撒的少量废液，不直接接触地面。</w:t>
            </w:r>
          </w:p>
          <w:p w14:paraId="1A798EB3">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④</w:t>
            </w:r>
            <w:r>
              <w:rPr>
                <w:rFonts w:hint="default" w:ascii="Times New Roman" w:hAnsi="Times New Roman" w:cs="Times New Roman"/>
                <w:color w:val="auto"/>
                <w:highlight w:val="none"/>
                <w:lang w:val="en-US" w:eastAsia="zh-CN"/>
              </w:rPr>
              <w:t>危险废物贮存设施的运行与管理</w:t>
            </w:r>
          </w:p>
          <w:p w14:paraId="48972145">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危险废物贮存前应登记注册，并粘贴标签；项目各类危废分区暂存，盛装在容器内的同类危险废物可以堆叠存放；每个堆间应留有搬运通道；危险废物的记录和货单在危险废物</w:t>
            </w:r>
            <w:r>
              <w:rPr>
                <w:rFonts w:hint="eastAsia" w:cs="Times New Roman"/>
                <w:color w:val="auto"/>
                <w:highlight w:val="none"/>
                <w:lang w:val="en-US" w:eastAsia="zh-CN"/>
              </w:rPr>
              <w:t>取回</w:t>
            </w:r>
            <w:r>
              <w:rPr>
                <w:rFonts w:hint="default" w:ascii="Times New Roman" w:hAnsi="Times New Roman" w:cs="Times New Roman"/>
                <w:color w:val="auto"/>
                <w:highlight w:val="none"/>
                <w:lang w:val="en-US" w:eastAsia="zh-CN"/>
              </w:rPr>
              <w:t>后应继续保留五年；必须定期对所贮存的危险废物包装容器及贮存设施进行检查，发现破损，应及时采取措施清理更换。</w:t>
            </w:r>
          </w:p>
          <w:p w14:paraId="783AF754">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⑤</w:t>
            </w:r>
            <w:r>
              <w:rPr>
                <w:rFonts w:hint="default" w:ascii="Times New Roman" w:hAnsi="Times New Roman" w:cs="Times New Roman"/>
                <w:color w:val="auto"/>
                <w:highlight w:val="none"/>
                <w:lang w:val="en-US" w:eastAsia="zh-CN"/>
              </w:rPr>
              <w:t>危险废物贮存设施的安全防护与监测</w:t>
            </w:r>
          </w:p>
          <w:p w14:paraId="5F3BE1AE">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危险废物贮存设施应配备通讯设备、照明设施、消防设施、安全防护服装及工具，并设有应急防护设施；危险废物贮存设施内清理出来的泄漏物，一律按危险废物处理；按国家污染源管理要求对危险废物贮存设施进行监测。</w:t>
            </w:r>
          </w:p>
          <w:p w14:paraId="403E77D0">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⑥</w:t>
            </w:r>
            <w:r>
              <w:rPr>
                <w:rFonts w:hint="default" w:ascii="Times New Roman" w:hAnsi="Times New Roman" w:cs="Times New Roman"/>
                <w:color w:val="auto"/>
                <w:highlight w:val="none"/>
                <w:lang w:val="en-US" w:eastAsia="zh-CN"/>
              </w:rPr>
              <w:t>培训管理制度</w:t>
            </w:r>
          </w:p>
          <w:p w14:paraId="547A6C01">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转移危险废物的应当按照《危险废物转移联单管理办法》填写危险废物转移联单。</w:t>
            </w:r>
          </w:p>
          <w:p w14:paraId="44DE1347">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⑦</w:t>
            </w:r>
            <w:r>
              <w:rPr>
                <w:rFonts w:hint="default" w:ascii="Times New Roman" w:hAnsi="Times New Roman" w:cs="Times New Roman"/>
                <w:color w:val="auto"/>
                <w:highlight w:val="none"/>
                <w:lang w:val="en-US" w:eastAsia="zh-CN"/>
              </w:rPr>
              <w:t>应急预案要求</w:t>
            </w:r>
          </w:p>
          <w:p w14:paraId="0D929A04">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建设单位应编制应急预案。应急预案编制可参照《危险废物经营单位编制应急预案指南》，运营期一旦发生意外事故，建设单位应根据风险程度采取如下措施：设立事故警戒线，启动应急预案，并按要求进行报告；若造成事故的危险废物具有剧毒性、易燃性、爆炸性或高传染性，应立即疏散人群，并请求环境保护、消防、医疗、公安等相关部门支援；对事故现场</w:t>
            </w:r>
            <w:r>
              <w:rPr>
                <w:rFonts w:hint="eastAsia" w:cs="Times New Roman"/>
                <w:color w:val="auto"/>
                <w:highlight w:val="none"/>
                <w:lang w:val="en-US" w:eastAsia="zh-CN"/>
              </w:rPr>
              <w:t>受到</w:t>
            </w:r>
            <w:r>
              <w:rPr>
                <w:rFonts w:hint="default" w:ascii="Times New Roman" w:hAnsi="Times New Roman" w:cs="Times New Roman"/>
                <w:color w:val="auto"/>
                <w:highlight w:val="none"/>
                <w:lang w:val="en-US" w:eastAsia="zh-CN"/>
              </w:rPr>
              <w:t>污染的土壤和水体等环境介质应进行相应的清理和修复；清理过程中的所有废物均应按危险废物进行管理和处置；进入现场清理和包装危险废物的人员应</w:t>
            </w:r>
            <w:r>
              <w:rPr>
                <w:rFonts w:hint="eastAsia" w:cs="Times New Roman"/>
                <w:color w:val="auto"/>
                <w:highlight w:val="none"/>
                <w:lang w:val="en-US" w:eastAsia="zh-CN"/>
              </w:rPr>
              <w:t>受到</w:t>
            </w:r>
            <w:r>
              <w:rPr>
                <w:rFonts w:hint="default" w:ascii="Times New Roman" w:hAnsi="Times New Roman" w:cs="Times New Roman"/>
                <w:color w:val="auto"/>
                <w:highlight w:val="none"/>
                <w:lang w:val="en-US" w:eastAsia="zh-CN"/>
              </w:rPr>
              <w:t>专业培训，穿着防护服，并佩戴相应的防护用具。环评要求建设单位在危险废物暂存库设置危险废物识别标志、加强室内通风、防爆。通过采取上述方式，项目暂存的危险废物对周围环境影响较小。</w:t>
            </w:r>
          </w:p>
          <w:p w14:paraId="4B505FBB">
            <w:pPr>
              <w:bidi w:val="0"/>
              <w:rPr>
                <w:rFonts w:hint="default" w:eastAsia="宋体"/>
                <w:b/>
                <w:bCs/>
                <w:color w:val="auto"/>
                <w:highlight w:val="none"/>
                <w:lang w:val="en-US" w:eastAsia="zh-CN"/>
              </w:rPr>
            </w:pPr>
            <w:r>
              <w:rPr>
                <w:rFonts w:hint="default" w:eastAsia="宋体"/>
                <w:b/>
                <w:bCs/>
                <w:color w:val="auto"/>
                <w:highlight w:val="none"/>
                <w:lang w:val="en-US" w:eastAsia="zh-CN"/>
              </w:rPr>
              <w:t>五、地下水、土壤</w:t>
            </w:r>
          </w:p>
          <w:p w14:paraId="22E3BA09">
            <w:pPr>
              <w:bidi w:val="0"/>
              <w:rPr>
                <w:rFonts w:hint="default" w:eastAsia="宋体"/>
                <w:color w:val="auto"/>
                <w:highlight w:val="none"/>
                <w:lang w:val="en-US" w:eastAsia="zh-CN"/>
              </w:rPr>
            </w:pPr>
            <w:r>
              <w:rPr>
                <w:rFonts w:hint="default" w:eastAsia="宋体"/>
                <w:color w:val="auto"/>
                <w:highlight w:val="none"/>
                <w:lang w:val="en-US" w:eastAsia="zh-CN"/>
              </w:rPr>
              <w:t>1</w:t>
            </w:r>
            <w:r>
              <w:rPr>
                <w:rFonts w:hint="eastAsia"/>
                <w:color w:val="auto"/>
                <w:highlight w:val="none"/>
                <w:lang w:val="en-US" w:eastAsia="zh-CN"/>
              </w:rPr>
              <w:t>、</w:t>
            </w:r>
            <w:r>
              <w:rPr>
                <w:rFonts w:hint="default" w:eastAsia="宋体"/>
                <w:color w:val="auto"/>
                <w:highlight w:val="none"/>
                <w:lang w:val="en-US" w:eastAsia="zh-CN"/>
              </w:rPr>
              <w:t>污染源分析</w:t>
            </w:r>
          </w:p>
          <w:p w14:paraId="0729FEBD">
            <w:pPr>
              <w:bidi w:val="0"/>
              <w:rPr>
                <w:rFonts w:hint="default" w:eastAsia="宋体"/>
                <w:color w:val="auto"/>
                <w:highlight w:val="none"/>
                <w:lang w:val="en-US" w:eastAsia="zh-CN"/>
              </w:rPr>
            </w:pPr>
            <w:r>
              <w:rPr>
                <w:rFonts w:hint="default" w:eastAsia="宋体"/>
                <w:color w:val="auto"/>
                <w:highlight w:val="none"/>
                <w:lang w:val="en-US" w:eastAsia="zh-CN"/>
              </w:rPr>
              <w:t>本项目场地均要求硬化，正常工况下不会对土壤、地下水环境造成影响。</w:t>
            </w:r>
          </w:p>
          <w:p w14:paraId="1BA89AA0">
            <w:pPr>
              <w:bidi w:val="0"/>
              <w:rPr>
                <w:rFonts w:hint="default" w:eastAsia="宋体"/>
                <w:color w:val="auto"/>
                <w:highlight w:val="none"/>
                <w:lang w:val="en-US" w:eastAsia="zh-CN"/>
              </w:rPr>
            </w:pPr>
            <w:r>
              <w:rPr>
                <w:rFonts w:hint="default" w:eastAsia="宋体"/>
                <w:color w:val="auto"/>
                <w:highlight w:val="none"/>
                <w:lang w:val="en-US" w:eastAsia="zh-CN"/>
              </w:rPr>
              <w:t>2</w:t>
            </w:r>
            <w:r>
              <w:rPr>
                <w:rFonts w:hint="eastAsia"/>
                <w:color w:val="auto"/>
                <w:highlight w:val="none"/>
                <w:lang w:val="en-US" w:eastAsia="zh-CN"/>
              </w:rPr>
              <w:t>、</w:t>
            </w:r>
            <w:r>
              <w:rPr>
                <w:rFonts w:hint="default" w:eastAsia="宋体"/>
                <w:color w:val="auto"/>
                <w:highlight w:val="none"/>
                <w:lang w:val="en-US" w:eastAsia="zh-CN"/>
              </w:rPr>
              <w:t>污染途径分析</w:t>
            </w:r>
          </w:p>
          <w:p w14:paraId="26C95143">
            <w:pPr>
              <w:bidi w:val="0"/>
              <w:rPr>
                <w:rFonts w:hint="default" w:eastAsia="宋体"/>
                <w:color w:val="auto"/>
                <w:highlight w:val="none"/>
                <w:lang w:val="en-US" w:eastAsia="zh-CN"/>
              </w:rPr>
            </w:pPr>
            <w:r>
              <w:rPr>
                <w:rFonts w:hint="default" w:eastAsia="宋体"/>
                <w:color w:val="auto"/>
                <w:highlight w:val="none"/>
                <w:lang w:val="en-US" w:eastAsia="zh-CN"/>
              </w:rPr>
              <w:t>根据分析，本项目土壤、地下水可能影响途径为地面漫流、垂直入渗。</w:t>
            </w:r>
          </w:p>
          <w:p w14:paraId="51B88BC5">
            <w:pPr>
              <w:bidi w:val="0"/>
              <w:rPr>
                <w:rFonts w:hint="default" w:eastAsia="宋体"/>
                <w:color w:val="auto"/>
                <w:highlight w:val="none"/>
                <w:lang w:val="en-US" w:eastAsia="zh-CN"/>
              </w:rPr>
            </w:pPr>
            <w:r>
              <w:rPr>
                <w:rFonts w:hint="default" w:eastAsia="宋体"/>
                <w:color w:val="auto"/>
                <w:highlight w:val="none"/>
                <w:lang w:val="en-US" w:eastAsia="zh-CN"/>
              </w:rPr>
              <w:t>生产过程中“跑冒滴漏”，或其他防渗防漏措施不完善，则会导致油漆等原料渗漏进入土壤、地下水。</w:t>
            </w:r>
          </w:p>
          <w:p w14:paraId="4EC1EC7B">
            <w:pPr>
              <w:bidi w:val="0"/>
              <w:rPr>
                <w:rFonts w:hint="default" w:eastAsia="宋体"/>
                <w:color w:val="auto"/>
                <w:highlight w:val="none"/>
                <w:lang w:val="en-US" w:eastAsia="zh-CN"/>
              </w:rPr>
            </w:pPr>
            <w:r>
              <w:rPr>
                <w:rFonts w:hint="default" w:eastAsia="宋体"/>
                <w:color w:val="auto"/>
                <w:highlight w:val="none"/>
                <w:lang w:val="en-US" w:eastAsia="zh-CN"/>
              </w:rPr>
              <w:t>3</w:t>
            </w:r>
            <w:r>
              <w:rPr>
                <w:rFonts w:hint="eastAsia"/>
                <w:color w:val="auto"/>
                <w:highlight w:val="none"/>
                <w:lang w:val="en-US" w:eastAsia="zh-CN"/>
              </w:rPr>
              <w:t>、</w:t>
            </w:r>
            <w:r>
              <w:rPr>
                <w:rFonts w:hint="default" w:eastAsia="宋体"/>
                <w:color w:val="auto"/>
                <w:highlight w:val="none"/>
                <w:lang w:val="en-US" w:eastAsia="zh-CN"/>
              </w:rPr>
              <w:t>地下水及土壤污染防治措施</w:t>
            </w:r>
          </w:p>
          <w:p w14:paraId="46CA3373">
            <w:pPr>
              <w:bidi w:val="0"/>
              <w:rPr>
                <w:rFonts w:hint="default" w:eastAsia="宋体"/>
                <w:color w:val="auto"/>
                <w:highlight w:val="none"/>
                <w:lang w:val="en-US" w:eastAsia="zh-CN"/>
              </w:rPr>
            </w:pPr>
            <w:r>
              <w:rPr>
                <w:rFonts w:hint="eastAsia"/>
                <w:color w:val="auto"/>
                <w:highlight w:val="none"/>
                <w:lang w:val="en-US" w:eastAsia="zh-CN"/>
              </w:rPr>
              <w:t>本项目</w:t>
            </w:r>
            <w:r>
              <w:rPr>
                <w:rFonts w:hint="default" w:eastAsia="宋体"/>
                <w:color w:val="auto"/>
                <w:highlight w:val="none"/>
                <w:lang w:val="en-US" w:eastAsia="zh-CN"/>
              </w:rPr>
              <w:t>喷漆区、油漆暂存区、危险废物暂存库属于重点防渗区域，防渗层为至少1m厚黏土层（渗透系数≤10</w:t>
            </w:r>
            <w:r>
              <w:rPr>
                <w:rFonts w:hint="default" w:eastAsia="宋体"/>
                <w:color w:val="auto"/>
                <w:highlight w:val="none"/>
                <w:vertAlign w:val="superscript"/>
                <w:lang w:val="en-US" w:eastAsia="zh-CN"/>
              </w:rPr>
              <w:t>-7</w:t>
            </w:r>
            <w:r>
              <w:rPr>
                <w:rFonts w:hint="default" w:eastAsia="宋体"/>
                <w:color w:val="auto"/>
                <w:highlight w:val="none"/>
                <w:lang w:val="en-US" w:eastAsia="zh-CN"/>
              </w:rPr>
              <w:t>cm/s）或至少2mm厚高密度聚乙烯膜等人工防渗材料（渗透系数≤10</w:t>
            </w:r>
            <w:r>
              <w:rPr>
                <w:rFonts w:hint="default" w:eastAsia="宋体"/>
                <w:color w:val="auto"/>
                <w:highlight w:val="none"/>
                <w:vertAlign w:val="superscript"/>
                <w:lang w:val="en-US" w:eastAsia="zh-CN"/>
              </w:rPr>
              <w:t>-10</w:t>
            </w:r>
            <w:r>
              <w:rPr>
                <w:rFonts w:hint="default" w:eastAsia="宋体"/>
                <w:color w:val="auto"/>
                <w:highlight w:val="none"/>
                <w:lang w:val="en-US" w:eastAsia="zh-CN"/>
              </w:rPr>
              <w:t>cm/s），或其他防渗性能等效的材料，并涂刷环氧树脂地坪漆。生产车间除去喷漆区其他位置采用一般防渗，防渗措施采取混凝土硬化+HDPE膜防渗措施，防渗性能均满足一般防渗要求（等效黏土防渗层Mb≥1.5m，渗透系数≤1.0×10</w:t>
            </w:r>
            <w:r>
              <w:rPr>
                <w:rFonts w:hint="default" w:eastAsia="宋体"/>
                <w:color w:val="auto"/>
                <w:highlight w:val="none"/>
                <w:vertAlign w:val="superscript"/>
                <w:lang w:val="en-US" w:eastAsia="zh-CN"/>
              </w:rPr>
              <w:t>-7</w:t>
            </w:r>
            <w:r>
              <w:rPr>
                <w:rFonts w:hint="default" w:eastAsia="宋体"/>
                <w:color w:val="auto"/>
                <w:highlight w:val="none"/>
                <w:lang w:val="en-US" w:eastAsia="zh-CN"/>
              </w:rPr>
              <w:t>cm/s）。生活办公区采用简单防渗，地面采用水泥硬化处理。</w:t>
            </w:r>
            <w:r>
              <w:rPr>
                <w:rFonts w:hint="eastAsia"/>
                <w:color w:val="auto"/>
                <w:highlight w:val="none"/>
                <w:lang w:val="en-US" w:eastAsia="zh-CN"/>
              </w:rPr>
              <w:t>在采取上述措施后</w:t>
            </w:r>
            <w:r>
              <w:rPr>
                <w:rFonts w:hint="default" w:eastAsia="宋体"/>
                <w:color w:val="auto"/>
                <w:highlight w:val="none"/>
                <w:lang w:val="en-US" w:eastAsia="zh-CN"/>
              </w:rPr>
              <w:t>，本项目对地下水和土壤的影响较小。</w:t>
            </w:r>
          </w:p>
          <w:p w14:paraId="17BD5EB7">
            <w:pPr>
              <w:bidi w:val="0"/>
              <w:rPr>
                <w:rFonts w:hint="default" w:eastAsia="宋体"/>
                <w:b/>
                <w:bCs/>
                <w:color w:val="auto"/>
                <w:highlight w:val="none"/>
                <w:lang w:val="en-US" w:eastAsia="zh-CN"/>
              </w:rPr>
            </w:pPr>
            <w:r>
              <w:rPr>
                <w:rFonts w:hint="default" w:eastAsia="宋体"/>
                <w:b/>
                <w:bCs/>
                <w:color w:val="auto"/>
                <w:highlight w:val="none"/>
                <w:lang w:val="en-US" w:eastAsia="zh-CN"/>
              </w:rPr>
              <w:t>六、环境风险</w:t>
            </w:r>
          </w:p>
          <w:p w14:paraId="48696566">
            <w:pPr>
              <w:bidi w:val="0"/>
              <w:rPr>
                <w:rFonts w:hint="default" w:eastAsia="宋体"/>
                <w:color w:val="auto"/>
                <w:highlight w:val="none"/>
                <w:lang w:val="en-US" w:eastAsia="zh-CN"/>
              </w:rPr>
            </w:pPr>
            <w:r>
              <w:rPr>
                <w:rFonts w:hint="default" w:eastAsia="宋体"/>
                <w:color w:val="auto"/>
                <w:highlight w:val="none"/>
                <w:lang w:val="en-US" w:eastAsia="zh-CN"/>
              </w:rPr>
              <w:t>环境风险评价的目的是分析和预测建设项目存在的潜在危险、有害因素，建设项目建设和运行期间可能产生的突发性事件或事故（一般不包括人为破坏及自然灾害），所造成的人身安全与环境影响和损害程度，提出合理可行的防范、应急减缓措施，以使建设项目的事故率、损失和环境影响降低到可接受水平。</w:t>
            </w:r>
          </w:p>
          <w:p w14:paraId="22AB7554">
            <w:pPr>
              <w:bidi w:val="0"/>
              <w:rPr>
                <w:rFonts w:hint="default" w:eastAsia="宋体"/>
                <w:color w:val="auto"/>
                <w:highlight w:val="none"/>
                <w:lang w:val="en-US" w:eastAsia="zh-CN"/>
              </w:rPr>
            </w:pPr>
            <w:r>
              <w:rPr>
                <w:rFonts w:hint="default" w:eastAsia="宋体"/>
                <w:color w:val="auto"/>
                <w:highlight w:val="none"/>
                <w:lang w:val="en-US" w:eastAsia="zh-CN"/>
              </w:rPr>
              <w:t>遵照国家环保部（现生态环境部）《关于进一步加强环境影响评价管理防范环境风险的通知》（环发〔2012〕77号）和《建设项目环境风险评价技术导则》（HJ/T169-2018）的要求，通过对本项目风险识别、风险分析和后果计算等风险评价内容，提出本项目减缓风险的措施和应急预案，为环境管理提供资料和依据，达到降低危险、减少危害的目的。</w:t>
            </w:r>
          </w:p>
          <w:p w14:paraId="38085C54">
            <w:pPr>
              <w:bidi w:val="0"/>
              <w:rPr>
                <w:rFonts w:hint="default" w:eastAsia="宋体"/>
                <w:color w:val="auto"/>
                <w:highlight w:val="none"/>
                <w:lang w:val="en-US" w:eastAsia="zh-CN"/>
              </w:rPr>
            </w:pPr>
            <w:r>
              <w:rPr>
                <w:rFonts w:hint="default" w:eastAsia="宋体"/>
                <w:color w:val="auto"/>
                <w:highlight w:val="none"/>
                <w:lang w:val="en-US" w:eastAsia="zh-CN"/>
              </w:rPr>
              <w:t>（1）危险物质数量与临界量比值（Q）</w:t>
            </w:r>
          </w:p>
          <w:p w14:paraId="42B0FFBC">
            <w:pPr>
              <w:bidi w:val="0"/>
              <w:rPr>
                <w:rFonts w:hint="default" w:eastAsia="宋体"/>
                <w:color w:val="auto"/>
                <w:highlight w:val="none"/>
                <w:lang w:val="en-US" w:eastAsia="zh-CN"/>
              </w:rPr>
            </w:pPr>
            <w:r>
              <w:rPr>
                <w:rFonts w:hint="default" w:eastAsia="宋体"/>
                <w:color w:val="auto"/>
                <w:highlight w:val="none"/>
                <w:lang w:val="en-US" w:eastAsia="zh-CN"/>
              </w:rPr>
              <w:t>计算所涉及的每种危险物质在厂界内的最大存在量与其在《建设项目环境风险评价技术导则》（HJ/T169-2018）附录B中对应临界量的比值Q。在不同厂区的同一种物质，按其在厂界内的最大存在量计算。对于长管线项目，按照两个截断室之间管段危险物质最大存在量计算。</w:t>
            </w:r>
          </w:p>
          <w:p w14:paraId="5A25CBA0">
            <w:pPr>
              <w:bidi w:val="0"/>
              <w:rPr>
                <w:rFonts w:hint="default" w:eastAsia="宋体"/>
                <w:color w:val="auto"/>
                <w:highlight w:val="none"/>
                <w:lang w:val="en-US" w:eastAsia="zh-CN"/>
              </w:rPr>
            </w:pPr>
            <w:r>
              <w:rPr>
                <w:rFonts w:hint="default" w:eastAsia="宋体"/>
                <w:color w:val="auto"/>
                <w:highlight w:val="none"/>
                <w:lang w:val="en-US" w:eastAsia="zh-CN"/>
              </w:rPr>
              <w:t>当只涉及一种危险物质时，计算该物质的总量与其临界量比值，即为Q；</w:t>
            </w:r>
          </w:p>
          <w:p w14:paraId="0211FA6E">
            <w:pPr>
              <w:bidi w:val="0"/>
              <w:rPr>
                <w:rFonts w:hint="default" w:eastAsia="宋体"/>
                <w:color w:val="auto"/>
                <w:highlight w:val="none"/>
                <w:lang w:val="en-US" w:eastAsia="zh-CN"/>
              </w:rPr>
            </w:pPr>
            <w:r>
              <w:rPr>
                <w:rFonts w:hint="default" w:eastAsia="宋体"/>
                <w:color w:val="auto"/>
                <w:highlight w:val="none"/>
                <w:lang w:val="en-US" w:eastAsia="zh-CN"/>
              </w:rPr>
              <w:t>当存在多种危险物质时，则按下式计算物质总量与其临界量比值（Q）：</w:t>
            </w:r>
          </w:p>
          <w:p w14:paraId="5E762F75">
            <w:pPr>
              <w:bidi w:val="0"/>
              <w:jc w:val="center"/>
              <w:rPr>
                <w:rFonts w:hint="default" w:eastAsia="宋体"/>
                <w:color w:val="auto"/>
                <w:highlight w:val="none"/>
                <w:lang w:val="en-US" w:eastAsia="zh-CN"/>
              </w:rPr>
            </w:pPr>
            <w:r>
              <w:rPr>
                <w:rFonts w:hint="default" w:eastAsia="宋体"/>
                <w:color w:val="auto"/>
                <w:highlight w:val="none"/>
                <w:lang w:val="en-US" w:eastAsia="zh-CN"/>
              </w:rPr>
              <w:object>
                <v:shape id="_x0000_i1028" o:spt="75" type="#_x0000_t75" style="height:37.5pt;width:150.75pt;" o:ole="t" filled="f" o:preferrelative="t" stroked="f" coordsize="21600,21600">
                  <v:path/>
                  <v:fill on="f" focussize="0,0"/>
                  <v:stroke on="f" joinstyle="miter"/>
                  <v:imagedata r:id="rId32" o:title=""/>
                  <o:lock v:ext="edit" aspectratio="t"/>
                  <w10:wrap type="none"/>
                  <w10:anchorlock/>
                </v:shape>
                <o:OLEObject Type="Embed" ProgID="Equation.3" ShapeID="_x0000_i1028" DrawAspect="Content" ObjectID="_1468075728" r:id="rId31">
                  <o:LockedField>false</o:LockedField>
                </o:OLEObject>
              </w:object>
            </w:r>
          </w:p>
          <w:p w14:paraId="0730D595">
            <w:pPr>
              <w:bidi w:val="0"/>
              <w:rPr>
                <w:rFonts w:hint="default" w:eastAsia="宋体"/>
                <w:color w:val="auto"/>
                <w:highlight w:val="none"/>
                <w:lang w:val="en-US" w:eastAsia="zh-CN"/>
              </w:rPr>
            </w:pPr>
            <w:r>
              <w:rPr>
                <w:rFonts w:hint="default" w:eastAsia="宋体"/>
                <w:color w:val="auto"/>
                <w:highlight w:val="none"/>
                <w:lang w:val="en-US" w:eastAsia="zh-CN"/>
              </w:rPr>
              <w:t>式中：q1，q2，…，qn——每种危险物质的最大存在总量，t；</w:t>
            </w:r>
          </w:p>
          <w:p w14:paraId="1ADDEB54">
            <w:pPr>
              <w:bidi w:val="0"/>
              <w:rPr>
                <w:rFonts w:hint="default" w:eastAsia="宋体"/>
                <w:color w:val="auto"/>
                <w:highlight w:val="none"/>
                <w:lang w:val="en-US" w:eastAsia="zh-CN"/>
              </w:rPr>
            </w:pPr>
            <w:r>
              <w:rPr>
                <w:rFonts w:hint="default" w:eastAsia="宋体"/>
                <w:color w:val="auto"/>
                <w:highlight w:val="none"/>
                <w:lang w:val="en-US" w:eastAsia="zh-CN"/>
              </w:rPr>
              <w:t>Q1，Q2，…，Qn——每种危险物质的临界量，t；</w:t>
            </w:r>
          </w:p>
          <w:p w14:paraId="1F72EDBD">
            <w:pPr>
              <w:bidi w:val="0"/>
              <w:rPr>
                <w:rFonts w:hint="default" w:eastAsia="宋体"/>
                <w:color w:val="auto"/>
                <w:highlight w:val="none"/>
                <w:lang w:val="en-US" w:eastAsia="zh-CN"/>
              </w:rPr>
            </w:pPr>
            <w:r>
              <w:rPr>
                <w:rFonts w:hint="default" w:eastAsia="宋体"/>
                <w:color w:val="auto"/>
                <w:highlight w:val="none"/>
                <w:lang w:val="en-US" w:eastAsia="zh-CN"/>
              </w:rPr>
              <w:t>当Q＜1时，该项目环境风险潜势Ⅰ。</w:t>
            </w:r>
          </w:p>
          <w:p w14:paraId="470C6A7B">
            <w:pPr>
              <w:bidi w:val="0"/>
              <w:rPr>
                <w:rFonts w:hint="default" w:eastAsia="宋体"/>
                <w:color w:val="auto"/>
                <w:highlight w:val="none"/>
                <w:lang w:val="en-US" w:eastAsia="zh-CN"/>
              </w:rPr>
            </w:pPr>
            <w:r>
              <w:rPr>
                <w:rFonts w:hint="default" w:eastAsia="宋体"/>
                <w:color w:val="auto"/>
                <w:highlight w:val="none"/>
                <w:lang w:val="en-US" w:eastAsia="zh-CN"/>
              </w:rPr>
              <w:t>当Q</w:t>
            </w:r>
            <w:r>
              <w:rPr>
                <w:rFonts w:hint="eastAsia"/>
                <w:color w:val="auto"/>
                <w:highlight w:val="none"/>
                <w:lang w:val="en-US" w:eastAsia="zh-CN"/>
              </w:rPr>
              <w:t>≥</w:t>
            </w:r>
            <w:r>
              <w:rPr>
                <w:rFonts w:hint="default" w:eastAsia="宋体"/>
                <w:color w:val="auto"/>
                <w:highlight w:val="none"/>
                <w:lang w:val="en-US" w:eastAsia="zh-CN"/>
              </w:rPr>
              <w:t>1时，将Q值划分为：（1）1</w:t>
            </w:r>
            <w:r>
              <w:rPr>
                <w:rFonts w:hint="eastAsia"/>
                <w:color w:val="auto"/>
                <w:highlight w:val="none"/>
                <w:lang w:val="en-US" w:eastAsia="zh-CN"/>
              </w:rPr>
              <w:t>≤</w:t>
            </w:r>
            <w:r>
              <w:rPr>
                <w:rFonts w:hint="default" w:eastAsia="宋体"/>
                <w:color w:val="auto"/>
                <w:highlight w:val="none"/>
                <w:lang w:val="en-US" w:eastAsia="zh-CN"/>
              </w:rPr>
              <w:t>Q＜10；（2）10</w:t>
            </w:r>
            <w:r>
              <w:rPr>
                <w:rFonts w:hint="eastAsia"/>
                <w:color w:val="auto"/>
                <w:highlight w:val="none"/>
                <w:lang w:val="en-US" w:eastAsia="zh-CN"/>
              </w:rPr>
              <w:t>≤</w:t>
            </w:r>
            <w:r>
              <w:rPr>
                <w:rFonts w:hint="default" w:eastAsia="宋体"/>
                <w:color w:val="auto"/>
                <w:highlight w:val="none"/>
                <w:lang w:val="en-US" w:eastAsia="zh-CN"/>
              </w:rPr>
              <w:t>Q＜100；（3）Q</w:t>
            </w:r>
            <w:r>
              <w:rPr>
                <w:rFonts w:hint="eastAsia"/>
                <w:color w:val="auto"/>
                <w:highlight w:val="none"/>
                <w:lang w:val="en-US" w:eastAsia="zh-CN"/>
              </w:rPr>
              <w:t>≥</w:t>
            </w:r>
            <w:r>
              <w:rPr>
                <w:rFonts w:hint="default" w:eastAsia="宋体"/>
                <w:color w:val="auto"/>
                <w:highlight w:val="none"/>
                <w:lang w:val="en-US" w:eastAsia="zh-CN"/>
              </w:rPr>
              <w:t>100。</w:t>
            </w:r>
          </w:p>
          <w:p w14:paraId="0790F810">
            <w:pPr>
              <w:bidi w:val="0"/>
              <w:rPr>
                <w:rFonts w:hint="default" w:eastAsia="宋体"/>
                <w:color w:val="auto"/>
                <w:highlight w:val="none"/>
                <w:lang w:val="en-US" w:eastAsia="zh-CN"/>
              </w:rPr>
            </w:pPr>
            <w:r>
              <w:rPr>
                <w:rFonts w:hint="default" w:eastAsia="宋体"/>
                <w:color w:val="auto"/>
                <w:highlight w:val="none"/>
                <w:lang w:val="en-US" w:eastAsia="zh-CN"/>
              </w:rPr>
              <w:t>根据本项目生产状况、产污排污情况、污染物危险程度、生产设备的使用情况、周围环境状况及环境保护目标要求，对可能存在的涉气及涉水等风险物质及危险因素进行分析，项目风险源辨识结果见</w:t>
            </w:r>
            <w:r>
              <w:rPr>
                <w:rFonts w:hint="eastAsia"/>
                <w:color w:val="auto"/>
                <w:highlight w:val="none"/>
                <w:lang w:val="en-US" w:eastAsia="zh-CN"/>
              </w:rPr>
              <w:t>下</w:t>
            </w:r>
            <w:r>
              <w:rPr>
                <w:rFonts w:hint="default" w:eastAsia="宋体"/>
                <w:color w:val="auto"/>
                <w:highlight w:val="none"/>
                <w:lang w:val="en-US" w:eastAsia="zh-CN"/>
              </w:rPr>
              <w:t>表。</w:t>
            </w:r>
          </w:p>
          <w:p w14:paraId="390535CD">
            <w:pPr>
              <w:bidi w:val="0"/>
              <w:ind w:left="0" w:leftChars="0" w:firstLine="0" w:firstLineChars="0"/>
              <w:jc w:val="center"/>
              <w:rPr>
                <w:rFonts w:hint="default" w:eastAsia="宋体"/>
                <w:b/>
                <w:bCs/>
                <w:color w:val="auto"/>
                <w:highlight w:val="none"/>
                <w:lang w:val="en-US" w:eastAsia="zh-CN"/>
              </w:rPr>
            </w:pPr>
            <w:r>
              <w:rPr>
                <w:rFonts w:hint="default" w:eastAsia="宋体"/>
                <w:b/>
                <w:bCs/>
                <w:color w:val="auto"/>
                <w:highlight w:val="none"/>
                <w:lang w:val="en-US" w:eastAsia="zh-CN"/>
              </w:rPr>
              <w:t>表4-</w:t>
            </w:r>
            <w:r>
              <w:rPr>
                <w:rFonts w:hint="eastAsia"/>
                <w:b/>
                <w:bCs/>
                <w:color w:val="auto"/>
                <w:highlight w:val="none"/>
                <w:lang w:val="en-US" w:eastAsia="zh-CN"/>
              </w:rPr>
              <w:t>8</w:t>
            </w:r>
            <w:r>
              <w:rPr>
                <w:rFonts w:hint="default" w:eastAsia="宋体"/>
                <w:b/>
                <w:bCs/>
                <w:color w:val="auto"/>
                <w:highlight w:val="none"/>
                <w:lang w:val="en-US" w:eastAsia="zh-CN"/>
              </w:rPr>
              <w:t>风险源辨识结果表</w:t>
            </w:r>
          </w:p>
          <w:tbl>
            <w:tblPr>
              <w:tblStyle w:val="26"/>
              <w:tblW w:w="49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303"/>
              <w:gridCol w:w="1019"/>
              <w:gridCol w:w="1310"/>
              <w:gridCol w:w="1082"/>
              <w:gridCol w:w="1128"/>
              <w:gridCol w:w="1246"/>
            </w:tblGrid>
            <w:tr w14:paraId="6C04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77" w:type="pct"/>
                  <w:shd w:val="clear" w:color="auto" w:fill="auto"/>
                  <w:vAlign w:val="center"/>
                </w:tcPr>
                <w:p w14:paraId="34082B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序号</w:t>
                  </w:r>
                </w:p>
              </w:tc>
              <w:tc>
                <w:tcPr>
                  <w:tcW w:w="831" w:type="pct"/>
                  <w:shd w:val="clear" w:color="auto" w:fill="auto"/>
                  <w:vAlign w:val="center"/>
                </w:tcPr>
                <w:p w14:paraId="78B0C7D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功能单元</w:t>
                  </w:r>
                </w:p>
              </w:tc>
              <w:tc>
                <w:tcPr>
                  <w:tcW w:w="650" w:type="pct"/>
                  <w:shd w:val="clear" w:color="auto" w:fill="auto"/>
                  <w:vAlign w:val="center"/>
                </w:tcPr>
                <w:p w14:paraId="16D204D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危险化学品</w:t>
                  </w:r>
                </w:p>
              </w:tc>
              <w:tc>
                <w:tcPr>
                  <w:tcW w:w="835" w:type="pct"/>
                  <w:shd w:val="clear" w:color="auto" w:fill="auto"/>
                  <w:vAlign w:val="center"/>
                </w:tcPr>
                <w:p w14:paraId="6F7AA8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最大储存量q（t）</w:t>
                  </w:r>
                </w:p>
              </w:tc>
              <w:tc>
                <w:tcPr>
                  <w:tcW w:w="690" w:type="pct"/>
                  <w:shd w:val="clear" w:color="auto" w:fill="auto"/>
                  <w:vAlign w:val="center"/>
                </w:tcPr>
                <w:p w14:paraId="35F137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临界量*Q（t）</w:t>
                  </w:r>
                </w:p>
              </w:tc>
              <w:tc>
                <w:tcPr>
                  <w:tcW w:w="719" w:type="pct"/>
                  <w:shd w:val="clear" w:color="auto" w:fill="auto"/>
                  <w:vAlign w:val="center"/>
                </w:tcPr>
                <w:p w14:paraId="03586F5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q/Q</w:t>
                  </w:r>
                </w:p>
              </w:tc>
              <w:tc>
                <w:tcPr>
                  <w:tcW w:w="795" w:type="pct"/>
                  <w:shd w:val="clear" w:color="auto" w:fill="auto"/>
                  <w:vAlign w:val="center"/>
                </w:tcPr>
                <w:p w14:paraId="661FF3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是否重大危险源</w:t>
                  </w:r>
                </w:p>
              </w:tc>
            </w:tr>
            <w:tr w14:paraId="34E2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77" w:type="pct"/>
                  <w:shd w:val="clear" w:color="auto" w:fill="auto"/>
                  <w:vAlign w:val="center"/>
                </w:tcPr>
                <w:p w14:paraId="31CF24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1</w:t>
                  </w:r>
                </w:p>
              </w:tc>
              <w:tc>
                <w:tcPr>
                  <w:tcW w:w="831" w:type="pct"/>
                  <w:shd w:val="clear" w:color="auto" w:fill="auto"/>
                  <w:vAlign w:val="center"/>
                </w:tcPr>
                <w:p w14:paraId="64A4A68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危险废物暂存库</w:t>
                  </w:r>
                </w:p>
              </w:tc>
              <w:tc>
                <w:tcPr>
                  <w:tcW w:w="650" w:type="pct"/>
                  <w:shd w:val="clear" w:color="auto" w:fill="auto"/>
                  <w:vAlign w:val="center"/>
                </w:tcPr>
                <w:p w14:paraId="3D7E4B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废机油</w:t>
                  </w:r>
                </w:p>
              </w:tc>
              <w:tc>
                <w:tcPr>
                  <w:tcW w:w="835" w:type="pct"/>
                  <w:shd w:val="clear" w:color="auto" w:fill="auto"/>
                  <w:vAlign w:val="center"/>
                </w:tcPr>
                <w:p w14:paraId="0976CA3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0.1</w:t>
                  </w:r>
                </w:p>
              </w:tc>
              <w:tc>
                <w:tcPr>
                  <w:tcW w:w="690" w:type="pct"/>
                  <w:shd w:val="clear" w:color="auto" w:fill="auto"/>
                  <w:vAlign w:val="center"/>
                </w:tcPr>
                <w:p w14:paraId="612E8E1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2500</w:t>
                  </w:r>
                </w:p>
              </w:tc>
              <w:tc>
                <w:tcPr>
                  <w:tcW w:w="719" w:type="pct"/>
                  <w:shd w:val="clear" w:color="auto" w:fill="auto"/>
                  <w:vAlign w:val="center"/>
                </w:tcPr>
                <w:p w14:paraId="456EB6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0.0</w:t>
                  </w:r>
                  <w:r>
                    <w:rPr>
                      <w:rFonts w:hint="eastAsia"/>
                      <w:color w:val="auto"/>
                      <w:highlight w:val="none"/>
                      <w:lang w:val="en-US" w:eastAsia="zh-CN"/>
                    </w:rPr>
                    <w:t>0004</w:t>
                  </w:r>
                </w:p>
              </w:tc>
              <w:tc>
                <w:tcPr>
                  <w:tcW w:w="795" w:type="pct"/>
                  <w:shd w:val="clear" w:color="auto" w:fill="auto"/>
                  <w:vAlign w:val="center"/>
                </w:tcPr>
                <w:p w14:paraId="125D8C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eastAsia"/>
                      <w:color w:val="auto"/>
                      <w:highlight w:val="none"/>
                      <w:lang w:val="en-US" w:eastAsia="zh-CN"/>
                    </w:rPr>
                    <w:t>否</w:t>
                  </w:r>
                </w:p>
              </w:tc>
            </w:tr>
            <w:tr w14:paraId="649B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485" w:type="pct"/>
                  <w:gridSpan w:val="5"/>
                  <w:shd w:val="clear" w:color="auto" w:fill="auto"/>
                  <w:vAlign w:val="center"/>
                </w:tcPr>
                <w:p w14:paraId="1088057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总计（Σqn/Qn）</w:t>
                  </w:r>
                </w:p>
              </w:tc>
              <w:tc>
                <w:tcPr>
                  <w:tcW w:w="719" w:type="pct"/>
                  <w:shd w:val="clear" w:color="auto" w:fill="auto"/>
                  <w:vAlign w:val="center"/>
                </w:tcPr>
                <w:p w14:paraId="294C2E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0.0</w:t>
                  </w:r>
                  <w:r>
                    <w:rPr>
                      <w:rFonts w:hint="eastAsia"/>
                      <w:color w:val="auto"/>
                      <w:highlight w:val="none"/>
                      <w:lang w:val="en-US" w:eastAsia="zh-CN"/>
                    </w:rPr>
                    <w:t>0004</w:t>
                  </w:r>
                </w:p>
              </w:tc>
              <w:tc>
                <w:tcPr>
                  <w:tcW w:w="795" w:type="pct"/>
                  <w:shd w:val="clear" w:color="auto" w:fill="auto"/>
                  <w:vAlign w:val="center"/>
                </w:tcPr>
                <w:p w14:paraId="7FFB62A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color w:val="auto"/>
                      <w:highlight w:val="none"/>
                      <w:lang w:val="en-US" w:eastAsia="zh-CN"/>
                    </w:rPr>
                  </w:pPr>
                </w:p>
              </w:tc>
            </w:tr>
          </w:tbl>
          <w:p w14:paraId="2702F8C1">
            <w:pPr>
              <w:bidi w:val="0"/>
              <w:rPr>
                <w:rFonts w:hint="default" w:eastAsia="宋体"/>
                <w:color w:val="auto"/>
                <w:highlight w:val="none"/>
                <w:lang w:val="en-US" w:eastAsia="zh-CN"/>
              </w:rPr>
            </w:pPr>
            <w:r>
              <w:rPr>
                <w:rFonts w:hint="default" w:eastAsia="宋体"/>
                <w:color w:val="auto"/>
                <w:highlight w:val="none"/>
                <w:lang w:val="en-US" w:eastAsia="zh-CN"/>
              </w:rPr>
              <w:t>因此本项目环境风险物质Q＜1，本项目环境风险潜势为Ⅰ。</w:t>
            </w:r>
          </w:p>
          <w:p w14:paraId="04491EFA">
            <w:pPr>
              <w:bidi w:val="0"/>
              <w:rPr>
                <w:rFonts w:hint="default" w:eastAsia="宋体"/>
                <w:color w:val="auto"/>
                <w:highlight w:val="none"/>
                <w:lang w:val="en-US" w:eastAsia="zh-CN"/>
              </w:rPr>
            </w:pPr>
            <w:r>
              <w:rPr>
                <w:rFonts w:hint="default" w:eastAsia="宋体"/>
                <w:color w:val="auto"/>
                <w:highlight w:val="none"/>
                <w:lang w:val="en-US" w:eastAsia="zh-CN"/>
              </w:rPr>
              <w:t>（2）评价工作等级划分</w:t>
            </w:r>
          </w:p>
          <w:p w14:paraId="7ABA5754">
            <w:pPr>
              <w:bidi w:val="0"/>
              <w:rPr>
                <w:rFonts w:hint="default" w:eastAsia="宋体"/>
                <w:color w:val="auto"/>
                <w:highlight w:val="none"/>
                <w:lang w:val="en-US" w:eastAsia="zh-CN"/>
              </w:rPr>
            </w:pPr>
            <w:r>
              <w:rPr>
                <w:rFonts w:hint="default" w:eastAsia="宋体"/>
                <w:color w:val="auto"/>
                <w:highlight w:val="none"/>
                <w:lang w:val="en-US" w:eastAsia="zh-CN"/>
              </w:rPr>
              <w:t>根据《建设项目环境风险评价技术导则》（HJ/T169-2018）中关于环境影响评价等级的规定，项目风险潜势为Ⅳ及以上，进行一级评价，风险潜势为Ⅲ，进行二级评价；风险潜势为Ⅱ，进行三级评价；风险潜势为Ⅰ，可开展简单分析。本项目环境风险潜势为Ⅰ，</w:t>
            </w:r>
            <w:r>
              <w:rPr>
                <w:rFonts w:hint="eastAsia"/>
                <w:color w:val="auto"/>
                <w:highlight w:val="none"/>
                <w:lang w:val="en-US" w:eastAsia="zh-CN"/>
              </w:rPr>
              <w:t>故</w:t>
            </w:r>
            <w:r>
              <w:rPr>
                <w:rFonts w:hint="default" w:eastAsia="宋体"/>
                <w:color w:val="auto"/>
                <w:highlight w:val="none"/>
                <w:lang w:val="en-US" w:eastAsia="zh-CN"/>
              </w:rPr>
              <w:t>本项目环境风险评价仅需开展简单分析。</w:t>
            </w:r>
          </w:p>
          <w:p w14:paraId="451C30A5">
            <w:pPr>
              <w:bidi w:val="0"/>
              <w:rPr>
                <w:rFonts w:hint="default" w:eastAsia="宋体"/>
                <w:color w:val="auto"/>
                <w:highlight w:val="none"/>
                <w:lang w:val="en-US" w:eastAsia="zh-CN"/>
              </w:rPr>
            </w:pPr>
            <w:r>
              <w:rPr>
                <w:rFonts w:hint="default" w:eastAsia="宋体"/>
                <w:color w:val="auto"/>
                <w:highlight w:val="none"/>
                <w:lang w:val="en-US" w:eastAsia="zh-CN"/>
              </w:rPr>
              <w:t>（3）风险识别、风险事故影响分析</w:t>
            </w:r>
          </w:p>
          <w:p w14:paraId="1FA41BAE">
            <w:pPr>
              <w:bidi w:val="0"/>
              <w:rPr>
                <w:rFonts w:hint="default" w:eastAsia="宋体"/>
                <w:color w:val="auto"/>
                <w:highlight w:val="none"/>
                <w:lang w:val="en-US" w:eastAsia="zh-CN"/>
              </w:rPr>
            </w:pPr>
            <w:r>
              <w:rPr>
                <w:rFonts w:hint="default" w:eastAsia="宋体"/>
                <w:color w:val="auto"/>
                <w:highlight w:val="none"/>
                <w:lang w:val="en-US" w:eastAsia="zh-CN"/>
              </w:rPr>
              <w:t>A、废气事故排放环境风险分析</w:t>
            </w:r>
          </w:p>
          <w:p w14:paraId="4F9078C0">
            <w:pPr>
              <w:bidi w:val="0"/>
              <w:rPr>
                <w:rFonts w:hint="default" w:eastAsia="宋体"/>
                <w:color w:val="auto"/>
                <w:highlight w:val="none"/>
                <w:lang w:val="en-US" w:eastAsia="zh-CN"/>
              </w:rPr>
            </w:pPr>
            <w:r>
              <w:rPr>
                <w:rFonts w:hint="default" w:eastAsia="宋体"/>
                <w:color w:val="auto"/>
                <w:highlight w:val="none"/>
                <w:lang w:val="en-US" w:eastAsia="zh-CN"/>
              </w:rPr>
              <w:t>①风险源项的识别：项目有组织挥发性有机物治理设施干式过滤器</w:t>
            </w:r>
            <w:r>
              <w:rPr>
                <w:rFonts w:hint="eastAsia"/>
                <w:color w:val="auto"/>
                <w:highlight w:val="none"/>
                <w:lang w:val="en-US" w:eastAsia="zh-CN"/>
              </w:rPr>
              <w:t>、</w:t>
            </w:r>
            <w:r>
              <w:rPr>
                <w:rFonts w:hint="default" w:eastAsia="宋体"/>
                <w:color w:val="auto"/>
                <w:highlight w:val="none"/>
                <w:lang w:val="en-US" w:eastAsia="zh-CN"/>
              </w:rPr>
              <w:t>过滤棉</w:t>
            </w:r>
            <w:r>
              <w:rPr>
                <w:rFonts w:hint="eastAsia"/>
                <w:color w:val="auto"/>
                <w:highlight w:val="none"/>
                <w:lang w:val="en-US" w:eastAsia="zh-CN"/>
              </w:rPr>
              <w:t>、</w:t>
            </w:r>
            <w:r>
              <w:rPr>
                <w:rFonts w:hint="default" w:eastAsia="宋体"/>
                <w:color w:val="auto"/>
                <w:highlight w:val="none"/>
                <w:lang w:val="en-US" w:eastAsia="zh-CN"/>
              </w:rPr>
              <w:t>二级活性炭吸附或</w:t>
            </w:r>
            <w:r>
              <w:rPr>
                <w:rFonts w:hint="eastAsia"/>
                <w:color w:val="auto"/>
                <w:highlight w:val="none"/>
                <w:lang w:val="en-US" w:eastAsia="zh-CN"/>
              </w:rPr>
              <w:t>袋式除尘器</w:t>
            </w:r>
            <w:r>
              <w:rPr>
                <w:rFonts w:hint="default" w:eastAsia="宋体"/>
                <w:color w:val="auto"/>
                <w:highlight w:val="none"/>
                <w:lang w:val="en-US" w:eastAsia="zh-CN"/>
              </w:rPr>
              <w:t>发生故障，导致挥发性有机物废气事故排放。废气未经处理直接排放至大气会对大气环境造成污染。</w:t>
            </w:r>
          </w:p>
          <w:p w14:paraId="4D5FD528">
            <w:pPr>
              <w:bidi w:val="0"/>
              <w:rPr>
                <w:rFonts w:hint="default" w:eastAsia="宋体"/>
                <w:color w:val="auto"/>
                <w:highlight w:val="none"/>
                <w:lang w:val="en-US" w:eastAsia="zh-CN"/>
              </w:rPr>
            </w:pPr>
            <w:r>
              <w:rPr>
                <w:rFonts w:hint="default" w:eastAsia="宋体"/>
                <w:color w:val="auto"/>
                <w:highlight w:val="none"/>
                <w:lang w:val="en-US" w:eastAsia="zh-CN"/>
              </w:rPr>
              <w:t>②应急处理措施：当值班人员发现风机停转，废气无法排出后处理</w:t>
            </w:r>
            <w:r>
              <w:rPr>
                <w:rFonts w:hint="eastAsia"/>
                <w:color w:val="auto"/>
                <w:highlight w:val="none"/>
                <w:lang w:val="en-US" w:eastAsia="zh-CN"/>
              </w:rPr>
              <w:t>时</w:t>
            </w:r>
            <w:r>
              <w:rPr>
                <w:rFonts w:hint="default" w:eastAsia="宋体"/>
                <w:color w:val="auto"/>
                <w:highlight w:val="none"/>
                <w:lang w:val="en-US" w:eastAsia="zh-CN"/>
              </w:rPr>
              <w:t>，应立即启动备用风机或者停止生产，通知车间启动应急处置程序，启动停产程序，在做好防护措施的前提下，及时对事故原因进行排查、抢修。</w:t>
            </w:r>
          </w:p>
          <w:p w14:paraId="0450D6B8">
            <w:pPr>
              <w:bidi w:val="0"/>
              <w:rPr>
                <w:rFonts w:hint="default" w:eastAsia="宋体"/>
                <w:color w:val="auto"/>
                <w:highlight w:val="none"/>
                <w:lang w:val="en-US" w:eastAsia="zh-CN"/>
              </w:rPr>
            </w:pPr>
            <w:r>
              <w:rPr>
                <w:rFonts w:hint="default" w:eastAsia="宋体"/>
                <w:color w:val="auto"/>
                <w:highlight w:val="none"/>
                <w:lang w:val="en-US" w:eastAsia="zh-CN"/>
              </w:rPr>
              <w:t>③风险防范措施：</w:t>
            </w:r>
          </w:p>
          <w:p w14:paraId="12D7A5C1">
            <w:pPr>
              <w:bidi w:val="0"/>
              <w:rPr>
                <w:rFonts w:hint="default" w:eastAsia="宋体"/>
                <w:color w:val="auto"/>
                <w:highlight w:val="none"/>
                <w:lang w:val="en-US" w:eastAsia="zh-CN"/>
              </w:rPr>
            </w:pPr>
            <w:r>
              <w:rPr>
                <w:rFonts w:hint="default" w:eastAsia="宋体"/>
                <w:color w:val="auto"/>
                <w:highlight w:val="none"/>
                <w:lang w:val="en-US" w:eastAsia="zh-CN"/>
              </w:rPr>
              <w:t>工程控制：注意定期对废气处理设施进行检查和设备维护，保证废气处理</w:t>
            </w:r>
            <w:r>
              <w:rPr>
                <w:rFonts w:hint="eastAsia"/>
                <w:color w:val="auto"/>
                <w:highlight w:val="none"/>
                <w:lang w:val="en-US" w:eastAsia="zh-CN"/>
              </w:rPr>
              <w:t>设施</w:t>
            </w:r>
            <w:r>
              <w:rPr>
                <w:rFonts w:hint="default" w:eastAsia="宋体"/>
                <w:color w:val="auto"/>
                <w:highlight w:val="none"/>
                <w:lang w:val="en-US" w:eastAsia="zh-CN"/>
              </w:rPr>
              <w:t>正常运转；</w:t>
            </w:r>
          </w:p>
          <w:p w14:paraId="63446860">
            <w:pPr>
              <w:bidi w:val="0"/>
              <w:rPr>
                <w:rFonts w:hint="default" w:eastAsia="宋体"/>
                <w:color w:val="auto"/>
                <w:highlight w:val="none"/>
                <w:lang w:val="en-US" w:eastAsia="zh-CN"/>
              </w:rPr>
            </w:pPr>
            <w:r>
              <w:rPr>
                <w:rFonts w:hint="default" w:eastAsia="宋体"/>
                <w:color w:val="auto"/>
                <w:highlight w:val="none"/>
                <w:lang w:val="en-US" w:eastAsia="zh-CN"/>
              </w:rPr>
              <w:t>制度控制：安排专人管理废气处理系统，同时建立废气处理台账管理；</w:t>
            </w:r>
          </w:p>
          <w:p w14:paraId="1480436A">
            <w:pPr>
              <w:bidi w:val="0"/>
              <w:rPr>
                <w:rFonts w:hint="default" w:eastAsia="宋体"/>
                <w:color w:val="auto"/>
                <w:highlight w:val="none"/>
                <w:lang w:val="en-US" w:eastAsia="zh-CN"/>
              </w:rPr>
            </w:pPr>
            <w:r>
              <w:rPr>
                <w:rFonts w:hint="default" w:eastAsia="宋体"/>
                <w:color w:val="auto"/>
                <w:highlight w:val="none"/>
                <w:lang w:val="en-US" w:eastAsia="zh-CN"/>
              </w:rPr>
              <w:t>操作注意事项：操作人员必须经过专门培训，严格遵守操作规程。保证废气处理系统措施的处理效果。</w:t>
            </w:r>
          </w:p>
          <w:p w14:paraId="52BDAA2D">
            <w:pPr>
              <w:bidi w:val="0"/>
              <w:rPr>
                <w:rFonts w:hint="default" w:eastAsia="宋体"/>
                <w:color w:val="auto"/>
                <w:highlight w:val="none"/>
                <w:lang w:val="en-US" w:eastAsia="zh-CN"/>
              </w:rPr>
            </w:pPr>
            <w:r>
              <w:rPr>
                <w:rFonts w:hint="default" w:eastAsia="宋体"/>
                <w:color w:val="auto"/>
                <w:highlight w:val="none"/>
                <w:lang w:val="en-US" w:eastAsia="zh-CN"/>
              </w:rPr>
              <w:t>B、油漆泄漏引发的</w:t>
            </w:r>
            <w:r>
              <w:rPr>
                <w:rFonts w:hint="eastAsia"/>
                <w:color w:val="auto"/>
                <w:highlight w:val="none"/>
                <w:lang w:val="en-US" w:eastAsia="zh-CN"/>
              </w:rPr>
              <w:t>泄漏</w:t>
            </w:r>
            <w:r>
              <w:rPr>
                <w:rFonts w:hint="default" w:eastAsia="宋体"/>
                <w:color w:val="auto"/>
                <w:highlight w:val="none"/>
                <w:lang w:val="en-US" w:eastAsia="zh-CN"/>
              </w:rPr>
              <w:t>事故分析</w:t>
            </w:r>
          </w:p>
          <w:p w14:paraId="6B0C2DEF">
            <w:pPr>
              <w:bidi w:val="0"/>
              <w:rPr>
                <w:rFonts w:hint="default" w:eastAsia="宋体"/>
                <w:color w:val="auto"/>
                <w:highlight w:val="none"/>
                <w:lang w:val="en-US" w:eastAsia="zh-CN"/>
              </w:rPr>
            </w:pPr>
            <w:r>
              <w:rPr>
                <w:rFonts w:hint="default" w:eastAsia="宋体"/>
                <w:color w:val="auto"/>
                <w:highlight w:val="none"/>
                <w:lang w:val="en-US" w:eastAsia="zh-CN"/>
              </w:rPr>
              <w:t>①风险源项的识别：项目油漆储存和使用不当引起的泄漏，泄漏使得其含有的特殊气味污染空气。</w:t>
            </w:r>
          </w:p>
          <w:p w14:paraId="39DB4EE0">
            <w:pPr>
              <w:bidi w:val="0"/>
              <w:rPr>
                <w:rFonts w:hint="default" w:eastAsia="宋体"/>
                <w:color w:val="auto"/>
                <w:highlight w:val="none"/>
                <w:lang w:val="en-US" w:eastAsia="zh-CN"/>
              </w:rPr>
            </w:pPr>
            <w:r>
              <w:rPr>
                <w:rFonts w:hint="default" w:eastAsia="宋体"/>
                <w:color w:val="auto"/>
                <w:highlight w:val="none"/>
                <w:lang w:val="en-US" w:eastAsia="zh-CN"/>
              </w:rPr>
              <w:t>②应急处理措施：当发生事故时，工作人员应立即停止工作，防止继续泄漏。工作人员应对泄漏区进行警戒，杜绝烟火，控制人员进出。迅速集中铁铲、吸油布等，配置到事故区域，随时消灭事故。</w:t>
            </w:r>
          </w:p>
          <w:p w14:paraId="6DEDDAFB">
            <w:pPr>
              <w:bidi w:val="0"/>
              <w:rPr>
                <w:rFonts w:hint="default" w:eastAsia="宋体"/>
                <w:color w:val="auto"/>
                <w:highlight w:val="none"/>
                <w:lang w:val="en-US" w:eastAsia="zh-CN"/>
              </w:rPr>
            </w:pPr>
            <w:r>
              <w:rPr>
                <w:rFonts w:hint="default" w:eastAsia="宋体"/>
                <w:color w:val="auto"/>
                <w:highlight w:val="none"/>
                <w:lang w:val="en-US" w:eastAsia="zh-CN"/>
              </w:rPr>
              <w:t>③风险防范措施：</w:t>
            </w:r>
          </w:p>
          <w:p w14:paraId="409D3A89">
            <w:pPr>
              <w:bidi w:val="0"/>
              <w:rPr>
                <w:rFonts w:hint="default" w:eastAsia="宋体"/>
                <w:color w:val="auto"/>
                <w:highlight w:val="none"/>
                <w:lang w:val="en-US" w:eastAsia="zh-CN"/>
              </w:rPr>
            </w:pPr>
            <w:r>
              <w:rPr>
                <w:rFonts w:hint="default" w:eastAsia="宋体"/>
                <w:color w:val="auto"/>
                <w:highlight w:val="none"/>
                <w:lang w:val="en-US" w:eastAsia="zh-CN"/>
              </w:rPr>
              <w:t>生产车间：加强容器、管道的安全监控，按规定进行定期检验；对车间内合理布局，严格地把生产区和储存区分开。</w:t>
            </w:r>
          </w:p>
          <w:p w14:paraId="3589403D">
            <w:pPr>
              <w:bidi w:val="0"/>
              <w:rPr>
                <w:rFonts w:hint="default" w:eastAsia="宋体"/>
                <w:color w:val="auto"/>
                <w:highlight w:val="none"/>
                <w:lang w:val="en-US" w:eastAsia="zh-CN"/>
              </w:rPr>
            </w:pPr>
            <w:r>
              <w:rPr>
                <w:rFonts w:hint="default" w:eastAsia="宋体"/>
                <w:color w:val="auto"/>
                <w:highlight w:val="none"/>
                <w:lang w:val="en-US" w:eastAsia="zh-CN"/>
              </w:rPr>
              <w:t>制度管理：组织厂内人员进行安全培训；给作业人员配备劳动防护用品并督促其正确佩戴使用；及时清理地面泄露的油漆，形成制度由专人负责实施；强化企业安全生产管理，建立完善的安全生产管理网络。</w:t>
            </w:r>
          </w:p>
          <w:p w14:paraId="7B2BA899">
            <w:pPr>
              <w:bidi w:val="0"/>
              <w:rPr>
                <w:rFonts w:hint="default" w:eastAsia="宋体"/>
                <w:color w:val="auto"/>
                <w:highlight w:val="none"/>
                <w:lang w:val="en-US" w:eastAsia="zh-CN"/>
              </w:rPr>
            </w:pPr>
            <w:r>
              <w:rPr>
                <w:rFonts w:hint="default" w:eastAsia="宋体"/>
                <w:color w:val="auto"/>
                <w:highlight w:val="none"/>
                <w:lang w:val="en-US" w:eastAsia="zh-CN"/>
              </w:rPr>
              <w:t>③风险防范措施：</w:t>
            </w:r>
          </w:p>
          <w:p w14:paraId="10AB3A4A">
            <w:pPr>
              <w:bidi w:val="0"/>
              <w:rPr>
                <w:rFonts w:hint="default" w:eastAsia="宋体"/>
                <w:color w:val="auto"/>
                <w:highlight w:val="none"/>
                <w:lang w:val="en-US" w:eastAsia="zh-CN"/>
              </w:rPr>
            </w:pPr>
            <w:r>
              <w:rPr>
                <w:rFonts w:hint="default" w:eastAsia="宋体"/>
                <w:color w:val="auto"/>
                <w:highlight w:val="none"/>
                <w:lang w:val="en-US" w:eastAsia="zh-CN"/>
              </w:rPr>
              <w:t>在油漆桶下面设置托盘，当发生油漆物质泄漏，托盘收集后直接倒入备用桶重新利用。</w:t>
            </w:r>
          </w:p>
          <w:p w14:paraId="399E57C5">
            <w:pPr>
              <w:bidi w:val="0"/>
              <w:rPr>
                <w:rFonts w:hint="default" w:eastAsia="宋体"/>
                <w:color w:val="auto"/>
                <w:highlight w:val="none"/>
                <w:lang w:val="en-US" w:eastAsia="zh-CN"/>
              </w:rPr>
            </w:pPr>
            <w:r>
              <w:rPr>
                <w:rFonts w:hint="default" w:eastAsia="宋体"/>
                <w:color w:val="auto"/>
                <w:highlight w:val="none"/>
                <w:lang w:val="en-US" w:eastAsia="zh-CN"/>
              </w:rPr>
              <w:t>C、企业火灾次生环境污染事件</w:t>
            </w:r>
          </w:p>
          <w:p w14:paraId="031AC107">
            <w:pPr>
              <w:bidi w:val="0"/>
              <w:rPr>
                <w:rFonts w:hint="default" w:eastAsia="宋体"/>
                <w:color w:val="auto"/>
                <w:highlight w:val="none"/>
                <w:lang w:val="en-US" w:eastAsia="zh-CN"/>
              </w:rPr>
            </w:pPr>
            <w:r>
              <w:rPr>
                <w:rFonts w:hint="default" w:eastAsia="宋体"/>
                <w:color w:val="auto"/>
                <w:highlight w:val="none"/>
                <w:lang w:val="en-US" w:eastAsia="zh-CN"/>
              </w:rPr>
              <w:t>①风险源项的识别：项目原辅材料使用油漆，属于可燃物；在高温情况下会发生火灾次生大气污染以及消防废水进入地表水体的影响。</w:t>
            </w:r>
          </w:p>
          <w:p w14:paraId="4D0369AE">
            <w:pPr>
              <w:bidi w:val="0"/>
              <w:rPr>
                <w:rFonts w:hint="default" w:eastAsia="宋体"/>
                <w:color w:val="auto"/>
                <w:highlight w:val="none"/>
                <w:lang w:val="en-US" w:eastAsia="zh-CN"/>
              </w:rPr>
            </w:pPr>
            <w:r>
              <w:rPr>
                <w:rFonts w:hint="default" w:eastAsia="宋体"/>
                <w:color w:val="auto"/>
                <w:highlight w:val="none"/>
                <w:lang w:val="en-US" w:eastAsia="zh-CN"/>
              </w:rPr>
              <w:t>②应急处理措施</w:t>
            </w:r>
            <w:r>
              <w:rPr>
                <w:rFonts w:hint="eastAsia"/>
                <w:color w:val="auto"/>
                <w:highlight w:val="none"/>
                <w:lang w:val="en-US" w:eastAsia="zh-CN"/>
              </w:rPr>
              <w:t>：</w:t>
            </w:r>
            <w:r>
              <w:rPr>
                <w:rFonts w:hint="default" w:eastAsia="宋体"/>
                <w:color w:val="auto"/>
                <w:highlight w:val="none"/>
                <w:lang w:val="en-US" w:eastAsia="zh-CN"/>
              </w:rPr>
              <w:t>当值人员发现火灾后，在火灾不大情况下用干粉灭火器进行灭火；如果火灾失控的情况下，可用水进行扑灭，次生消防废水在厂区进行封堵后经过处理再排入市政污水管网。</w:t>
            </w:r>
          </w:p>
          <w:p w14:paraId="64B1BA95">
            <w:pPr>
              <w:bidi w:val="0"/>
              <w:rPr>
                <w:rFonts w:hint="default" w:eastAsia="宋体"/>
                <w:color w:val="auto"/>
                <w:highlight w:val="none"/>
                <w:lang w:val="en-US" w:eastAsia="zh-CN"/>
              </w:rPr>
            </w:pPr>
            <w:r>
              <w:rPr>
                <w:rFonts w:hint="default" w:eastAsia="宋体"/>
                <w:color w:val="auto"/>
                <w:highlight w:val="none"/>
                <w:lang w:val="en-US" w:eastAsia="zh-CN"/>
              </w:rPr>
              <w:t>③风险防范措施：企业厂区配备</w:t>
            </w:r>
            <w:r>
              <w:rPr>
                <w:rFonts w:hint="eastAsia"/>
                <w:color w:val="auto"/>
                <w:highlight w:val="none"/>
                <w:lang w:val="en-US" w:eastAsia="zh-CN"/>
              </w:rPr>
              <w:t>有</w:t>
            </w:r>
            <w:r>
              <w:rPr>
                <w:rFonts w:hint="default" w:eastAsia="宋体"/>
                <w:color w:val="auto"/>
                <w:highlight w:val="none"/>
                <w:lang w:val="en-US" w:eastAsia="zh-CN"/>
              </w:rPr>
              <w:t>灭火器等消防应急物资，厂区杜绝烟火</w:t>
            </w:r>
          </w:p>
          <w:p w14:paraId="3FBBD2D2">
            <w:pPr>
              <w:bidi w:val="0"/>
              <w:rPr>
                <w:rFonts w:hint="default" w:eastAsia="宋体"/>
                <w:color w:val="auto"/>
                <w:highlight w:val="none"/>
                <w:lang w:val="en-US" w:eastAsia="zh-CN"/>
              </w:rPr>
            </w:pPr>
            <w:r>
              <w:rPr>
                <w:rFonts w:hint="default" w:eastAsia="宋体"/>
                <w:color w:val="auto"/>
                <w:highlight w:val="none"/>
                <w:lang w:val="en-US" w:eastAsia="zh-CN"/>
              </w:rPr>
              <w:t>（4）环境风险预测评价小结</w:t>
            </w:r>
          </w:p>
          <w:p w14:paraId="014D8BA1">
            <w:pPr>
              <w:bidi w:val="0"/>
              <w:ind w:left="0" w:leftChars="0" w:firstLine="0" w:firstLineChars="0"/>
              <w:jc w:val="center"/>
              <w:rPr>
                <w:rFonts w:hint="default" w:eastAsia="宋体"/>
                <w:b/>
                <w:bCs/>
                <w:color w:val="auto"/>
                <w:highlight w:val="none"/>
                <w:lang w:val="en-US" w:eastAsia="zh-CN"/>
              </w:rPr>
            </w:pPr>
            <w:r>
              <w:rPr>
                <w:rFonts w:hint="default" w:eastAsia="宋体"/>
                <w:b/>
                <w:bCs/>
                <w:color w:val="auto"/>
                <w:highlight w:val="none"/>
                <w:lang w:val="en-US" w:eastAsia="zh-CN"/>
              </w:rPr>
              <w:t>表4-</w:t>
            </w:r>
            <w:r>
              <w:rPr>
                <w:rFonts w:hint="eastAsia"/>
                <w:b/>
                <w:bCs/>
                <w:color w:val="auto"/>
                <w:highlight w:val="none"/>
                <w:lang w:val="en-US" w:eastAsia="zh-CN"/>
              </w:rPr>
              <w:t>9</w:t>
            </w:r>
            <w:r>
              <w:rPr>
                <w:rFonts w:hint="default" w:eastAsia="宋体"/>
                <w:b/>
                <w:bCs/>
                <w:color w:val="auto"/>
                <w:highlight w:val="none"/>
                <w:lang w:val="en-US" w:eastAsia="zh-CN"/>
              </w:rPr>
              <w:t>建设项目环境风险简单分析内容表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6122"/>
            </w:tblGrid>
            <w:tr w14:paraId="04C2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141" w:type="pct"/>
                  <w:vAlign w:val="center"/>
                </w:tcPr>
                <w:p w14:paraId="60A64D10">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建设项目名称</w:t>
                  </w:r>
                </w:p>
              </w:tc>
              <w:tc>
                <w:tcPr>
                  <w:tcW w:w="3858" w:type="pct"/>
                  <w:vAlign w:val="center"/>
                </w:tcPr>
                <w:p w14:paraId="3A0C54BD">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eastAsia" w:cs="Times New Roman"/>
                      <w:color w:val="auto"/>
                      <w:szCs w:val="21"/>
                      <w:highlight w:val="none"/>
                      <w:lang w:val="en-US" w:eastAsia="zh-CN"/>
                    </w:rPr>
                    <w:t>鄂尔多斯市北创智能装备有限公司喷漆房建设项目</w:t>
                  </w:r>
                </w:p>
              </w:tc>
            </w:tr>
            <w:tr w14:paraId="0B1D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141" w:type="pct"/>
                  <w:vAlign w:val="center"/>
                </w:tcPr>
                <w:p w14:paraId="6622D200">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建设地点</w:t>
                  </w:r>
                </w:p>
              </w:tc>
              <w:tc>
                <w:tcPr>
                  <w:tcW w:w="3858" w:type="pct"/>
                  <w:vAlign w:val="center"/>
                </w:tcPr>
                <w:p w14:paraId="377C8E5C">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eastAsia" w:cs="Times New Roman"/>
                      <w:color w:val="auto"/>
                      <w:szCs w:val="21"/>
                      <w:highlight w:val="none"/>
                      <w:lang w:val="en-US" w:eastAsia="zh-CN"/>
                    </w:rPr>
                    <w:t>内蒙古自治区鄂尔多斯市伊金霍洛旗蒙苏经济开发区零碳产业园东片区</w:t>
                  </w:r>
                </w:p>
              </w:tc>
            </w:tr>
            <w:tr w14:paraId="73EB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141" w:type="pct"/>
                  <w:vAlign w:val="center"/>
                </w:tcPr>
                <w:p w14:paraId="412B0C9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地理坐标</w:t>
                  </w:r>
                </w:p>
              </w:tc>
              <w:tc>
                <w:tcPr>
                  <w:tcW w:w="3858" w:type="pct"/>
                  <w:vAlign w:val="center"/>
                </w:tcPr>
                <w:p w14:paraId="3538C7B6">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eastAsia" w:ascii="Times New Roman" w:hAnsi="Times New Roman" w:eastAsia="宋体" w:cs="Times New Roman"/>
                      <w:color w:val="auto"/>
                      <w:szCs w:val="21"/>
                      <w:highlight w:val="none"/>
                      <w:lang w:val="en-US" w:eastAsia="zh-CN"/>
                    </w:rPr>
                    <w:t>E109</w:t>
                  </w:r>
                  <w:r>
                    <w:rPr>
                      <w:rFonts w:hint="default" w:ascii="Times New Roman" w:hAnsi="Times New Roman" w:eastAsia="宋体"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48</w:t>
                  </w:r>
                  <w:r>
                    <w:rPr>
                      <w:rFonts w:hint="default" w:ascii="Times New Roman" w:hAnsi="Times New Roman" w:eastAsia="宋体"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44.486</w:t>
                  </w:r>
                  <w:r>
                    <w:rPr>
                      <w:rFonts w:hint="default" w:ascii="Times New Roman" w:hAnsi="Times New Roman" w:eastAsia="宋体"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，N39</w:t>
                  </w:r>
                  <w:r>
                    <w:rPr>
                      <w:rFonts w:hint="default" w:ascii="Times New Roman" w:hAnsi="Times New Roman" w:eastAsia="宋体"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32</w:t>
                  </w:r>
                  <w:r>
                    <w:rPr>
                      <w:rFonts w:hint="default"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val="en-US" w:eastAsia="zh-CN"/>
                    </w:rPr>
                    <w:t>.948</w:t>
                  </w:r>
                  <w:r>
                    <w:rPr>
                      <w:rFonts w:hint="default" w:ascii="Times New Roman" w:hAnsi="Times New Roman" w:eastAsia="宋体" w:cs="Times New Roman"/>
                      <w:color w:val="auto"/>
                      <w:szCs w:val="21"/>
                      <w:highlight w:val="none"/>
                      <w:lang w:val="en-US" w:eastAsia="zh-CN"/>
                    </w:rPr>
                    <w:t>″</w:t>
                  </w:r>
                </w:p>
              </w:tc>
            </w:tr>
            <w:tr w14:paraId="602E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41" w:type="pct"/>
                  <w:vAlign w:val="center"/>
                </w:tcPr>
                <w:p w14:paraId="3E012FE4">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主要危险物质及分布</w:t>
                  </w:r>
                </w:p>
              </w:tc>
              <w:tc>
                <w:tcPr>
                  <w:tcW w:w="3858" w:type="pct"/>
                  <w:vAlign w:val="center"/>
                </w:tcPr>
                <w:p w14:paraId="53436B5F">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油漆贮存在</w:t>
                  </w:r>
                  <w:r>
                    <w:rPr>
                      <w:rFonts w:hint="eastAsia"/>
                      <w:color w:val="auto"/>
                      <w:highlight w:val="none"/>
                      <w:lang w:val="en-US" w:eastAsia="zh-CN"/>
                    </w:rPr>
                    <w:t>生产车间</w:t>
                  </w:r>
                  <w:r>
                    <w:rPr>
                      <w:rFonts w:hint="default" w:eastAsia="宋体"/>
                      <w:color w:val="auto"/>
                      <w:highlight w:val="none"/>
                      <w:lang w:val="en-US" w:eastAsia="zh-CN"/>
                    </w:rPr>
                    <w:t>，</w:t>
                  </w:r>
                  <w:r>
                    <w:rPr>
                      <w:rFonts w:hint="eastAsia"/>
                      <w:color w:val="auto"/>
                      <w:highlight w:val="none"/>
                      <w:lang w:val="en-US" w:eastAsia="zh-CN"/>
                    </w:rPr>
                    <w:t>危险废物</w:t>
                  </w:r>
                  <w:r>
                    <w:rPr>
                      <w:rFonts w:hint="default" w:eastAsia="宋体"/>
                      <w:color w:val="auto"/>
                      <w:highlight w:val="none"/>
                      <w:lang w:val="en-US" w:eastAsia="zh-CN"/>
                    </w:rPr>
                    <w:t>均贮存在</w:t>
                  </w:r>
                  <w:r>
                    <w:rPr>
                      <w:rFonts w:hint="eastAsia"/>
                      <w:color w:val="auto"/>
                      <w:highlight w:val="none"/>
                      <w:lang w:val="en-US" w:eastAsia="zh-CN"/>
                    </w:rPr>
                    <w:t>危险废物暂存库</w:t>
                  </w:r>
                </w:p>
              </w:tc>
            </w:tr>
            <w:tr w14:paraId="7654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141" w:type="pct"/>
                  <w:vAlign w:val="center"/>
                </w:tcPr>
                <w:p w14:paraId="1ED6A23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环境影响途径及危害后果</w:t>
                  </w:r>
                </w:p>
              </w:tc>
              <w:tc>
                <w:tcPr>
                  <w:tcW w:w="3858" w:type="pct"/>
                  <w:vAlign w:val="center"/>
                </w:tcPr>
                <w:p w14:paraId="15BED8E3">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①废气事故排放和油漆泄漏短时间会对大气造成污染；</w:t>
                  </w:r>
                </w:p>
                <w:p w14:paraId="76BD9E31">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②火灾会次生大气污染以及存在消防废水</w:t>
                  </w:r>
                  <w:r>
                    <w:rPr>
                      <w:rFonts w:hint="eastAsia"/>
                      <w:color w:val="auto"/>
                      <w:highlight w:val="none"/>
                      <w:lang w:val="en-US" w:eastAsia="zh-CN"/>
                    </w:rPr>
                    <w:t>进入</w:t>
                  </w:r>
                  <w:r>
                    <w:rPr>
                      <w:rFonts w:hint="default" w:eastAsia="宋体"/>
                      <w:color w:val="auto"/>
                      <w:highlight w:val="none"/>
                      <w:lang w:val="en-US" w:eastAsia="zh-CN"/>
                    </w:rPr>
                    <w:t>地表水的影响</w:t>
                  </w:r>
                </w:p>
              </w:tc>
            </w:tr>
            <w:tr w14:paraId="4756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141" w:type="pct"/>
                  <w:vAlign w:val="center"/>
                </w:tcPr>
                <w:p w14:paraId="16324173">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风险防范措施要求</w:t>
                  </w:r>
                </w:p>
              </w:tc>
              <w:tc>
                <w:tcPr>
                  <w:tcW w:w="3858" w:type="pct"/>
                  <w:vAlign w:val="center"/>
                </w:tcPr>
                <w:p w14:paraId="2EAE7F7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生产车间：加强容器、管道的安全监控，按规定进行定期检验；对车间内合理布局，严格地把生产区和储存区分开。</w:t>
                  </w:r>
                </w:p>
                <w:p w14:paraId="7A9B1769">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制度管理：组织厂内人员进行安全培训；给作业人员配备劳动防护用品并督促其正确佩戴使用；及时清理地面泄露的油漆，形成制度由专人负责实施；强化企业安全生产管理，建立完善的安全生产管理网络。</w:t>
                  </w:r>
                </w:p>
              </w:tc>
            </w:tr>
            <w:tr w14:paraId="39A1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5000" w:type="pct"/>
                  <w:gridSpan w:val="2"/>
                  <w:vAlign w:val="center"/>
                </w:tcPr>
                <w:p w14:paraId="3BD4232E">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填表说明评价认为，只要企业严格按照有关规定、安评及环评提出的风险防范措施与管理的要求实施，环境风险可以控制在可预知、可控制、可解决的情况之下，不会</w:t>
                  </w:r>
                  <w:r>
                    <w:rPr>
                      <w:rFonts w:hint="eastAsia"/>
                      <w:color w:val="auto"/>
                      <w:highlight w:val="none"/>
                      <w:lang w:val="en-US" w:eastAsia="zh-CN"/>
                    </w:rPr>
                    <w:t>对</w:t>
                  </w:r>
                  <w:r>
                    <w:rPr>
                      <w:rFonts w:hint="default" w:eastAsia="宋体"/>
                      <w:color w:val="auto"/>
                      <w:highlight w:val="none"/>
                      <w:lang w:val="en-US" w:eastAsia="zh-CN"/>
                    </w:rPr>
                    <w:t>环境造成大的危害影响。</w:t>
                  </w:r>
                </w:p>
              </w:tc>
            </w:tr>
          </w:tbl>
          <w:p w14:paraId="33252BEE">
            <w:pPr>
              <w:bidi w:val="0"/>
              <w:rPr>
                <w:rFonts w:hint="default" w:eastAsia="宋体"/>
                <w:color w:val="auto"/>
                <w:highlight w:val="none"/>
                <w:lang w:val="en-US" w:eastAsia="zh-CN"/>
              </w:rPr>
            </w:pPr>
            <w:r>
              <w:rPr>
                <w:rFonts w:hint="default" w:eastAsia="宋体"/>
                <w:color w:val="auto"/>
                <w:highlight w:val="none"/>
                <w:lang w:val="en-US" w:eastAsia="zh-CN"/>
              </w:rPr>
              <w:t>本项目环境风险潜势为Ⅰ，工作等级为简单分析。项目的主要环境风险因素是项目环境风险主要为废气事故排放对大气环境的污染。建设单位应采用严格的安全防范体系，设立一套完整的管理规程、作业规章制度，加强应急演练，将环境风险降至最低；大气污染物防护措施下并不会造成严重环境影响，主要是对项目内部造成一定的经济、环境影响。综上所述，项目环境风险管理措施有效、可靠，风险处于可接受的水平。</w:t>
            </w:r>
          </w:p>
          <w:p w14:paraId="0E99BD78">
            <w:pPr>
              <w:bidi w:val="0"/>
              <w:rPr>
                <w:rFonts w:hint="default" w:eastAsia="宋体"/>
                <w:b/>
                <w:bCs/>
                <w:color w:val="auto"/>
                <w:highlight w:val="none"/>
                <w:lang w:val="en-US" w:eastAsia="zh-CN"/>
              </w:rPr>
            </w:pPr>
            <w:r>
              <w:rPr>
                <w:rFonts w:hint="default" w:eastAsia="宋体"/>
                <w:b/>
                <w:bCs/>
                <w:color w:val="auto"/>
                <w:highlight w:val="none"/>
                <w:lang w:val="en-US" w:eastAsia="zh-CN"/>
              </w:rPr>
              <w:t>七、环境监测</w:t>
            </w:r>
          </w:p>
          <w:p w14:paraId="3A8630DC">
            <w:pPr>
              <w:bidi w:val="0"/>
              <w:rPr>
                <w:rFonts w:hint="eastAsia"/>
                <w:color w:val="auto"/>
                <w:highlight w:val="none"/>
                <w:lang w:val="en-US" w:eastAsia="zh-CN"/>
              </w:rPr>
            </w:pPr>
            <w:r>
              <w:rPr>
                <w:rFonts w:hint="eastAsia"/>
                <w:color w:val="auto"/>
                <w:highlight w:val="none"/>
                <w:lang w:val="en-US" w:eastAsia="zh-CN"/>
              </w:rPr>
              <w:t>（1）环境管理机构设置与职责</w:t>
            </w:r>
          </w:p>
          <w:p w14:paraId="4443DF26">
            <w:pPr>
              <w:bidi w:val="0"/>
              <w:rPr>
                <w:rFonts w:hint="eastAsia"/>
                <w:color w:val="auto"/>
                <w:highlight w:val="none"/>
                <w:lang w:val="en-US" w:eastAsia="zh-CN"/>
              </w:rPr>
            </w:pPr>
            <w:r>
              <w:rPr>
                <w:rFonts w:hint="eastAsia"/>
                <w:color w:val="auto"/>
                <w:highlight w:val="none"/>
                <w:lang w:val="en-US" w:eastAsia="zh-CN"/>
              </w:rPr>
              <w:t>根据《建设项目环境保护设计规范》等要求，本项目成立环境管理机构及专职负责人员，负责项目的日常环境管理工作。环保专职管理人员的职能是：</w:t>
            </w:r>
          </w:p>
          <w:p w14:paraId="791B37F5">
            <w:pPr>
              <w:bidi w:val="0"/>
              <w:rPr>
                <w:rFonts w:hint="eastAsia"/>
                <w:color w:val="auto"/>
                <w:highlight w:val="none"/>
                <w:lang w:val="en-US" w:eastAsia="zh-CN"/>
              </w:rPr>
            </w:pPr>
            <w:r>
              <w:rPr>
                <w:rFonts w:hint="eastAsia"/>
                <w:color w:val="auto"/>
                <w:highlight w:val="none"/>
                <w:lang w:val="en-US" w:eastAsia="zh-CN"/>
              </w:rPr>
              <w:t>①负责贯彻实施国家环保法规和有关地方环保法令。</w:t>
            </w:r>
          </w:p>
          <w:p w14:paraId="34DC461E">
            <w:pPr>
              <w:bidi w:val="0"/>
              <w:rPr>
                <w:rFonts w:hint="eastAsia"/>
                <w:color w:val="auto"/>
                <w:highlight w:val="none"/>
                <w:lang w:val="en-US" w:eastAsia="zh-CN"/>
              </w:rPr>
            </w:pPr>
            <w:r>
              <w:rPr>
                <w:rFonts w:hint="eastAsia"/>
                <w:color w:val="auto"/>
                <w:highlight w:val="none"/>
                <w:lang w:val="en-US" w:eastAsia="zh-CN"/>
              </w:rPr>
              <w:t>②加强环保管理，建立健全企业的环境管理制度，确保污染治理和生态环境保护工作顺利实施，并实施检查和监督。</w:t>
            </w:r>
          </w:p>
          <w:p w14:paraId="17532331">
            <w:pPr>
              <w:bidi w:val="0"/>
              <w:rPr>
                <w:rFonts w:hint="eastAsia"/>
                <w:color w:val="auto"/>
                <w:highlight w:val="none"/>
                <w:lang w:val="en-US" w:eastAsia="zh-CN"/>
              </w:rPr>
            </w:pPr>
            <w:r>
              <w:rPr>
                <w:rFonts w:hint="eastAsia"/>
                <w:color w:val="auto"/>
                <w:highlight w:val="none"/>
                <w:lang w:val="en-US" w:eastAsia="zh-CN"/>
              </w:rPr>
              <w:t>③组织开展环境监测，及时了解施工区及工程运行后环境质量状况及生态恢复状况。</w:t>
            </w:r>
          </w:p>
          <w:p w14:paraId="1BC4650D">
            <w:pPr>
              <w:bidi w:val="0"/>
              <w:rPr>
                <w:rFonts w:hint="eastAsia"/>
                <w:color w:val="auto"/>
                <w:highlight w:val="none"/>
                <w:lang w:val="en-US" w:eastAsia="zh-CN"/>
              </w:rPr>
            </w:pPr>
            <w:r>
              <w:rPr>
                <w:rFonts w:hint="eastAsia"/>
                <w:color w:val="auto"/>
                <w:highlight w:val="none"/>
                <w:lang w:val="en-US" w:eastAsia="zh-CN"/>
              </w:rPr>
              <w:t>（2）环境管理要求</w:t>
            </w:r>
          </w:p>
          <w:p w14:paraId="28635CC4">
            <w:pPr>
              <w:bidi w:val="0"/>
              <w:rPr>
                <w:rFonts w:hint="eastAsia"/>
                <w:color w:val="auto"/>
                <w:highlight w:val="none"/>
                <w:lang w:val="en-US" w:eastAsia="zh-CN"/>
              </w:rPr>
            </w:pPr>
            <w:r>
              <w:rPr>
                <w:rFonts w:hint="eastAsia"/>
                <w:color w:val="auto"/>
                <w:highlight w:val="none"/>
                <w:lang w:val="en-US" w:eastAsia="zh-CN"/>
              </w:rPr>
              <w:t>项目运营期应设专人进行环境管理工作，正确处理发展生产与环境保护的关系，监控环保工程的运行，并检查其效果，了解场内环境质量与影响环境质量的污染因子变化情况，建立健全环保档案，为保护和改善区域环境质量做好组织和监督工作，环境管理具体内容如下：</w:t>
            </w:r>
          </w:p>
          <w:p w14:paraId="7B40AF63">
            <w:pPr>
              <w:bidi w:val="0"/>
              <w:rPr>
                <w:rFonts w:hint="eastAsia"/>
                <w:color w:val="auto"/>
                <w:highlight w:val="none"/>
                <w:lang w:val="en-US" w:eastAsia="zh-CN"/>
              </w:rPr>
            </w:pPr>
            <w:r>
              <w:rPr>
                <w:rFonts w:hint="eastAsia"/>
                <w:color w:val="auto"/>
                <w:highlight w:val="none"/>
                <w:lang w:val="en-US" w:eastAsia="zh-CN"/>
              </w:rPr>
              <w:t>①环保设施应与主体设施同时设计、同时施工、同时投入运行，项目主体设施及配套的环保设施建成后应进行环保验收，污染治理设施必须经验收合格后，项目方可投入运营，没有通过环保验收不得进行运营。</w:t>
            </w:r>
          </w:p>
          <w:p w14:paraId="2B2836F3">
            <w:pPr>
              <w:bidi w:val="0"/>
              <w:rPr>
                <w:rFonts w:hint="eastAsia"/>
                <w:color w:val="auto"/>
                <w:highlight w:val="none"/>
                <w:lang w:val="en-US" w:eastAsia="zh-CN"/>
              </w:rPr>
            </w:pPr>
            <w:r>
              <w:rPr>
                <w:rFonts w:hint="eastAsia"/>
                <w:color w:val="auto"/>
                <w:highlight w:val="none"/>
                <w:lang w:val="en-US" w:eastAsia="zh-CN"/>
              </w:rPr>
              <w:t>②建立、健全环境管理制度，设置专职或兼职环保人员，负责日常环保安全，定期检查环保管理和环境监测工作。</w:t>
            </w:r>
          </w:p>
          <w:p w14:paraId="3D7C3491">
            <w:pPr>
              <w:bidi w:val="0"/>
              <w:rPr>
                <w:rFonts w:hint="eastAsia"/>
                <w:color w:val="auto"/>
                <w:highlight w:val="none"/>
                <w:lang w:val="en-US" w:eastAsia="zh-CN"/>
              </w:rPr>
            </w:pPr>
            <w:r>
              <w:rPr>
                <w:rFonts w:hint="eastAsia"/>
                <w:color w:val="auto"/>
                <w:highlight w:val="none"/>
                <w:lang w:val="en-US" w:eastAsia="zh-CN"/>
              </w:rPr>
              <w:t>③制定各种可能发生事故的应急计划，定期对职工进行培训演练，配备各种必要的维护、抢修器材和设备，保证发生事故时能及时到位。</w:t>
            </w:r>
          </w:p>
          <w:p w14:paraId="54C01CA1">
            <w:pPr>
              <w:bidi w:val="0"/>
              <w:rPr>
                <w:rFonts w:hint="eastAsia"/>
                <w:color w:val="auto"/>
                <w:highlight w:val="none"/>
                <w:lang w:val="en-US" w:eastAsia="zh-CN"/>
              </w:rPr>
            </w:pPr>
            <w:r>
              <w:rPr>
                <w:rFonts w:hint="eastAsia"/>
                <w:color w:val="auto"/>
                <w:highlight w:val="none"/>
                <w:lang w:val="en-US" w:eastAsia="zh-CN"/>
              </w:rPr>
              <w:t>④收集、暂存危险废物，必须按照危险废物特性进行分类进行。禁止混合收集、暂存、运输、处置性质不相容而未经安全性处置的危险废物。</w:t>
            </w:r>
          </w:p>
          <w:p w14:paraId="6D39B0D1">
            <w:pPr>
              <w:bidi w:val="0"/>
              <w:rPr>
                <w:rFonts w:hint="eastAsia"/>
                <w:color w:val="auto"/>
                <w:highlight w:val="none"/>
                <w:lang w:val="en-US" w:eastAsia="zh-CN"/>
              </w:rPr>
            </w:pPr>
            <w:r>
              <w:rPr>
                <w:rFonts w:hint="eastAsia"/>
                <w:color w:val="auto"/>
                <w:highlight w:val="none"/>
                <w:lang w:val="en-US" w:eastAsia="zh-CN"/>
              </w:rPr>
              <w:t>⑤严格按照《危险废物贮存污染控制标准》（GB18597-2023）和《危险废物联单转移管理办法》中暂存及转移危险废物的要求对收集及产生的危险废物进行暂存、转移。</w:t>
            </w:r>
          </w:p>
          <w:p w14:paraId="2FB1CF23">
            <w:pPr>
              <w:bidi w:val="0"/>
              <w:rPr>
                <w:rFonts w:hint="eastAsia"/>
                <w:color w:val="auto"/>
                <w:highlight w:val="none"/>
                <w:lang w:val="en-US" w:eastAsia="zh-CN"/>
              </w:rPr>
            </w:pPr>
            <w:r>
              <w:rPr>
                <w:rFonts w:hint="eastAsia"/>
                <w:color w:val="auto"/>
                <w:highlight w:val="none"/>
                <w:lang w:val="en-US" w:eastAsia="zh-CN"/>
              </w:rPr>
              <w:t>⑥暂存危险废物必须采取符合国家环境保护标准的防护措施，并不得超过一年，确需延长期限的，必须报经原批准经营许可证的环境保护行政主管部门批准。</w:t>
            </w:r>
          </w:p>
          <w:p w14:paraId="7C6FA4E4">
            <w:pPr>
              <w:bidi w:val="0"/>
              <w:rPr>
                <w:rFonts w:hint="eastAsia"/>
                <w:color w:val="auto"/>
                <w:highlight w:val="none"/>
                <w:lang w:val="en-US" w:eastAsia="zh-CN"/>
              </w:rPr>
            </w:pPr>
            <w:r>
              <w:rPr>
                <w:rFonts w:hint="eastAsia"/>
                <w:color w:val="auto"/>
                <w:highlight w:val="none"/>
                <w:lang w:val="en-US" w:eastAsia="zh-CN"/>
              </w:rPr>
              <w:t>⑦危险废物收集、暂存及转运要建立危险废物进出管理台账。</w:t>
            </w:r>
          </w:p>
          <w:p w14:paraId="7F224CE6">
            <w:pPr>
              <w:bidi w:val="0"/>
              <w:rPr>
                <w:rFonts w:hint="eastAsia"/>
                <w:color w:val="auto"/>
                <w:highlight w:val="none"/>
                <w:lang w:val="en-US" w:eastAsia="zh-CN"/>
              </w:rPr>
            </w:pPr>
            <w:r>
              <w:rPr>
                <w:rFonts w:hint="eastAsia"/>
                <w:color w:val="auto"/>
                <w:highlight w:val="none"/>
                <w:lang w:val="en-US" w:eastAsia="zh-CN"/>
              </w:rPr>
              <w:t>⑧收集暂存的危险废物应严格按照《危险废物转移联单管理办法》中的有关要求管理，危险废物转移程序如下：</w:t>
            </w:r>
          </w:p>
          <w:p w14:paraId="76BD9FA1">
            <w:pPr>
              <w:bidi w:val="0"/>
              <w:rPr>
                <w:rFonts w:hint="eastAsia"/>
                <w:color w:val="auto"/>
                <w:highlight w:val="none"/>
                <w:lang w:val="en-US" w:eastAsia="zh-CN"/>
              </w:rPr>
            </w:pPr>
            <w:r>
              <w:rPr>
                <w:rFonts w:hint="eastAsia"/>
                <w:color w:val="auto"/>
                <w:highlight w:val="none"/>
                <w:lang w:val="en-US" w:eastAsia="zh-CN"/>
              </w:rPr>
              <w:t>A.对承运人或者接受人的主体资格和技术能力进行核实，依法签订书面合同，并在合同中约定运输、贮存、利用、处置危险废物的污染防治要求及相关责任；</w:t>
            </w:r>
          </w:p>
          <w:p w14:paraId="5A42D6BB">
            <w:pPr>
              <w:bidi w:val="0"/>
              <w:rPr>
                <w:rFonts w:hint="eastAsia"/>
                <w:color w:val="auto"/>
                <w:highlight w:val="none"/>
                <w:lang w:val="en-US" w:eastAsia="zh-CN"/>
              </w:rPr>
            </w:pPr>
            <w:r>
              <w:rPr>
                <w:rFonts w:hint="eastAsia"/>
                <w:color w:val="auto"/>
                <w:highlight w:val="none"/>
                <w:lang w:val="en-US" w:eastAsia="zh-CN"/>
              </w:rPr>
              <w:t>B.制定危险废物管理计划，明确拟转移危险废物的种类、重量（数量）和流向等信息；</w:t>
            </w:r>
          </w:p>
          <w:p w14:paraId="3B3DDB7D">
            <w:pPr>
              <w:bidi w:val="0"/>
              <w:rPr>
                <w:rFonts w:hint="eastAsia"/>
                <w:color w:val="auto"/>
                <w:highlight w:val="none"/>
                <w:lang w:val="en-US" w:eastAsia="zh-CN"/>
              </w:rPr>
            </w:pPr>
            <w:r>
              <w:rPr>
                <w:rFonts w:hint="eastAsia"/>
                <w:color w:val="auto"/>
                <w:highlight w:val="none"/>
                <w:lang w:val="en-US" w:eastAsia="zh-CN"/>
              </w:rPr>
              <w:t>C.建立危险废物管理台账，对转移的危险废物进行计量称重，如实记录、妥善保管转移危险废物的种类、重量（数量）和接收人等相关信息；</w:t>
            </w:r>
          </w:p>
          <w:p w14:paraId="6BCF5154">
            <w:pPr>
              <w:bidi w:val="0"/>
              <w:rPr>
                <w:rFonts w:hint="eastAsia"/>
                <w:color w:val="auto"/>
                <w:highlight w:val="none"/>
                <w:lang w:val="en-US" w:eastAsia="zh-CN"/>
              </w:rPr>
            </w:pPr>
            <w:r>
              <w:rPr>
                <w:rFonts w:hint="eastAsia"/>
                <w:color w:val="auto"/>
                <w:highlight w:val="none"/>
                <w:lang w:val="en-US" w:eastAsia="zh-CN"/>
              </w:rPr>
              <w:t>D.填写、运行危险废物转移联单，在危险废物转移联单中如实填写移出人、承运人、接收人信息，转移危险废物的种类、重量（数量）、危险特性等信息，以及突发环境事件的防范措施等；</w:t>
            </w:r>
          </w:p>
          <w:p w14:paraId="6EA8AAC0">
            <w:pPr>
              <w:bidi w:val="0"/>
              <w:rPr>
                <w:rFonts w:hint="eastAsia"/>
                <w:color w:val="auto"/>
                <w:highlight w:val="none"/>
                <w:lang w:val="en-US" w:eastAsia="zh-CN"/>
              </w:rPr>
            </w:pPr>
            <w:r>
              <w:rPr>
                <w:rFonts w:hint="eastAsia"/>
                <w:color w:val="auto"/>
                <w:highlight w:val="none"/>
                <w:lang w:val="en-US" w:eastAsia="zh-CN"/>
              </w:rPr>
              <w:t>E.及时核实接收人贮存、利用或者处置相关危险废物情况；</w:t>
            </w:r>
          </w:p>
          <w:p w14:paraId="7AF4BDB8">
            <w:pPr>
              <w:bidi w:val="0"/>
              <w:rPr>
                <w:rFonts w:hint="eastAsia"/>
                <w:color w:val="auto"/>
                <w:highlight w:val="none"/>
                <w:lang w:val="en-US" w:eastAsia="zh-CN"/>
              </w:rPr>
            </w:pPr>
            <w:r>
              <w:rPr>
                <w:rFonts w:hint="eastAsia"/>
                <w:color w:val="auto"/>
                <w:highlight w:val="none"/>
                <w:lang w:val="en-US" w:eastAsia="zh-CN"/>
              </w:rPr>
              <w:t>F.法律法规规定的其他义务。移出人应当按照国家有关要求开展危险废物鉴别。禁止将危险废物以副产品等名义提供或者委托给无危险废物经营许可证的单位或者其他生产经营者从事收集、贮存、利用、处置活动。</w:t>
            </w:r>
          </w:p>
          <w:p w14:paraId="0D513776">
            <w:pPr>
              <w:bidi w:val="0"/>
              <w:rPr>
                <w:rFonts w:hint="eastAsia"/>
                <w:color w:val="auto"/>
                <w:highlight w:val="none"/>
                <w:lang w:val="en-US" w:eastAsia="zh-CN"/>
              </w:rPr>
            </w:pPr>
            <w:r>
              <w:rPr>
                <w:rFonts w:hint="eastAsia"/>
                <w:color w:val="auto"/>
                <w:highlight w:val="none"/>
                <w:lang w:val="en-US" w:eastAsia="zh-CN"/>
              </w:rPr>
              <w:t>（3）排污许可管理要求</w:t>
            </w:r>
          </w:p>
          <w:p w14:paraId="79D41CCC">
            <w:pPr>
              <w:bidi w:val="0"/>
              <w:rPr>
                <w:rFonts w:hint="eastAsia"/>
                <w:color w:val="auto"/>
                <w:highlight w:val="none"/>
                <w:lang w:val="en-US" w:eastAsia="zh-CN"/>
              </w:rPr>
            </w:pPr>
            <w:r>
              <w:rPr>
                <w:rFonts w:hint="eastAsia"/>
                <w:color w:val="auto"/>
                <w:highlight w:val="none"/>
                <w:lang w:val="en-US" w:eastAsia="zh-CN"/>
              </w:rPr>
              <w:t>自行监测数据记录、报告、保存公开要求</w:t>
            </w:r>
          </w:p>
          <w:p w14:paraId="012B3CAD">
            <w:pPr>
              <w:bidi w:val="0"/>
              <w:rPr>
                <w:rFonts w:hint="eastAsia"/>
                <w:color w:val="auto"/>
                <w:highlight w:val="none"/>
                <w:lang w:val="en-US" w:eastAsia="zh-CN"/>
              </w:rPr>
            </w:pPr>
            <w:r>
              <w:rPr>
                <w:rFonts w:hint="eastAsia"/>
                <w:color w:val="auto"/>
                <w:highlight w:val="none"/>
                <w:lang w:val="en-US" w:eastAsia="zh-CN"/>
              </w:rPr>
              <w:t>①委托其他有监测资质的检测机构开展监测，并对监测机构资质进行确认；</w:t>
            </w:r>
          </w:p>
          <w:p w14:paraId="6C7FFE4C">
            <w:pPr>
              <w:bidi w:val="0"/>
              <w:rPr>
                <w:rFonts w:hint="eastAsia"/>
                <w:color w:val="auto"/>
                <w:highlight w:val="none"/>
                <w:lang w:val="en-US" w:eastAsia="zh-CN"/>
              </w:rPr>
            </w:pPr>
            <w:r>
              <w:rPr>
                <w:rFonts w:hint="eastAsia"/>
                <w:color w:val="auto"/>
                <w:highlight w:val="none"/>
                <w:lang w:val="en-US" w:eastAsia="zh-CN"/>
              </w:rPr>
              <w:t>②按照自行检测方案开展监测，全过程监测质量控制，建立自行监测质量保证与质量控制体系；</w:t>
            </w:r>
          </w:p>
          <w:p w14:paraId="5102206E">
            <w:pPr>
              <w:bidi w:val="0"/>
              <w:rPr>
                <w:rFonts w:hint="eastAsia"/>
                <w:color w:val="auto"/>
                <w:highlight w:val="none"/>
                <w:lang w:val="en-US" w:eastAsia="zh-CN"/>
              </w:rPr>
            </w:pPr>
            <w:r>
              <w:rPr>
                <w:rFonts w:hint="eastAsia"/>
                <w:color w:val="auto"/>
                <w:highlight w:val="none"/>
                <w:lang w:val="en-US" w:eastAsia="zh-CN"/>
              </w:rPr>
              <w:t>③监测数据记录、整理、存档要求：监测期间手工监测记录和自动监测运维记录按照HJ819要求执行，同步记录监测期间的生产工况，安排专人对监测数据进行记录、整理、统计、分析和存档；</w:t>
            </w:r>
          </w:p>
          <w:p w14:paraId="6B744114">
            <w:pPr>
              <w:bidi w:val="0"/>
              <w:rPr>
                <w:rFonts w:hint="eastAsia"/>
                <w:color w:val="auto"/>
                <w:highlight w:val="none"/>
                <w:lang w:val="en-US" w:eastAsia="zh-CN"/>
              </w:rPr>
            </w:pPr>
            <w:r>
              <w:rPr>
                <w:rFonts w:hint="eastAsia"/>
                <w:color w:val="auto"/>
                <w:highlight w:val="none"/>
                <w:lang w:val="en-US" w:eastAsia="zh-CN"/>
              </w:rPr>
              <w:t>④信息公开要求：建设单位应当及时填写《排污单位环境管理台账及排污许可证执行报告技术规范总则（试行）》（HJ944-2018）中的表F.19信息公开情况表。</w:t>
            </w:r>
          </w:p>
          <w:p w14:paraId="1FE19E13">
            <w:pPr>
              <w:bidi w:val="0"/>
              <w:rPr>
                <w:rFonts w:hint="eastAsia"/>
                <w:b/>
                <w:bCs/>
                <w:color w:val="auto"/>
                <w:highlight w:val="none"/>
                <w:lang w:val="en-US" w:eastAsia="zh-CN"/>
              </w:rPr>
            </w:pPr>
            <w:r>
              <w:rPr>
                <w:rFonts w:hint="eastAsia"/>
                <w:b/>
                <w:bCs/>
                <w:color w:val="auto"/>
                <w:highlight w:val="none"/>
                <w:lang w:val="en-US" w:eastAsia="zh-CN"/>
              </w:rPr>
              <w:t>（2）自行监测计划</w:t>
            </w:r>
          </w:p>
          <w:p w14:paraId="010E5B5A">
            <w:pPr>
              <w:bidi w:val="0"/>
              <w:rPr>
                <w:rFonts w:hint="eastAsia"/>
                <w:color w:val="auto"/>
                <w:highlight w:val="none"/>
                <w:lang w:val="en-US" w:eastAsia="zh-CN"/>
              </w:rPr>
            </w:pPr>
            <w:r>
              <w:rPr>
                <w:rFonts w:hint="eastAsia"/>
                <w:color w:val="auto"/>
                <w:highlight w:val="none"/>
                <w:lang w:val="en-US" w:eastAsia="zh-CN"/>
              </w:rPr>
              <w:t>根据《排污许可证申请与核发技术规范总则》（HJ942-2018）、《排污单位自行监测技术指南总则》（HJ819-2017）、《排污单位自行监测技术指南涂装》（HJ1086-2020）文件要求，监测计划如下：</w:t>
            </w:r>
          </w:p>
          <w:p w14:paraId="64551C72">
            <w:pPr>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表4-10监测指标及最低监测频次</w:t>
            </w:r>
          </w:p>
          <w:tbl>
            <w:tblPr>
              <w:tblStyle w:val="26"/>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40"/>
              <w:gridCol w:w="901"/>
              <w:gridCol w:w="1804"/>
              <w:gridCol w:w="1389"/>
              <w:gridCol w:w="1472"/>
              <w:gridCol w:w="1472"/>
            </w:tblGrid>
            <w:tr w14:paraId="28CB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3" w:hRule="atLeast"/>
                <w:jc w:val="center"/>
              </w:trPr>
              <w:tc>
                <w:tcPr>
                  <w:tcW w:w="840" w:type="dxa"/>
                  <w:tcBorders>
                    <w:tl2br w:val="nil"/>
                    <w:tr2bl w:val="nil"/>
                  </w:tcBorders>
                  <w:noWrap w:val="0"/>
                  <w:vAlign w:val="center"/>
                </w:tcPr>
                <w:p w14:paraId="46ED4E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阶段</w:t>
                  </w:r>
                </w:p>
              </w:tc>
              <w:tc>
                <w:tcPr>
                  <w:tcW w:w="901" w:type="dxa"/>
                  <w:tcBorders>
                    <w:tl2br w:val="nil"/>
                    <w:tr2bl w:val="nil"/>
                  </w:tcBorders>
                  <w:noWrap w:val="0"/>
                  <w:vAlign w:val="center"/>
                </w:tcPr>
                <w:p w14:paraId="0B87C5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环境要素</w:t>
                  </w:r>
                </w:p>
              </w:tc>
              <w:tc>
                <w:tcPr>
                  <w:tcW w:w="1804" w:type="dxa"/>
                  <w:tcBorders>
                    <w:tl2br w:val="nil"/>
                    <w:tr2bl w:val="nil"/>
                  </w:tcBorders>
                  <w:noWrap w:val="0"/>
                  <w:vAlign w:val="center"/>
                </w:tcPr>
                <w:p w14:paraId="00F667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监测地点</w:t>
                  </w:r>
                </w:p>
              </w:tc>
              <w:tc>
                <w:tcPr>
                  <w:tcW w:w="1389" w:type="dxa"/>
                  <w:tcBorders>
                    <w:tl2br w:val="nil"/>
                    <w:tr2bl w:val="nil"/>
                  </w:tcBorders>
                  <w:noWrap w:val="0"/>
                  <w:vAlign w:val="center"/>
                </w:tcPr>
                <w:p w14:paraId="72DF49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监测项目</w:t>
                  </w:r>
                </w:p>
              </w:tc>
              <w:tc>
                <w:tcPr>
                  <w:tcW w:w="1472" w:type="dxa"/>
                  <w:tcBorders>
                    <w:tl2br w:val="nil"/>
                    <w:tr2bl w:val="nil"/>
                  </w:tcBorders>
                  <w:noWrap w:val="0"/>
                  <w:vAlign w:val="center"/>
                </w:tcPr>
                <w:p w14:paraId="55D709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监测频次、时间</w:t>
                  </w:r>
                </w:p>
              </w:tc>
              <w:tc>
                <w:tcPr>
                  <w:tcW w:w="1472" w:type="dxa"/>
                  <w:tcBorders>
                    <w:tl2br w:val="nil"/>
                    <w:tr2bl w:val="nil"/>
                  </w:tcBorders>
                  <w:noWrap w:val="0"/>
                  <w:vAlign w:val="center"/>
                </w:tcPr>
                <w:p w14:paraId="1B2E0D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执行标准</w:t>
                  </w:r>
                </w:p>
              </w:tc>
            </w:tr>
            <w:tr w14:paraId="0AAA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0" w:hRule="atLeast"/>
                <w:jc w:val="center"/>
              </w:trPr>
              <w:tc>
                <w:tcPr>
                  <w:tcW w:w="840" w:type="dxa"/>
                  <w:vMerge w:val="restart"/>
                  <w:tcBorders>
                    <w:tl2br w:val="nil"/>
                    <w:tr2bl w:val="nil"/>
                  </w:tcBorders>
                  <w:noWrap w:val="0"/>
                  <w:vAlign w:val="center"/>
                </w:tcPr>
                <w:p w14:paraId="1C383E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运营期</w:t>
                  </w:r>
                </w:p>
              </w:tc>
              <w:tc>
                <w:tcPr>
                  <w:tcW w:w="901" w:type="dxa"/>
                  <w:vMerge w:val="restart"/>
                  <w:tcBorders>
                    <w:tl2br w:val="nil"/>
                    <w:tr2bl w:val="nil"/>
                  </w:tcBorders>
                  <w:noWrap w:val="0"/>
                  <w:vAlign w:val="center"/>
                </w:tcPr>
                <w:p w14:paraId="3377BA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废气</w:t>
                  </w:r>
                </w:p>
              </w:tc>
              <w:tc>
                <w:tcPr>
                  <w:tcW w:w="1804" w:type="dxa"/>
                  <w:tcBorders>
                    <w:tl2br w:val="nil"/>
                    <w:tr2bl w:val="nil"/>
                  </w:tcBorders>
                  <w:noWrap w:val="0"/>
                  <w:vAlign w:val="center"/>
                </w:tcPr>
                <w:p w14:paraId="6B3A5A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抛丸废气15m高的排气筒（DA001）</w:t>
                  </w:r>
                </w:p>
              </w:tc>
              <w:tc>
                <w:tcPr>
                  <w:tcW w:w="1389" w:type="dxa"/>
                  <w:tcBorders>
                    <w:tl2br w:val="nil"/>
                    <w:tr2bl w:val="nil"/>
                  </w:tcBorders>
                  <w:noWrap w:val="0"/>
                  <w:vAlign w:val="center"/>
                </w:tcPr>
                <w:p w14:paraId="23D277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颗粒物</w:t>
                  </w:r>
                </w:p>
              </w:tc>
              <w:tc>
                <w:tcPr>
                  <w:tcW w:w="1472" w:type="dxa"/>
                  <w:tcBorders>
                    <w:tl2br w:val="nil"/>
                    <w:tr2bl w:val="nil"/>
                  </w:tcBorders>
                  <w:noWrap w:val="0"/>
                  <w:vAlign w:val="center"/>
                </w:tcPr>
                <w:p w14:paraId="49E4D4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1次/年</w:t>
                  </w:r>
                </w:p>
              </w:tc>
              <w:tc>
                <w:tcPr>
                  <w:tcW w:w="1472" w:type="dxa"/>
                  <w:vMerge w:val="restart"/>
                  <w:tcBorders>
                    <w:tl2br w:val="nil"/>
                    <w:tr2bl w:val="nil"/>
                  </w:tcBorders>
                  <w:noWrap w:val="0"/>
                  <w:vAlign w:val="center"/>
                </w:tcPr>
                <w:p w14:paraId="7570AC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《大气污染物综合排放标准》（GB16297-1996）表2新污染源大气污染物排放限值二级标准限值</w:t>
                  </w:r>
                </w:p>
              </w:tc>
            </w:tr>
            <w:tr w14:paraId="3750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499" w:hRule="atLeast"/>
                <w:jc w:val="center"/>
              </w:trPr>
              <w:tc>
                <w:tcPr>
                  <w:tcW w:w="840" w:type="dxa"/>
                  <w:vMerge w:val="continue"/>
                  <w:tcBorders>
                    <w:tl2br w:val="nil"/>
                    <w:tr2bl w:val="nil"/>
                  </w:tcBorders>
                  <w:noWrap w:val="0"/>
                  <w:vAlign w:val="center"/>
                </w:tcPr>
                <w:p w14:paraId="61F870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901" w:type="dxa"/>
                  <w:vMerge w:val="continue"/>
                  <w:tcBorders>
                    <w:tl2br w:val="nil"/>
                    <w:tr2bl w:val="nil"/>
                  </w:tcBorders>
                  <w:noWrap w:val="0"/>
                  <w:vAlign w:val="center"/>
                </w:tcPr>
                <w:p w14:paraId="7BD20F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1804" w:type="dxa"/>
                  <w:tcBorders>
                    <w:tl2br w:val="nil"/>
                    <w:tr2bl w:val="nil"/>
                  </w:tcBorders>
                  <w:noWrap w:val="0"/>
                  <w:vAlign w:val="center"/>
                </w:tcPr>
                <w:p w14:paraId="3F365A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喷漆废气15m高的排气筒（</w:t>
                  </w:r>
                  <w:r>
                    <w:rPr>
                      <w:rFonts w:hint="eastAsia" w:cs="Times New Roman"/>
                      <w:color w:val="auto"/>
                      <w:highlight w:val="none"/>
                      <w:lang w:val="en-US" w:eastAsia="zh-CN"/>
                    </w:rPr>
                    <w:t>DA002</w:t>
                  </w:r>
                  <w:r>
                    <w:rPr>
                      <w:rFonts w:hint="eastAsia" w:ascii="Times New Roman" w:hAnsi="Times New Roman" w:eastAsia="宋体" w:cs="Times New Roman"/>
                      <w:color w:val="auto"/>
                      <w:highlight w:val="none"/>
                      <w:lang w:val="en-US" w:eastAsia="zh-CN"/>
                    </w:rPr>
                    <w:t>）</w:t>
                  </w:r>
                </w:p>
              </w:tc>
              <w:tc>
                <w:tcPr>
                  <w:tcW w:w="1389" w:type="dxa"/>
                  <w:tcBorders>
                    <w:tl2br w:val="nil"/>
                    <w:tr2bl w:val="nil"/>
                  </w:tcBorders>
                  <w:noWrap w:val="0"/>
                  <w:vAlign w:val="center"/>
                </w:tcPr>
                <w:p w14:paraId="430F6C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颗粒物、非甲烷总烃</w:t>
                  </w:r>
                </w:p>
              </w:tc>
              <w:tc>
                <w:tcPr>
                  <w:tcW w:w="1472" w:type="dxa"/>
                  <w:tcBorders>
                    <w:tl2br w:val="nil"/>
                    <w:tr2bl w:val="nil"/>
                  </w:tcBorders>
                  <w:noWrap w:val="0"/>
                  <w:vAlign w:val="center"/>
                </w:tcPr>
                <w:p w14:paraId="11FC40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1次/年</w:t>
                  </w:r>
                </w:p>
              </w:tc>
              <w:tc>
                <w:tcPr>
                  <w:tcW w:w="1472" w:type="dxa"/>
                  <w:vMerge w:val="continue"/>
                  <w:tcBorders>
                    <w:tl2br w:val="nil"/>
                    <w:tr2bl w:val="nil"/>
                  </w:tcBorders>
                  <w:noWrap w:val="0"/>
                  <w:vAlign w:val="center"/>
                </w:tcPr>
                <w:p w14:paraId="3A34B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r>
            <w:tr w14:paraId="08D5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0" w:type="dxa"/>
                  <w:vMerge w:val="continue"/>
                  <w:tcBorders>
                    <w:tl2br w:val="nil"/>
                    <w:tr2bl w:val="nil"/>
                  </w:tcBorders>
                  <w:noWrap w:val="0"/>
                  <w:vAlign w:val="center"/>
                </w:tcPr>
                <w:p w14:paraId="1264E8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901" w:type="dxa"/>
                  <w:vMerge w:val="continue"/>
                  <w:tcBorders>
                    <w:tl2br w:val="nil"/>
                    <w:tr2bl w:val="nil"/>
                  </w:tcBorders>
                  <w:noWrap w:val="0"/>
                  <w:vAlign w:val="center"/>
                </w:tcPr>
                <w:p w14:paraId="58706E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1804" w:type="dxa"/>
                  <w:tcBorders>
                    <w:tl2br w:val="nil"/>
                    <w:tr2bl w:val="nil"/>
                  </w:tcBorders>
                  <w:noWrap w:val="0"/>
                  <w:vAlign w:val="center"/>
                </w:tcPr>
                <w:p w14:paraId="21F6D9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厂界</w:t>
                  </w:r>
                </w:p>
              </w:tc>
              <w:tc>
                <w:tcPr>
                  <w:tcW w:w="1389" w:type="dxa"/>
                  <w:tcBorders>
                    <w:tl2br w:val="nil"/>
                    <w:tr2bl w:val="nil"/>
                  </w:tcBorders>
                  <w:noWrap w:val="0"/>
                  <w:vAlign w:val="center"/>
                </w:tcPr>
                <w:p w14:paraId="513F6D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颗粒物、非甲烷总烃</w:t>
                  </w:r>
                </w:p>
              </w:tc>
              <w:tc>
                <w:tcPr>
                  <w:tcW w:w="1472" w:type="dxa"/>
                  <w:tcBorders>
                    <w:tl2br w:val="nil"/>
                    <w:tr2bl w:val="nil"/>
                  </w:tcBorders>
                  <w:noWrap w:val="0"/>
                  <w:vAlign w:val="center"/>
                </w:tcPr>
                <w:p w14:paraId="24A61D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1次/半年</w:t>
                  </w:r>
                </w:p>
              </w:tc>
              <w:tc>
                <w:tcPr>
                  <w:tcW w:w="1472" w:type="dxa"/>
                  <w:tcBorders>
                    <w:tl2br w:val="nil"/>
                    <w:tr2bl w:val="nil"/>
                  </w:tcBorders>
                  <w:noWrap w:val="0"/>
                  <w:vAlign w:val="center"/>
                </w:tcPr>
                <w:p w14:paraId="28242BA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《大气污染物综合排放标准》（GB16297-1996）表2中无组织排放监控浓度限值，同时满足</w:t>
                  </w:r>
                  <w:r>
                    <w:rPr>
                      <w:rFonts w:hint="eastAsia"/>
                      <w:color w:val="auto"/>
                      <w:highlight w:val="none"/>
                      <w:lang w:eastAsia="zh-CN"/>
                    </w:rPr>
                    <w:t>《挥发性有机物无组织排放控制标准》（GB37822-2019）中表A.1厂区内VOCS无组织排放限值</w:t>
                  </w:r>
                </w:p>
              </w:tc>
            </w:tr>
            <w:tr w14:paraId="796E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30" w:hRule="atLeast"/>
                <w:jc w:val="center"/>
              </w:trPr>
              <w:tc>
                <w:tcPr>
                  <w:tcW w:w="840" w:type="dxa"/>
                  <w:vMerge w:val="continue"/>
                  <w:tcBorders>
                    <w:tl2br w:val="nil"/>
                    <w:tr2bl w:val="nil"/>
                  </w:tcBorders>
                  <w:noWrap w:val="0"/>
                  <w:vAlign w:val="center"/>
                </w:tcPr>
                <w:p w14:paraId="2E8C8A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p>
              </w:tc>
              <w:tc>
                <w:tcPr>
                  <w:tcW w:w="901" w:type="dxa"/>
                  <w:tcBorders>
                    <w:tl2br w:val="nil"/>
                    <w:tr2bl w:val="nil"/>
                  </w:tcBorders>
                  <w:noWrap w:val="0"/>
                  <w:vAlign w:val="center"/>
                </w:tcPr>
                <w:p w14:paraId="3661B1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lang w:val="en-US" w:eastAsia="zh-CN"/>
                    </w:rPr>
                  </w:pPr>
                  <w:r>
                    <w:rPr>
                      <w:rFonts w:hint="eastAsia"/>
                      <w:color w:val="auto"/>
                      <w:highlight w:val="none"/>
                      <w:lang w:val="en-US" w:eastAsia="zh-CN"/>
                    </w:rPr>
                    <w:t>噪声</w:t>
                  </w:r>
                </w:p>
              </w:tc>
              <w:tc>
                <w:tcPr>
                  <w:tcW w:w="1804" w:type="dxa"/>
                  <w:tcBorders>
                    <w:tl2br w:val="nil"/>
                    <w:tr2bl w:val="nil"/>
                  </w:tcBorders>
                  <w:noWrap w:val="0"/>
                  <w:vAlign w:val="center"/>
                </w:tcPr>
                <w:p w14:paraId="23D4D5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项目厂界四周外1m</w:t>
                  </w:r>
                </w:p>
              </w:tc>
              <w:tc>
                <w:tcPr>
                  <w:tcW w:w="1389" w:type="dxa"/>
                  <w:tcBorders>
                    <w:tl2br w:val="nil"/>
                    <w:tr2bl w:val="nil"/>
                  </w:tcBorders>
                  <w:noWrap w:val="0"/>
                  <w:vAlign w:val="center"/>
                </w:tcPr>
                <w:p w14:paraId="543EB2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等效A声级</w:t>
                  </w:r>
                </w:p>
              </w:tc>
              <w:tc>
                <w:tcPr>
                  <w:tcW w:w="1472" w:type="dxa"/>
                  <w:tcBorders>
                    <w:tl2br w:val="nil"/>
                    <w:tr2bl w:val="nil"/>
                  </w:tcBorders>
                  <w:noWrap w:val="0"/>
                  <w:vAlign w:val="center"/>
                </w:tcPr>
                <w:p w14:paraId="142DA7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rFonts w:hint="eastAsia"/>
                      <w:color w:val="auto"/>
                      <w:highlight w:val="none"/>
                      <w:lang w:val="en-US" w:eastAsia="zh-CN"/>
                    </w:rPr>
                    <w:t>1次/季度</w:t>
                  </w:r>
                </w:p>
              </w:tc>
              <w:tc>
                <w:tcPr>
                  <w:tcW w:w="1472" w:type="dxa"/>
                  <w:tcBorders>
                    <w:tl2br w:val="nil"/>
                    <w:tr2bl w:val="nil"/>
                  </w:tcBorders>
                  <w:noWrap w:val="0"/>
                  <w:vAlign w:val="center"/>
                </w:tcPr>
                <w:p w14:paraId="7BFF275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《工业企业厂界环境噪声排放标准》（GB12348-2008）3类标准限值要求</w:t>
                  </w:r>
                </w:p>
              </w:tc>
            </w:tr>
          </w:tbl>
          <w:p w14:paraId="7EC0D31D">
            <w:pPr>
              <w:bidi w:val="0"/>
              <w:rPr>
                <w:rFonts w:hint="default" w:eastAsia="宋体"/>
                <w:b/>
                <w:bCs/>
                <w:color w:val="auto"/>
                <w:highlight w:val="none"/>
                <w:lang w:val="en-US" w:eastAsia="zh-CN"/>
              </w:rPr>
            </w:pPr>
            <w:r>
              <w:rPr>
                <w:rFonts w:hint="default" w:eastAsia="宋体"/>
                <w:b/>
                <w:bCs/>
                <w:color w:val="auto"/>
                <w:highlight w:val="none"/>
                <w:lang w:val="en-US" w:eastAsia="zh-CN"/>
              </w:rPr>
              <w:t>八、环保投资</w:t>
            </w:r>
          </w:p>
          <w:p w14:paraId="684E22EA">
            <w:pPr>
              <w:bidi w:val="0"/>
              <w:rPr>
                <w:rFonts w:hint="default" w:eastAsia="宋体"/>
                <w:color w:val="auto"/>
                <w:highlight w:val="none"/>
                <w:lang w:val="en-US" w:eastAsia="zh-CN"/>
              </w:rPr>
            </w:pPr>
            <w:r>
              <w:rPr>
                <w:rFonts w:hint="default" w:eastAsia="宋体"/>
                <w:color w:val="auto"/>
                <w:highlight w:val="none"/>
                <w:lang w:val="en-US" w:eastAsia="zh-CN"/>
              </w:rPr>
              <w:t>项目投资：本项目总投资为1000万元，其中环保投资</w:t>
            </w:r>
            <w:r>
              <w:rPr>
                <w:rFonts w:hint="eastAsia"/>
                <w:color w:val="auto"/>
                <w:highlight w:val="none"/>
                <w:lang w:val="en-US" w:eastAsia="zh-CN"/>
              </w:rPr>
              <w:t>62</w:t>
            </w:r>
            <w:r>
              <w:rPr>
                <w:rFonts w:hint="default" w:eastAsia="宋体"/>
                <w:color w:val="auto"/>
                <w:highlight w:val="none"/>
                <w:lang w:val="en-US" w:eastAsia="zh-CN"/>
              </w:rPr>
              <w:t>万元，占总投资的</w:t>
            </w:r>
            <w:r>
              <w:rPr>
                <w:rFonts w:hint="eastAsia"/>
                <w:color w:val="auto"/>
                <w:highlight w:val="none"/>
                <w:lang w:val="en-US" w:eastAsia="zh-CN"/>
              </w:rPr>
              <w:t>6.2</w:t>
            </w:r>
            <w:r>
              <w:rPr>
                <w:rFonts w:hint="default" w:eastAsia="宋体"/>
                <w:color w:val="auto"/>
                <w:highlight w:val="none"/>
                <w:lang w:val="en-US" w:eastAsia="zh-CN"/>
              </w:rPr>
              <w:t>%。项目环保投资内容见</w:t>
            </w:r>
            <w:r>
              <w:rPr>
                <w:rFonts w:hint="eastAsia"/>
                <w:color w:val="auto"/>
                <w:highlight w:val="none"/>
                <w:lang w:val="en-US" w:eastAsia="zh-CN"/>
              </w:rPr>
              <w:t>下</w:t>
            </w:r>
            <w:r>
              <w:rPr>
                <w:rFonts w:hint="default" w:eastAsia="宋体"/>
                <w:color w:val="auto"/>
                <w:highlight w:val="none"/>
                <w:lang w:val="en-US" w:eastAsia="zh-CN"/>
              </w:rPr>
              <w:t>表。</w:t>
            </w:r>
          </w:p>
          <w:p w14:paraId="518C6EB3">
            <w:pPr>
              <w:bidi w:val="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表4-1</w:t>
            </w:r>
            <w:r>
              <w:rPr>
                <w:rFonts w:hint="eastAsia" w:ascii="Times New Roman" w:hAnsi="Times New Roman" w:eastAsia="宋体" w:cs="Times New Roman"/>
                <w:b/>
                <w:bCs/>
                <w:color w:val="auto"/>
                <w:highlight w:val="none"/>
                <w:lang w:val="en-US" w:eastAsia="zh-CN"/>
              </w:rPr>
              <w:t>1</w:t>
            </w:r>
            <w:r>
              <w:rPr>
                <w:rFonts w:hint="default" w:ascii="Times New Roman" w:hAnsi="Times New Roman" w:eastAsia="宋体" w:cs="Times New Roman"/>
                <w:b/>
                <w:bCs/>
                <w:color w:val="auto"/>
                <w:highlight w:val="none"/>
                <w:lang w:val="en-US" w:eastAsia="zh-CN"/>
              </w:rPr>
              <w:t>项目环保投资一览表</w:t>
            </w:r>
          </w:p>
          <w:tbl>
            <w:tblPr>
              <w:tblStyle w:val="26"/>
              <w:tblW w:w="794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983"/>
              <w:gridCol w:w="1413"/>
              <w:gridCol w:w="3164"/>
              <w:gridCol w:w="1191"/>
            </w:tblGrid>
            <w:tr w14:paraId="01AF39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51" w:type="pct"/>
                  <w:tcBorders>
                    <w:top w:val="single" w:color="auto" w:sz="4" w:space="0"/>
                    <w:left w:val="single" w:color="auto" w:sz="0" w:space="0"/>
                  </w:tcBorders>
                  <w:noWrap w:val="0"/>
                  <w:vAlign w:val="center"/>
                </w:tcPr>
                <w:p w14:paraId="0D72CC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项目</w:t>
                  </w:r>
                </w:p>
              </w:tc>
              <w:tc>
                <w:tcPr>
                  <w:tcW w:w="618" w:type="pct"/>
                  <w:tcBorders>
                    <w:top w:val="single" w:color="auto" w:sz="4" w:space="0"/>
                  </w:tcBorders>
                  <w:noWrap w:val="0"/>
                  <w:vAlign w:val="center"/>
                </w:tcPr>
                <w:p w14:paraId="579FF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污染源</w:t>
                  </w:r>
                </w:p>
              </w:tc>
              <w:tc>
                <w:tcPr>
                  <w:tcW w:w="889" w:type="pct"/>
                  <w:tcBorders>
                    <w:top w:val="single" w:color="auto" w:sz="4" w:space="0"/>
                  </w:tcBorders>
                  <w:noWrap w:val="0"/>
                  <w:vAlign w:val="center"/>
                </w:tcPr>
                <w:p w14:paraId="6807A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污染因子</w:t>
                  </w:r>
                </w:p>
              </w:tc>
              <w:tc>
                <w:tcPr>
                  <w:tcW w:w="1990" w:type="pct"/>
                  <w:tcBorders>
                    <w:top w:val="single" w:color="auto" w:sz="4" w:space="0"/>
                  </w:tcBorders>
                  <w:noWrap w:val="0"/>
                  <w:vAlign w:val="center"/>
                </w:tcPr>
                <w:p w14:paraId="41FD7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环保设施</w:t>
                  </w:r>
                </w:p>
              </w:tc>
              <w:tc>
                <w:tcPr>
                  <w:tcW w:w="749" w:type="pct"/>
                  <w:tcBorders>
                    <w:top w:val="single" w:color="auto" w:sz="4" w:space="0"/>
                    <w:right w:val="single" w:color="auto" w:sz="4" w:space="0"/>
                  </w:tcBorders>
                  <w:noWrap w:val="0"/>
                  <w:vAlign w:val="center"/>
                </w:tcPr>
                <w:p w14:paraId="291479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环保投资（万元）</w:t>
                  </w:r>
                </w:p>
              </w:tc>
            </w:tr>
            <w:tr w14:paraId="50BA1C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51" w:type="pct"/>
                  <w:vMerge w:val="restart"/>
                  <w:tcBorders>
                    <w:left w:val="single" w:color="auto" w:sz="4" w:space="0"/>
                  </w:tcBorders>
                  <w:noWrap w:val="0"/>
                  <w:vAlign w:val="center"/>
                </w:tcPr>
                <w:p w14:paraId="79C5AB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废气</w:t>
                  </w:r>
                </w:p>
              </w:tc>
              <w:tc>
                <w:tcPr>
                  <w:tcW w:w="618" w:type="pct"/>
                  <w:noWrap w:val="0"/>
                  <w:vAlign w:val="center"/>
                </w:tcPr>
                <w:p w14:paraId="7002F0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抛丸</w:t>
                  </w:r>
                </w:p>
              </w:tc>
              <w:tc>
                <w:tcPr>
                  <w:tcW w:w="889" w:type="pct"/>
                  <w:noWrap w:val="0"/>
                  <w:vAlign w:val="center"/>
                </w:tcPr>
                <w:p w14:paraId="5469B35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颗粒物</w:t>
                  </w:r>
                </w:p>
              </w:tc>
              <w:tc>
                <w:tcPr>
                  <w:tcW w:w="1990" w:type="pct"/>
                  <w:noWrap w:val="0"/>
                  <w:vAlign w:val="center"/>
                </w:tcPr>
                <w:p w14:paraId="267524B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抛丸清理过程中的废气采用集气罩收集后，经袋式除尘器处理后，最终由1根15m高的排气筒（DA001）排放。</w:t>
                  </w:r>
                </w:p>
              </w:tc>
              <w:tc>
                <w:tcPr>
                  <w:tcW w:w="749" w:type="pct"/>
                  <w:tcBorders>
                    <w:right w:val="single" w:color="auto" w:sz="4" w:space="0"/>
                  </w:tcBorders>
                  <w:noWrap w:val="0"/>
                  <w:vAlign w:val="center"/>
                </w:tcPr>
                <w:p w14:paraId="530615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10</w:t>
                  </w:r>
                </w:p>
              </w:tc>
            </w:tr>
            <w:tr w14:paraId="7ECCF0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51" w:type="pct"/>
                  <w:vMerge w:val="continue"/>
                  <w:tcBorders>
                    <w:left w:val="single" w:color="auto" w:sz="4" w:space="0"/>
                  </w:tcBorders>
                  <w:noWrap w:val="0"/>
                  <w:vAlign w:val="center"/>
                </w:tcPr>
                <w:p w14:paraId="668CE6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p>
              </w:tc>
              <w:tc>
                <w:tcPr>
                  <w:tcW w:w="618" w:type="pct"/>
                  <w:noWrap w:val="0"/>
                  <w:vAlign w:val="center"/>
                </w:tcPr>
                <w:p w14:paraId="45195C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焊接</w:t>
                  </w:r>
                </w:p>
              </w:tc>
              <w:tc>
                <w:tcPr>
                  <w:tcW w:w="889" w:type="pct"/>
                  <w:noWrap w:val="0"/>
                  <w:vAlign w:val="center"/>
                </w:tcPr>
                <w:p w14:paraId="3CEF837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颗粒物</w:t>
                  </w:r>
                </w:p>
              </w:tc>
              <w:tc>
                <w:tcPr>
                  <w:tcW w:w="1990" w:type="pct"/>
                  <w:noWrap w:val="0"/>
                  <w:vAlign w:val="center"/>
                </w:tcPr>
                <w:p w14:paraId="03AC10D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焊接废气经移动式焊接烟尘净化器净化处理后无组织排放。</w:t>
                  </w:r>
                </w:p>
              </w:tc>
              <w:tc>
                <w:tcPr>
                  <w:tcW w:w="749" w:type="pct"/>
                  <w:tcBorders>
                    <w:right w:val="single" w:color="auto" w:sz="4" w:space="0"/>
                  </w:tcBorders>
                  <w:noWrap w:val="0"/>
                  <w:vAlign w:val="center"/>
                </w:tcPr>
                <w:p w14:paraId="1EC93D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10</w:t>
                  </w:r>
                </w:p>
              </w:tc>
            </w:tr>
            <w:tr w14:paraId="1B4E89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51" w:type="pct"/>
                  <w:vMerge w:val="continue"/>
                  <w:tcBorders>
                    <w:left w:val="single" w:color="auto" w:sz="4" w:space="0"/>
                  </w:tcBorders>
                  <w:noWrap w:val="0"/>
                  <w:vAlign w:val="center"/>
                </w:tcPr>
                <w:p w14:paraId="2F812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p>
              </w:tc>
              <w:tc>
                <w:tcPr>
                  <w:tcW w:w="618" w:type="pct"/>
                  <w:noWrap w:val="0"/>
                  <w:vAlign w:val="center"/>
                </w:tcPr>
                <w:p w14:paraId="342435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喷漆</w:t>
                  </w:r>
                </w:p>
              </w:tc>
              <w:tc>
                <w:tcPr>
                  <w:tcW w:w="889" w:type="pct"/>
                  <w:noWrap w:val="0"/>
                  <w:vAlign w:val="center"/>
                </w:tcPr>
                <w:p w14:paraId="18A135D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color w:val="auto"/>
                      <w:highlight w:val="none"/>
                      <w:lang w:val="en-US" w:eastAsia="zh-CN"/>
                    </w:rPr>
                  </w:pPr>
                  <w:r>
                    <w:rPr>
                      <w:rFonts w:hint="eastAsia" w:cs="Times New Roman"/>
                      <w:color w:val="auto"/>
                      <w:szCs w:val="21"/>
                      <w:highlight w:val="none"/>
                      <w:lang w:val="en-US" w:eastAsia="zh-CN"/>
                    </w:rPr>
                    <w:t>非甲烷总烃、颗粒物、</w:t>
                  </w:r>
                </w:p>
              </w:tc>
              <w:tc>
                <w:tcPr>
                  <w:tcW w:w="1990" w:type="pct"/>
                  <w:noWrap w:val="0"/>
                  <w:vAlign w:val="center"/>
                </w:tcPr>
                <w:p w14:paraId="6B53576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color w:val="auto"/>
                      <w:highlight w:val="none"/>
                      <w:lang w:val="en-US" w:eastAsia="zh-CN"/>
                    </w:rPr>
                  </w:pPr>
                  <w:r>
                    <w:rPr>
                      <w:rFonts w:hint="eastAsia"/>
                      <w:color w:val="auto"/>
                      <w:highlight w:val="none"/>
                      <w:lang w:val="en-US" w:eastAsia="zh-CN"/>
                    </w:rPr>
                    <w:t>喷漆过程于专用封闭喷漆房内进行，喷漆废气经负压收集引至干式过滤器（迷宫纸盒）+过滤棉+二级活性炭吸附装置处理后，由15m高排气筒（DA002）排放。</w:t>
                  </w:r>
                </w:p>
              </w:tc>
              <w:tc>
                <w:tcPr>
                  <w:tcW w:w="749" w:type="pct"/>
                  <w:tcBorders>
                    <w:right w:val="single" w:color="auto" w:sz="4" w:space="0"/>
                  </w:tcBorders>
                  <w:noWrap w:val="0"/>
                  <w:vAlign w:val="center"/>
                </w:tcPr>
                <w:p w14:paraId="051C3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20</w:t>
                  </w:r>
                </w:p>
              </w:tc>
            </w:tr>
            <w:tr w14:paraId="5C9F15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51" w:type="pct"/>
                  <w:tcBorders>
                    <w:left w:val="single" w:color="auto" w:sz="4" w:space="0"/>
                  </w:tcBorders>
                  <w:noWrap w:val="0"/>
                  <w:vAlign w:val="center"/>
                </w:tcPr>
                <w:p w14:paraId="38E801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固废</w:t>
                  </w:r>
                </w:p>
              </w:tc>
              <w:tc>
                <w:tcPr>
                  <w:tcW w:w="3498" w:type="pct"/>
                  <w:gridSpan w:val="3"/>
                  <w:noWrap w:val="0"/>
                  <w:vAlign w:val="center"/>
                </w:tcPr>
                <w:p w14:paraId="2C098699">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一般工业固体废物：袋式除尘器产生的除尘灰，暂存于一般工业固体废物暂存间，定期外售综合利用。</w:t>
                  </w:r>
                </w:p>
                <w:p w14:paraId="341D400B">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危险废物：</w:t>
                  </w:r>
                  <w:r>
                    <w:rPr>
                      <w:rFonts w:hint="eastAsia" w:ascii="Times New Roman" w:hAnsi="Times New Roman" w:eastAsia="宋体" w:cs="Times New Roman"/>
                      <w:color w:val="auto"/>
                      <w:szCs w:val="21"/>
                      <w:highlight w:val="none"/>
                      <w:lang w:val="en-US" w:eastAsia="zh-CN"/>
                    </w:rPr>
                    <w:t>废纸壳（含废漆渣）、废过滤棉（含废漆渣）、废活性炭、</w:t>
                  </w:r>
                  <w:r>
                    <w:rPr>
                      <w:rFonts w:hint="eastAsia" w:cs="Times New Roman"/>
                      <w:color w:val="auto"/>
                      <w:szCs w:val="21"/>
                      <w:highlight w:val="none"/>
                      <w:lang w:val="en-US" w:eastAsia="zh-CN"/>
                    </w:rPr>
                    <w:t>废漆渣、</w:t>
                  </w:r>
                  <w:r>
                    <w:rPr>
                      <w:rFonts w:hint="eastAsia" w:ascii="Times New Roman" w:hAnsi="Times New Roman" w:eastAsia="宋体" w:cs="Times New Roman"/>
                      <w:color w:val="auto"/>
                      <w:szCs w:val="21"/>
                      <w:highlight w:val="none"/>
                      <w:lang w:val="en-US" w:eastAsia="zh-CN"/>
                    </w:rPr>
                    <w:t>废漆桶、废机油</w:t>
                  </w:r>
                  <w:r>
                    <w:rPr>
                      <w:rFonts w:hint="eastAsia" w:cs="Times New Roman"/>
                      <w:color w:val="auto"/>
                      <w:szCs w:val="21"/>
                      <w:highlight w:val="none"/>
                      <w:lang w:val="en-US" w:eastAsia="zh-CN"/>
                    </w:rPr>
                    <w:t>、废油桶</w:t>
                  </w:r>
                  <w:r>
                    <w:rPr>
                      <w:rFonts w:hint="eastAsia" w:ascii="Times New Roman" w:hAnsi="Times New Roman" w:eastAsia="宋体" w:cs="Times New Roman"/>
                      <w:color w:val="auto"/>
                      <w:szCs w:val="21"/>
                      <w:highlight w:val="none"/>
                      <w:lang w:val="en-US" w:eastAsia="zh-CN"/>
                    </w:rPr>
                    <w:t>分类收集后暂存在危险废物暂存库，定期交由有资质单位进行处置。</w:t>
                  </w:r>
                </w:p>
                <w:p w14:paraId="2E806A8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eastAsia="宋体"/>
                      <w:color w:val="auto"/>
                      <w:highlight w:val="none"/>
                      <w:lang w:val="en-US" w:eastAsia="zh-CN"/>
                    </w:rPr>
                  </w:pPr>
                  <w:r>
                    <w:rPr>
                      <w:rFonts w:hint="eastAsia" w:ascii="Times New Roman" w:hAnsi="Times New Roman" w:eastAsia="宋体" w:cs="Times New Roman"/>
                      <w:color w:val="auto"/>
                      <w:szCs w:val="21"/>
                      <w:highlight w:val="none"/>
                      <w:lang w:val="en-US" w:eastAsia="zh-CN"/>
                    </w:rPr>
                    <w:t>生活垃圾</w:t>
                  </w:r>
                  <w:r>
                    <w:rPr>
                      <w:rFonts w:hint="eastAsia" w:cs="Times New Roman"/>
                      <w:color w:val="auto"/>
                      <w:szCs w:val="21"/>
                      <w:highlight w:val="none"/>
                      <w:lang w:val="en-US" w:eastAsia="zh-CN"/>
                    </w:rPr>
                    <w:t>：生活垃圾</w:t>
                  </w:r>
                  <w:r>
                    <w:rPr>
                      <w:rFonts w:hint="eastAsia" w:ascii="Times New Roman" w:hAnsi="Times New Roman" w:eastAsia="宋体" w:cs="Times New Roman"/>
                      <w:color w:val="auto"/>
                      <w:szCs w:val="21"/>
                      <w:highlight w:val="none"/>
                      <w:lang w:val="en-US" w:eastAsia="zh-CN"/>
                    </w:rPr>
                    <w:t>由厂区内的垃圾桶统一收集后，定期交由环卫部门统一处理。</w:t>
                  </w:r>
                </w:p>
              </w:tc>
              <w:tc>
                <w:tcPr>
                  <w:tcW w:w="749" w:type="pct"/>
                  <w:tcBorders>
                    <w:right w:val="single" w:color="auto" w:sz="4" w:space="0"/>
                  </w:tcBorders>
                  <w:noWrap w:val="0"/>
                  <w:vAlign w:val="center"/>
                </w:tcPr>
                <w:p w14:paraId="2C505F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10</w:t>
                  </w:r>
                </w:p>
              </w:tc>
            </w:tr>
            <w:tr w14:paraId="0882A0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51" w:type="pct"/>
                  <w:tcBorders>
                    <w:left w:val="single" w:color="auto" w:sz="4" w:space="0"/>
                  </w:tcBorders>
                  <w:noWrap w:val="0"/>
                  <w:vAlign w:val="center"/>
                </w:tcPr>
                <w:p w14:paraId="4B62BD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噪声</w:t>
                  </w:r>
                </w:p>
              </w:tc>
              <w:tc>
                <w:tcPr>
                  <w:tcW w:w="3498" w:type="pct"/>
                  <w:gridSpan w:val="3"/>
                  <w:noWrap w:val="0"/>
                  <w:vAlign w:val="center"/>
                </w:tcPr>
                <w:p w14:paraId="7ACED4F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eastAsia="宋体"/>
                      <w:color w:val="auto"/>
                      <w:highlight w:val="none"/>
                      <w:lang w:val="en-US" w:eastAsia="zh-CN"/>
                    </w:rPr>
                  </w:pPr>
                  <w:r>
                    <w:rPr>
                      <w:rFonts w:hint="default" w:eastAsia="宋体"/>
                      <w:color w:val="auto"/>
                      <w:highlight w:val="none"/>
                      <w:lang w:val="en-US" w:eastAsia="zh-CN"/>
                    </w:rPr>
                    <w:t>采用低噪设备、减振基础、厂房隔声</w:t>
                  </w:r>
                </w:p>
              </w:tc>
              <w:tc>
                <w:tcPr>
                  <w:tcW w:w="749" w:type="pct"/>
                  <w:tcBorders>
                    <w:right w:val="single" w:color="auto" w:sz="4" w:space="0"/>
                  </w:tcBorders>
                  <w:noWrap w:val="0"/>
                  <w:vAlign w:val="center"/>
                </w:tcPr>
                <w:p w14:paraId="159718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2</w:t>
                  </w:r>
                </w:p>
              </w:tc>
            </w:tr>
            <w:tr w14:paraId="0B6AD2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51" w:type="pct"/>
                  <w:tcBorders>
                    <w:left w:val="single" w:color="auto" w:sz="4" w:space="0"/>
                  </w:tcBorders>
                  <w:noWrap w:val="0"/>
                  <w:vAlign w:val="center"/>
                </w:tcPr>
                <w:p w14:paraId="0647AD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防渗</w:t>
                  </w:r>
                </w:p>
              </w:tc>
              <w:tc>
                <w:tcPr>
                  <w:tcW w:w="3498" w:type="pct"/>
                  <w:gridSpan w:val="3"/>
                  <w:noWrap w:val="0"/>
                  <w:vAlign w:val="center"/>
                </w:tcPr>
                <w:p w14:paraId="2DADAD56">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重要防渗区：</w:t>
                  </w:r>
                  <w:r>
                    <w:rPr>
                      <w:rFonts w:hint="eastAsia" w:cs="Times New Roman"/>
                      <w:color w:val="auto"/>
                      <w:szCs w:val="21"/>
                      <w:highlight w:val="none"/>
                      <w:lang w:val="en-US" w:eastAsia="zh-CN"/>
                    </w:rPr>
                    <w:t>喷漆区、</w:t>
                  </w:r>
                  <w:r>
                    <w:rPr>
                      <w:rFonts w:hint="eastAsia" w:ascii="Times New Roman" w:hAnsi="Times New Roman" w:eastAsia="宋体" w:cs="Times New Roman"/>
                      <w:color w:val="auto"/>
                      <w:szCs w:val="21"/>
                      <w:highlight w:val="none"/>
                    </w:rPr>
                    <w:t>油漆暂存区、</w:t>
                  </w:r>
                  <w:r>
                    <w:rPr>
                      <w:rFonts w:hint="eastAsia" w:ascii="Times New Roman" w:hAnsi="Times New Roman" w:eastAsia="宋体" w:cs="Times New Roman"/>
                      <w:color w:val="auto"/>
                      <w:szCs w:val="21"/>
                      <w:highlight w:val="none"/>
                      <w:lang w:eastAsia="zh-CN"/>
                    </w:rPr>
                    <w:t>危险废物暂存库</w:t>
                  </w:r>
                  <w:r>
                    <w:rPr>
                      <w:rFonts w:hint="eastAsia" w:ascii="Times New Roman" w:hAnsi="Times New Roman" w:eastAsia="宋体" w:cs="Times New Roman"/>
                      <w:color w:val="auto"/>
                      <w:szCs w:val="21"/>
                      <w:highlight w:val="none"/>
                    </w:rPr>
                    <w:t>属于重点防渗区域，</w:t>
                  </w:r>
                  <w:r>
                    <w:rPr>
                      <w:rFonts w:hint="eastAsia" w:ascii="Times New Roman" w:hAnsi="Times New Roman" w:eastAsia="宋体" w:cs="Times New Roman"/>
                      <w:color w:val="auto"/>
                      <w:szCs w:val="21"/>
                      <w:highlight w:val="none"/>
                      <w:lang w:val="en-US" w:eastAsia="zh-CN"/>
                    </w:rPr>
                    <w:t>防渗层为至少1m厚黏土层（渗透系数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w:t>
                  </w:r>
                  <w:r>
                    <w:rPr>
                      <w:rFonts w:hint="eastAsia" w:ascii="Times New Roman" w:hAnsi="Times New Roman" w:eastAsia="宋体" w:cs="Times New Roman"/>
                      <w:color w:val="auto"/>
                      <w:szCs w:val="21"/>
                      <w:highlight w:val="none"/>
                      <w:vertAlign w:val="superscript"/>
                      <w:lang w:val="en-US" w:eastAsia="zh-CN"/>
                    </w:rPr>
                    <w:t>-7</w:t>
                  </w:r>
                  <w:r>
                    <w:rPr>
                      <w:rFonts w:hint="eastAsia" w:ascii="Times New Roman" w:hAnsi="Times New Roman" w:eastAsia="宋体" w:cs="Times New Roman"/>
                      <w:color w:val="auto"/>
                      <w:szCs w:val="21"/>
                      <w:highlight w:val="none"/>
                      <w:lang w:val="en-US" w:eastAsia="zh-CN"/>
                    </w:rPr>
                    <w:t>cm/s）或至少2mm厚高密度聚乙烯膜等人工防渗材料（渗透系数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w:t>
                  </w:r>
                  <w:r>
                    <w:rPr>
                      <w:rFonts w:hint="eastAsia" w:ascii="Times New Roman" w:hAnsi="Times New Roman" w:eastAsia="宋体" w:cs="Times New Roman"/>
                      <w:color w:val="auto"/>
                      <w:szCs w:val="21"/>
                      <w:highlight w:val="none"/>
                      <w:vertAlign w:val="superscript"/>
                      <w:lang w:val="en-US" w:eastAsia="zh-CN"/>
                    </w:rPr>
                    <w:t>-10</w:t>
                  </w:r>
                  <w:r>
                    <w:rPr>
                      <w:rFonts w:hint="eastAsia" w:ascii="Times New Roman" w:hAnsi="Times New Roman" w:eastAsia="宋体" w:cs="Times New Roman"/>
                      <w:color w:val="auto"/>
                      <w:szCs w:val="21"/>
                      <w:highlight w:val="none"/>
                      <w:lang w:val="en-US" w:eastAsia="zh-CN"/>
                    </w:rPr>
                    <w:t>cm/s），或其他防渗性能等效的材料，并</w:t>
                  </w:r>
                  <w:r>
                    <w:rPr>
                      <w:rFonts w:hint="eastAsia" w:ascii="Times New Roman" w:hAnsi="Times New Roman" w:eastAsia="宋体" w:cs="Times New Roman"/>
                      <w:color w:val="auto"/>
                      <w:szCs w:val="21"/>
                      <w:highlight w:val="none"/>
                    </w:rPr>
                    <w:t>涂刷环氧树脂地坪漆</w:t>
                  </w:r>
                  <w:r>
                    <w:rPr>
                      <w:rFonts w:hint="eastAsia" w:ascii="Times New Roman" w:hAnsi="Times New Roman" w:eastAsia="宋体" w:cs="Times New Roman"/>
                      <w:color w:val="auto"/>
                      <w:szCs w:val="21"/>
                      <w:highlight w:val="none"/>
                      <w:lang w:eastAsia="zh-CN"/>
                    </w:rPr>
                    <w:t>。</w:t>
                  </w:r>
                </w:p>
                <w:p w14:paraId="6AE4A780">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一般防渗区：</w:t>
                  </w:r>
                  <w:r>
                    <w:rPr>
                      <w:rFonts w:hint="eastAsia" w:cs="Times New Roman"/>
                      <w:color w:val="auto"/>
                      <w:szCs w:val="21"/>
                      <w:highlight w:val="none"/>
                      <w:lang w:val="en-US" w:eastAsia="zh-CN"/>
                    </w:rPr>
                    <w:t>生产车间除去喷漆区、危险废物暂存库其他位置采用一般防渗，防渗措施</w:t>
                  </w:r>
                  <w:r>
                    <w:rPr>
                      <w:rFonts w:hint="eastAsia" w:ascii="Times New Roman" w:hAnsi="Times New Roman" w:eastAsia="宋体" w:cs="Times New Roman"/>
                      <w:color w:val="auto"/>
                      <w:szCs w:val="21"/>
                      <w:highlight w:val="none"/>
                      <w:lang w:val="en-US" w:eastAsia="zh-CN"/>
                    </w:rPr>
                    <w:t>采取混凝土硬化+HDPE膜防渗措施，防渗性能均满足一般防渗要求（等效黏土防渗层Mb</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1.5m，渗透系数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1.0×10</w:t>
                  </w:r>
                  <w:r>
                    <w:rPr>
                      <w:rFonts w:hint="eastAsia" w:ascii="Times New Roman" w:hAnsi="Times New Roman" w:eastAsia="宋体" w:cs="Times New Roman"/>
                      <w:color w:val="auto"/>
                      <w:szCs w:val="21"/>
                      <w:highlight w:val="none"/>
                      <w:vertAlign w:val="superscript"/>
                      <w:lang w:val="en-US" w:eastAsia="zh-CN"/>
                    </w:rPr>
                    <w:t>-7</w:t>
                  </w:r>
                  <w:r>
                    <w:rPr>
                      <w:rFonts w:hint="eastAsia" w:ascii="Times New Roman" w:hAnsi="Times New Roman" w:eastAsia="宋体" w:cs="Times New Roman"/>
                      <w:color w:val="auto"/>
                      <w:szCs w:val="21"/>
                      <w:highlight w:val="none"/>
                      <w:lang w:val="en-US" w:eastAsia="zh-CN"/>
                    </w:rPr>
                    <w:t>cm/s）。</w:t>
                  </w:r>
                </w:p>
                <w:p w14:paraId="036A782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eastAsia="宋体"/>
                      <w:color w:val="auto"/>
                      <w:highlight w:val="none"/>
                      <w:lang w:val="en-US" w:eastAsia="zh-CN"/>
                    </w:rPr>
                  </w:pPr>
                  <w:r>
                    <w:rPr>
                      <w:rFonts w:hint="eastAsia" w:ascii="Times New Roman" w:hAnsi="Times New Roman" w:eastAsia="宋体" w:cs="Times New Roman"/>
                      <w:color w:val="auto"/>
                      <w:szCs w:val="21"/>
                      <w:highlight w:val="none"/>
                      <w:lang w:val="en-US" w:eastAsia="zh-CN"/>
                    </w:rPr>
                    <w:t>简单防渗区：生活办公区采用简单防渗，地面采用水泥硬化处理。</w:t>
                  </w:r>
                </w:p>
              </w:tc>
              <w:tc>
                <w:tcPr>
                  <w:tcW w:w="749" w:type="pct"/>
                  <w:tcBorders>
                    <w:right w:val="single" w:color="auto" w:sz="4" w:space="0"/>
                  </w:tcBorders>
                  <w:noWrap w:val="0"/>
                  <w:vAlign w:val="center"/>
                </w:tcPr>
                <w:p w14:paraId="5FA3AB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10</w:t>
                  </w:r>
                </w:p>
              </w:tc>
            </w:tr>
            <w:tr w14:paraId="3DC60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250" w:type="pct"/>
                  <w:gridSpan w:val="4"/>
                  <w:tcBorders>
                    <w:left w:val="single" w:color="auto" w:sz="4" w:space="0"/>
                    <w:bottom w:val="single" w:color="auto" w:sz="4" w:space="0"/>
                  </w:tcBorders>
                  <w:noWrap w:val="0"/>
                  <w:vAlign w:val="center"/>
                </w:tcPr>
                <w:p w14:paraId="365EE4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default" w:eastAsia="宋体"/>
                      <w:color w:val="auto"/>
                      <w:highlight w:val="none"/>
                      <w:lang w:val="en-US" w:eastAsia="zh-CN"/>
                    </w:rPr>
                    <w:t>合计</w:t>
                  </w:r>
                </w:p>
              </w:tc>
              <w:tc>
                <w:tcPr>
                  <w:tcW w:w="749" w:type="pct"/>
                  <w:tcBorders>
                    <w:bottom w:val="single" w:color="auto" w:sz="4" w:space="0"/>
                    <w:right w:val="single" w:color="auto" w:sz="4" w:space="0"/>
                  </w:tcBorders>
                  <w:noWrap w:val="0"/>
                  <w:vAlign w:val="center"/>
                </w:tcPr>
                <w:p w14:paraId="1B7009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highlight w:val="none"/>
                      <w:lang w:val="en-US" w:eastAsia="zh-CN"/>
                    </w:rPr>
                  </w:pPr>
                  <w:r>
                    <w:rPr>
                      <w:rFonts w:hint="eastAsia"/>
                      <w:color w:val="auto"/>
                      <w:highlight w:val="none"/>
                      <w:lang w:val="en-US" w:eastAsia="zh-CN"/>
                    </w:rPr>
                    <w:t>62</w:t>
                  </w:r>
                </w:p>
              </w:tc>
            </w:tr>
          </w:tbl>
          <w:p w14:paraId="6254C3F1">
            <w:pPr>
              <w:bidi w:val="0"/>
              <w:ind w:left="0" w:leftChars="0" w:firstLine="0" w:firstLineChars="0"/>
              <w:rPr>
                <w:rFonts w:hint="default" w:eastAsia="宋体"/>
                <w:color w:val="auto"/>
                <w:highlight w:val="none"/>
                <w:lang w:val="en-US" w:eastAsia="zh-CN"/>
              </w:rPr>
            </w:pPr>
          </w:p>
        </w:tc>
      </w:tr>
    </w:tbl>
    <w:p w14:paraId="6700F56B">
      <w:pPr>
        <w:adjustRightInd w:val="0"/>
        <w:snapToGrid w:val="0"/>
        <w:spacing w:line="360" w:lineRule="auto"/>
        <w:rPr>
          <w:rFonts w:hint="default" w:ascii="Times New Roman" w:hAnsi="Times New Roman" w:cs="Times New Roman"/>
          <w:b/>
          <w:color w:val="auto"/>
          <w:kern w:val="0"/>
          <w:sz w:val="28"/>
          <w:szCs w:val="28"/>
          <w:highlight w:val="none"/>
        </w:rPr>
        <w:sectPr>
          <w:footerReference r:id="rId11" w:type="default"/>
          <w:pgSz w:w="11907" w:h="16840"/>
          <w:pgMar w:top="1701" w:right="1531" w:bottom="2127"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1C816803">
      <w:pPr>
        <w:pStyle w:val="21"/>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5" w:name="_Hlk54167917"/>
      <w:r>
        <w:rPr>
          <w:rFonts w:hint="default" w:ascii="Times New Roman" w:hAnsi="Times New Roman" w:eastAsia="黑体" w:cs="Times New Roman"/>
          <w:snapToGrid w:val="0"/>
          <w:color w:val="auto"/>
          <w:sz w:val="30"/>
          <w:szCs w:val="30"/>
          <w:highlight w:val="none"/>
        </w:rPr>
        <w:t>环境保护措施监督检查清单</w:t>
      </w:r>
      <w:bookmarkEnd w:id="5"/>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755"/>
        <w:gridCol w:w="1755"/>
        <w:gridCol w:w="1757"/>
      </w:tblGrid>
      <w:tr w14:paraId="3C5F4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13B976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内容</w:t>
            </w:r>
          </w:p>
          <w:p w14:paraId="57051E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要素</w:t>
            </w:r>
          </w:p>
        </w:tc>
        <w:tc>
          <w:tcPr>
            <w:tcW w:w="1755" w:type="dxa"/>
            <w:noWrap w:val="0"/>
            <w:vAlign w:val="center"/>
          </w:tcPr>
          <w:p w14:paraId="521CB1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排放口</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编号、</w:t>
            </w:r>
          </w:p>
          <w:p w14:paraId="57B277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名称</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污染源</w:t>
            </w:r>
          </w:p>
        </w:tc>
        <w:tc>
          <w:tcPr>
            <w:tcW w:w="1755" w:type="dxa"/>
            <w:noWrap w:val="0"/>
            <w:vAlign w:val="center"/>
          </w:tcPr>
          <w:p w14:paraId="15A10A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污染物项目</w:t>
            </w:r>
          </w:p>
        </w:tc>
        <w:tc>
          <w:tcPr>
            <w:tcW w:w="1755" w:type="dxa"/>
            <w:noWrap w:val="0"/>
            <w:vAlign w:val="center"/>
          </w:tcPr>
          <w:p w14:paraId="2AD25C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环境保护措施</w:t>
            </w:r>
          </w:p>
        </w:tc>
        <w:tc>
          <w:tcPr>
            <w:tcW w:w="1757" w:type="dxa"/>
            <w:noWrap w:val="0"/>
            <w:vAlign w:val="center"/>
          </w:tcPr>
          <w:p w14:paraId="3DC996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执行标准</w:t>
            </w:r>
          </w:p>
        </w:tc>
      </w:tr>
      <w:tr w14:paraId="570E7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72AC03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大气环境</w:t>
            </w:r>
          </w:p>
        </w:tc>
        <w:tc>
          <w:tcPr>
            <w:tcW w:w="1755" w:type="dxa"/>
            <w:noWrap w:val="0"/>
            <w:vAlign w:val="center"/>
          </w:tcPr>
          <w:p w14:paraId="081704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lang w:val="en-US" w:eastAsia="zh-CN"/>
              </w:rPr>
              <w:t>抛丸废气</w:t>
            </w:r>
            <w:r>
              <w:rPr>
                <w:rFonts w:hint="default" w:ascii="Times New Roman" w:hAnsi="Times New Roman" w:cs="Times New Roman"/>
                <w:color w:val="auto"/>
                <w:szCs w:val="21"/>
                <w:highlight w:val="none"/>
              </w:rPr>
              <w:t>排放口</w:t>
            </w:r>
            <w:r>
              <w:rPr>
                <w:rFonts w:hint="eastAsia" w:ascii="Times New Roman" w:hAnsi="Times New Roman" w:eastAsia="宋体" w:cs="Times New Roman"/>
                <w:color w:val="auto"/>
                <w:szCs w:val="21"/>
                <w:highlight w:val="none"/>
                <w:lang w:val="en-US" w:eastAsia="zh-CN"/>
              </w:rPr>
              <w:t>（DA001）</w:t>
            </w:r>
          </w:p>
        </w:tc>
        <w:tc>
          <w:tcPr>
            <w:tcW w:w="1755" w:type="dxa"/>
            <w:noWrap w:val="0"/>
            <w:vAlign w:val="center"/>
          </w:tcPr>
          <w:p w14:paraId="1CD5A1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颗粒物</w:t>
            </w:r>
          </w:p>
        </w:tc>
        <w:tc>
          <w:tcPr>
            <w:tcW w:w="1755" w:type="dxa"/>
            <w:noWrap w:val="0"/>
            <w:vAlign w:val="center"/>
          </w:tcPr>
          <w:p w14:paraId="0B1E38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lang w:val="en-US" w:eastAsia="zh-CN"/>
              </w:rPr>
              <w:t>经袋式除尘器处理后，最终由1根15m高的排气筒（DA001）排放</w:t>
            </w:r>
          </w:p>
        </w:tc>
        <w:tc>
          <w:tcPr>
            <w:tcW w:w="1757" w:type="dxa"/>
            <w:vMerge w:val="restart"/>
            <w:noWrap w:val="0"/>
            <w:vAlign w:val="center"/>
          </w:tcPr>
          <w:p w14:paraId="36FAEE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eastAsia"/>
                <w:color w:val="auto"/>
                <w:highlight w:val="none"/>
                <w:lang w:val="en-US" w:eastAsia="zh-CN"/>
              </w:rPr>
              <w:t>《大气污染物综合排放标准》（GB16297-1996）表2新污染源大气污染物排放限值二级标准限值</w:t>
            </w:r>
          </w:p>
        </w:tc>
      </w:tr>
      <w:tr w14:paraId="476B8A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69" w:hRule="atLeast"/>
          <w:jc w:val="center"/>
        </w:trPr>
        <w:tc>
          <w:tcPr>
            <w:tcW w:w="1778" w:type="dxa"/>
            <w:vMerge w:val="continue"/>
            <w:noWrap w:val="0"/>
            <w:vAlign w:val="center"/>
          </w:tcPr>
          <w:p w14:paraId="292560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755" w:type="dxa"/>
            <w:noWrap w:val="0"/>
            <w:vAlign w:val="center"/>
          </w:tcPr>
          <w:p w14:paraId="6F53FF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lang w:val="en-US" w:eastAsia="zh-CN"/>
              </w:rPr>
              <w:t>喷漆废气</w:t>
            </w:r>
            <w:r>
              <w:rPr>
                <w:rFonts w:hint="default" w:ascii="Times New Roman" w:hAnsi="Times New Roman" w:cs="Times New Roman"/>
                <w:color w:val="auto"/>
                <w:szCs w:val="21"/>
                <w:highlight w:val="none"/>
              </w:rPr>
              <w:t>排放口</w:t>
            </w:r>
            <w:r>
              <w:rPr>
                <w:rFonts w:hint="eastAsia" w:ascii="Times New Roman" w:hAnsi="Times New Roman" w:eastAsia="宋体" w:cs="Times New Roman"/>
                <w:color w:val="auto"/>
                <w:szCs w:val="21"/>
                <w:highlight w:val="none"/>
                <w:lang w:val="en-US" w:eastAsia="zh-CN"/>
              </w:rPr>
              <w:t>（</w:t>
            </w:r>
            <w:r>
              <w:rPr>
                <w:rFonts w:hint="eastAsia" w:cs="Times New Roman"/>
                <w:color w:val="auto"/>
                <w:szCs w:val="21"/>
                <w:highlight w:val="none"/>
                <w:lang w:val="en-US" w:eastAsia="zh-CN"/>
              </w:rPr>
              <w:t>DA002</w:t>
            </w:r>
            <w:r>
              <w:rPr>
                <w:rFonts w:hint="eastAsia" w:ascii="Times New Roman" w:hAnsi="Times New Roman" w:eastAsia="宋体" w:cs="Times New Roman"/>
                <w:color w:val="auto"/>
                <w:szCs w:val="21"/>
                <w:highlight w:val="none"/>
                <w:lang w:val="en-US" w:eastAsia="zh-CN"/>
              </w:rPr>
              <w:t>）</w:t>
            </w:r>
          </w:p>
        </w:tc>
        <w:tc>
          <w:tcPr>
            <w:tcW w:w="1755" w:type="dxa"/>
            <w:noWrap w:val="0"/>
            <w:vAlign w:val="center"/>
          </w:tcPr>
          <w:p w14:paraId="7195B6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非甲烷总烃、颗粒物、</w:t>
            </w:r>
          </w:p>
        </w:tc>
        <w:tc>
          <w:tcPr>
            <w:tcW w:w="1755" w:type="dxa"/>
            <w:noWrap w:val="0"/>
            <w:vAlign w:val="center"/>
          </w:tcPr>
          <w:p w14:paraId="31B58E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lang w:val="en-US" w:eastAsia="zh-CN"/>
              </w:rPr>
              <w:t>经通风装置引至干式过滤器（迷宫纸盒）+过滤棉+二级活性炭吸附装置处理后，由15m高排气筒（</w:t>
            </w:r>
            <w:r>
              <w:rPr>
                <w:rFonts w:hint="eastAsia" w:cs="Times New Roman"/>
                <w:color w:val="auto"/>
                <w:szCs w:val="21"/>
                <w:highlight w:val="none"/>
                <w:lang w:val="en-US" w:eastAsia="zh-CN"/>
              </w:rPr>
              <w:t>DA002</w:t>
            </w:r>
            <w:r>
              <w:rPr>
                <w:rFonts w:hint="eastAsia" w:ascii="Times New Roman" w:hAnsi="Times New Roman" w:eastAsia="宋体" w:cs="Times New Roman"/>
                <w:color w:val="auto"/>
                <w:szCs w:val="21"/>
                <w:highlight w:val="none"/>
                <w:lang w:val="en-US" w:eastAsia="zh-CN"/>
              </w:rPr>
              <w:t>）排放。</w:t>
            </w:r>
          </w:p>
        </w:tc>
        <w:tc>
          <w:tcPr>
            <w:tcW w:w="1757" w:type="dxa"/>
            <w:vMerge w:val="continue"/>
            <w:noWrap w:val="0"/>
            <w:vAlign w:val="center"/>
          </w:tcPr>
          <w:p w14:paraId="7E3EAC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r>
      <w:tr w14:paraId="1F55C2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69" w:hRule="atLeast"/>
          <w:jc w:val="center"/>
        </w:trPr>
        <w:tc>
          <w:tcPr>
            <w:tcW w:w="1778" w:type="dxa"/>
            <w:vMerge w:val="continue"/>
            <w:noWrap w:val="0"/>
            <w:vAlign w:val="center"/>
          </w:tcPr>
          <w:p w14:paraId="5DB060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755" w:type="dxa"/>
            <w:noWrap w:val="0"/>
            <w:vAlign w:val="center"/>
          </w:tcPr>
          <w:p w14:paraId="0D1F69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焊接废气</w:t>
            </w:r>
          </w:p>
        </w:tc>
        <w:tc>
          <w:tcPr>
            <w:tcW w:w="1755" w:type="dxa"/>
            <w:noWrap w:val="0"/>
            <w:vAlign w:val="center"/>
          </w:tcPr>
          <w:p w14:paraId="11C2DC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无组织颗粒物</w:t>
            </w:r>
          </w:p>
        </w:tc>
        <w:tc>
          <w:tcPr>
            <w:tcW w:w="1755" w:type="dxa"/>
            <w:noWrap w:val="0"/>
            <w:vAlign w:val="center"/>
          </w:tcPr>
          <w:p w14:paraId="137C3A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经移动式焊接烟尘净化器净化处理后无组织排放。</w:t>
            </w:r>
          </w:p>
        </w:tc>
        <w:tc>
          <w:tcPr>
            <w:tcW w:w="1757" w:type="dxa"/>
            <w:noWrap w:val="0"/>
            <w:vAlign w:val="center"/>
          </w:tcPr>
          <w:p w14:paraId="70660C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rPr>
            </w:pPr>
            <w:r>
              <w:rPr>
                <w:rFonts w:hint="eastAsia"/>
                <w:color w:val="auto"/>
                <w:highlight w:val="none"/>
                <w:lang w:val="en-US" w:eastAsia="zh-CN"/>
              </w:rPr>
              <w:t>《大气污染物综合排放标准》（GB16297-1996）表2新污染源大气污染物排放限值无组织排放限值要求</w:t>
            </w:r>
          </w:p>
        </w:tc>
      </w:tr>
      <w:tr w14:paraId="2023F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641C7A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地表水环境</w:t>
            </w:r>
          </w:p>
        </w:tc>
        <w:tc>
          <w:tcPr>
            <w:tcW w:w="1755" w:type="dxa"/>
            <w:noWrap w:val="0"/>
            <w:vAlign w:val="center"/>
          </w:tcPr>
          <w:p w14:paraId="5A558E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755" w:type="dxa"/>
            <w:noWrap w:val="0"/>
            <w:vAlign w:val="center"/>
          </w:tcPr>
          <w:p w14:paraId="286FC7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755" w:type="dxa"/>
            <w:noWrap w:val="0"/>
            <w:vAlign w:val="center"/>
          </w:tcPr>
          <w:p w14:paraId="275914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757" w:type="dxa"/>
            <w:noWrap w:val="0"/>
            <w:vAlign w:val="center"/>
          </w:tcPr>
          <w:p w14:paraId="435632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r>
      <w:tr w14:paraId="3A525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1E9C90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声环境</w:t>
            </w:r>
          </w:p>
        </w:tc>
        <w:tc>
          <w:tcPr>
            <w:tcW w:w="1755" w:type="dxa"/>
            <w:noWrap w:val="0"/>
            <w:vAlign w:val="center"/>
          </w:tcPr>
          <w:p w14:paraId="1FDC46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设备噪声</w:t>
            </w:r>
          </w:p>
        </w:tc>
        <w:tc>
          <w:tcPr>
            <w:tcW w:w="1755" w:type="dxa"/>
            <w:noWrap w:val="0"/>
            <w:vAlign w:val="center"/>
          </w:tcPr>
          <w:p w14:paraId="1685F8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噪声</w:t>
            </w:r>
          </w:p>
        </w:tc>
        <w:tc>
          <w:tcPr>
            <w:tcW w:w="1755" w:type="dxa"/>
            <w:noWrap w:val="0"/>
            <w:vAlign w:val="center"/>
          </w:tcPr>
          <w:p w14:paraId="34A5D6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选用低噪声设备、基础减震</w:t>
            </w:r>
          </w:p>
        </w:tc>
        <w:tc>
          <w:tcPr>
            <w:tcW w:w="1757" w:type="dxa"/>
            <w:noWrap w:val="0"/>
            <w:vAlign w:val="center"/>
          </w:tcPr>
          <w:p w14:paraId="3F435A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《工业企业厂界环境噪声排放标准》（GB12348-2008）</w:t>
            </w:r>
            <w:r>
              <w:rPr>
                <w:rFonts w:hint="eastAsia" w:cs="Times New Roman"/>
                <w:color w:val="auto"/>
                <w:szCs w:val="21"/>
                <w:highlight w:val="none"/>
                <w:lang w:val="en-US" w:eastAsia="zh-CN"/>
              </w:rPr>
              <w:t>3类</w:t>
            </w:r>
            <w:r>
              <w:rPr>
                <w:rFonts w:hint="default" w:ascii="Times New Roman" w:hAnsi="Times New Roman" w:cs="Times New Roman"/>
                <w:color w:val="auto"/>
                <w:szCs w:val="21"/>
                <w:highlight w:val="none"/>
              </w:rPr>
              <w:t>标准</w:t>
            </w:r>
          </w:p>
        </w:tc>
      </w:tr>
      <w:tr w14:paraId="625C3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57E0C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电磁辐射</w:t>
            </w:r>
          </w:p>
        </w:tc>
        <w:tc>
          <w:tcPr>
            <w:tcW w:w="1755" w:type="dxa"/>
            <w:noWrap w:val="0"/>
            <w:vAlign w:val="center"/>
          </w:tcPr>
          <w:p w14:paraId="03F5DF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755" w:type="dxa"/>
            <w:noWrap w:val="0"/>
            <w:vAlign w:val="center"/>
          </w:tcPr>
          <w:p w14:paraId="2C412F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755" w:type="dxa"/>
            <w:noWrap w:val="0"/>
            <w:vAlign w:val="center"/>
          </w:tcPr>
          <w:p w14:paraId="4B94B8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757" w:type="dxa"/>
            <w:noWrap w:val="0"/>
            <w:vAlign w:val="center"/>
          </w:tcPr>
          <w:p w14:paraId="0975B5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r>
      <w:tr w14:paraId="32BCA5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778" w:type="dxa"/>
            <w:noWrap w:val="0"/>
            <w:vAlign w:val="center"/>
          </w:tcPr>
          <w:p w14:paraId="468B3F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固体废物</w:t>
            </w:r>
          </w:p>
        </w:tc>
        <w:tc>
          <w:tcPr>
            <w:tcW w:w="7022" w:type="dxa"/>
            <w:gridSpan w:val="4"/>
            <w:noWrap w:val="0"/>
            <w:vAlign w:val="center"/>
          </w:tcPr>
          <w:p w14:paraId="1EBB0E48">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一般工业固体废物：袋式除尘器产生的除尘灰，暂存于一般工业固体废物暂存间，定期外售综合利用。</w:t>
            </w:r>
          </w:p>
          <w:p w14:paraId="601527EE">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危险废物：</w:t>
            </w:r>
            <w:r>
              <w:rPr>
                <w:rFonts w:hint="eastAsia" w:ascii="Times New Roman" w:hAnsi="Times New Roman" w:eastAsia="宋体" w:cs="Times New Roman"/>
                <w:color w:val="auto"/>
                <w:szCs w:val="21"/>
                <w:highlight w:val="none"/>
                <w:lang w:val="en-US" w:eastAsia="zh-CN"/>
              </w:rPr>
              <w:t>废纸壳（含废漆渣）、废过滤棉（含废漆渣）、废活性炭、</w:t>
            </w:r>
            <w:r>
              <w:rPr>
                <w:rFonts w:hint="eastAsia" w:cs="Times New Roman"/>
                <w:color w:val="auto"/>
                <w:szCs w:val="21"/>
                <w:highlight w:val="none"/>
                <w:lang w:val="en-US" w:eastAsia="zh-CN"/>
              </w:rPr>
              <w:t>废漆渣、</w:t>
            </w:r>
            <w:r>
              <w:rPr>
                <w:rFonts w:hint="eastAsia" w:ascii="Times New Roman" w:hAnsi="Times New Roman" w:eastAsia="宋体" w:cs="Times New Roman"/>
                <w:color w:val="auto"/>
                <w:szCs w:val="21"/>
                <w:highlight w:val="none"/>
                <w:lang w:val="en-US" w:eastAsia="zh-CN"/>
              </w:rPr>
              <w:t>废漆桶、废机油</w:t>
            </w:r>
            <w:r>
              <w:rPr>
                <w:rFonts w:hint="eastAsia" w:cs="Times New Roman"/>
                <w:color w:val="auto"/>
                <w:szCs w:val="21"/>
                <w:highlight w:val="none"/>
                <w:lang w:val="en-US" w:eastAsia="zh-CN"/>
              </w:rPr>
              <w:t>、废油桶</w:t>
            </w:r>
            <w:r>
              <w:rPr>
                <w:rFonts w:hint="eastAsia" w:ascii="Times New Roman" w:hAnsi="Times New Roman" w:eastAsia="宋体" w:cs="Times New Roman"/>
                <w:color w:val="auto"/>
                <w:szCs w:val="21"/>
                <w:highlight w:val="none"/>
                <w:lang w:val="en-US" w:eastAsia="zh-CN"/>
              </w:rPr>
              <w:t>分类收集后暂存在危险废物暂存库，定期交由有资质单位进行处置。</w:t>
            </w:r>
          </w:p>
          <w:p w14:paraId="212A08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lang w:val="en-US" w:eastAsia="zh-CN"/>
              </w:rPr>
              <w:t>生活垃圾</w:t>
            </w:r>
            <w:r>
              <w:rPr>
                <w:rFonts w:hint="eastAsia" w:cs="Times New Roman"/>
                <w:color w:val="auto"/>
                <w:szCs w:val="21"/>
                <w:highlight w:val="none"/>
                <w:lang w:val="en-US" w:eastAsia="zh-CN"/>
              </w:rPr>
              <w:t>：生活垃圾</w:t>
            </w:r>
            <w:r>
              <w:rPr>
                <w:rFonts w:hint="eastAsia" w:ascii="Times New Roman" w:hAnsi="Times New Roman" w:eastAsia="宋体" w:cs="Times New Roman"/>
                <w:color w:val="auto"/>
                <w:szCs w:val="21"/>
                <w:highlight w:val="none"/>
                <w:lang w:val="en-US" w:eastAsia="zh-CN"/>
              </w:rPr>
              <w:t>由厂区内的垃圾桶统一收集后，定期交由环卫部门统一处理。</w:t>
            </w:r>
          </w:p>
        </w:tc>
      </w:tr>
      <w:tr w14:paraId="388F28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778" w:type="dxa"/>
            <w:noWrap w:val="0"/>
            <w:vAlign w:val="center"/>
          </w:tcPr>
          <w:p w14:paraId="521784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土壤及地下水</w:t>
            </w:r>
          </w:p>
          <w:p w14:paraId="0B7513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污染防治措施</w:t>
            </w:r>
          </w:p>
        </w:tc>
        <w:tc>
          <w:tcPr>
            <w:tcW w:w="7022" w:type="dxa"/>
            <w:gridSpan w:val="4"/>
            <w:noWrap w:val="0"/>
            <w:vAlign w:val="center"/>
          </w:tcPr>
          <w:p w14:paraId="26CF1609">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val="en-US" w:eastAsia="zh-CN"/>
              </w:rPr>
              <w:t>重要防渗区：</w:t>
            </w:r>
            <w:r>
              <w:rPr>
                <w:rFonts w:hint="eastAsia" w:cs="Times New Roman"/>
                <w:color w:val="auto"/>
                <w:szCs w:val="21"/>
                <w:highlight w:val="none"/>
                <w:lang w:val="en-US" w:eastAsia="zh-CN"/>
              </w:rPr>
              <w:t>喷漆区、</w:t>
            </w:r>
            <w:r>
              <w:rPr>
                <w:rFonts w:hint="eastAsia" w:ascii="Times New Roman" w:hAnsi="Times New Roman" w:eastAsia="宋体" w:cs="Times New Roman"/>
                <w:color w:val="auto"/>
                <w:szCs w:val="21"/>
                <w:highlight w:val="none"/>
              </w:rPr>
              <w:t>油漆暂存区、</w:t>
            </w:r>
            <w:r>
              <w:rPr>
                <w:rFonts w:hint="eastAsia" w:ascii="Times New Roman" w:hAnsi="Times New Roman" w:eastAsia="宋体" w:cs="Times New Roman"/>
                <w:color w:val="auto"/>
                <w:szCs w:val="21"/>
                <w:highlight w:val="none"/>
                <w:lang w:eastAsia="zh-CN"/>
              </w:rPr>
              <w:t>危险废物暂存库</w:t>
            </w:r>
            <w:r>
              <w:rPr>
                <w:rFonts w:hint="eastAsia" w:ascii="Times New Roman" w:hAnsi="Times New Roman" w:eastAsia="宋体" w:cs="Times New Roman"/>
                <w:color w:val="auto"/>
                <w:szCs w:val="21"/>
                <w:highlight w:val="none"/>
              </w:rPr>
              <w:t>属于重点防渗区域，</w:t>
            </w:r>
            <w:r>
              <w:rPr>
                <w:rFonts w:hint="eastAsia" w:ascii="Times New Roman" w:hAnsi="Times New Roman" w:eastAsia="宋体" w:cs="Times New Roman"/>
                <w:color w:val="auto"/>
                <w:szCs w:val="21"/>
                <w:highlight w:val="none"/>
                <w:lang w:val="en-US" w:eastAsia="zh-CN"/>
              </w:rPr>
              <w:t>防渗层为至少1m厚黏土层（渗透系数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w:t>
            </w:r>
            <w:r>
              <w:rPr>
                <w:rFonts w:hint="eastAsia" w:ascii="Times New Roman" w:hAnsi="Times New Roman" w:eastAsia="宋体" w:cs="Times New Roman"/>
                <w:color w:val="auto"/>
                <w:szCs w:val="21"/>
                <w:highlight w:val="none"/>
                <w:vertAlign w:val="superscript"/>
                <w:lang w:val="en-US" w:eastAsia="zh-CN"/>
              </w:rPr>
              <w:t>-7</w:t>
            </w:r>
            <w:r>
              <w:rPr>
                <w:rFonts w:hint="eastAsia" w:ascii="Times New Roman" w:hAnsi="Times New Roman" w:eastAsia="宋体" w:cs="Times New Roman"/>
                <w:color w:val="auto"/>
                <w:szCs w:val="21"/>
                <w:highlight w:val="none"/>
                <w:lang w:val="en-US" w:eastAsia="zh-CN"/>
              </w:rPr>
              <w:t>cm/s）或至少2mm厚高密度聚乙烯膜等人工防渗材料（渗透系数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w:t>
            </w:r>
            <w:r>
              <w:rPr>
                <w:rFonts w:hint="eastAsia" w:ascii="Times New Roman" w:hAnsi="Times New Roman" w:eastAsia="宋体" w:cs="Times New Roman"/>
                <w:color w:val="auto"/>
                <w:szCs w:val="21"/>
                <w:highlight w:val="none"/>
                <w:vertAlign w:val="superscript"/>
                <w:lang w:val="en-US" w:eastAsia="zh-CN"/>
              </w:rPr>
              <w:t>-10</w:t>
            </w:r>
            <w:r>
              <w:rPr>
                <w:rFonts w:hint="eastAsia" w:ascii="Times New Roman" w:hAnsi="Times New Roman" w:eastAsia="宋体" w:cs="Times New Roman"/>
                <w:color w:val="auto"/>
                <w:szCs w:val="21"/>
                <w:highlight w:val="none"/>
                <w:lang w:val="en-US" w:eastAsia="zh-CN"/>
              </w:rPr>
              <w:t>cm/s），或其他防渗性能等效的材料，并</w:t>
            </w:r>
            <w:r>
              <w:rPr>
                <w:rFonts w:hint="eastAsia" w:ascii="Times New Roman" w:hAnsi="Times New Roman" w:eastAsia="宋体" w:cs="Times New Roman"/>
                <w:color w:val="auto"/>
                <w:szCs w:val="21"/>
                <w:highlight w:val="none"/>
              </w:rPr>
              <w:t>涂刷环氧树脂地坪漆</w:t>
            </w:r>
            <w:r>
              <w:rPr>
                <w:rFonts w:hint="eastAsia" w:ascii="Times New Roman" w:hAnsi="Times New Roman" w:eastAsia="宋体" w:cs="Times New Roman"/>
                <w:color w:val="auto"/>
                <w:szCs w:val="21"/>
                <w:highlight w:val="none"/>
                <w:lang w:eastAsia="zh-CN"/>
              </w:rPr>
              <w:t>。</w:t>
            </w:r>
          </w:p>
          <w:p w14:paraId="5DFEEBD4">
            <w:pPr>
              <w:keepNext w:val="0"/>
              <w:keepLines w:val="0"/>
              <w:pageBreakBefore w:val="0"/>
              <w:kinsoku/>
              <w:wordWrap/>
              <w:overflowPunct/>
              <w:topLinePunct w:val="0"/>
              <w:autoSpaceDE/>
              <w:autoSpaceDN/>
              <w:bidi w:val="0"/>
              <w:adjustRightInd/>
              <w:spacing w:line="240" w:lineRule="auto"/>
              <w:ind w:left="0" w:leftChars="0" w:right="0" w:rightChars="0" w:firstLine="0" w:firstLineChars="0"/>
              <w:jc w:val="left"/>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一般防渗区：</w:t>
            </w:r>
            <w:r>
              <w:rPr>
                <w:rFonts w:hint="eastAsia" w:cs="Times New Roman"/>
                <w:color w:val="auto"/>
                <w:szCs w:val="21"/>
                <w:highlight w:val="none"/>
                <w:lang w:val="en-US" w:eastAsia="zh-CN"/>
              </w:rPr>
              <w:t>生产车间除去喷漆区、危险废物暂存库其他位置采用一般防渗，防渗措施</w:t>
            </w:r>
            <w:r>
              <w:rPr>
                <w:rFonts w:hint="eastAsia" w:ascii="Times New Roman" w:hAnsi="Times New Roman" w:eastAsia="宋体" w:cs="Times New Roman"/>
                <w:color w:val="auto"/>
                <w:szCs w:val="21"/>
                <w:highlight w:val="none"/>
                <w:lang w:val="en-US" w:eastAsia="zh-CN"/>
              </w:rPr>
              <w:t>采取混凝土硬化+HDPE膜防渗措施，防渗性能均满足一般防渗要求（等效黏土防渗层Mb</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1.5m，渗透系数</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1.0×10</w:t>
            </w:r>
            <w:r>
              <w:rPr>
                <w:rFonts w:hint="eastAsia" w:ascii="Times New Roman" w:hAnsi="Times New Roman" w:eastAsia="宋体" w:cs="Times New Roman"/>
                <w:color w:val="auto"/>
                <w:szCs w:val="21"/>
                <w:highlight w:val="none"/>
                <w:vertAlign w:val="superscript"/>
                <w:lang w:val="en-US" w:eastAsia="zh-CN"/>
              </w:rPr>
              <w:t>-7</w:t>
            </w:r>
            <w:r>
              <w:rPr>
                <w:rFonts w:hint="eastAsia" w:ascii="Times New Roman" w:hAnsi="Times New Roman" w:eastAsia="宋体" w:cs="Times New Roman"/>
                <w:color w:val="auto"/>
                <w:szCs w:val="21"/>
                <w:highlight w:val="none"/>
                <w:lang w:val="en-US" w:eastAsia="zh-CN"/>
              </w:rPr>
              <w:t>cm/s）。</w:t>
            </w:r>
          </w:p>
          <w:p w14:paraId="0AB846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lang w:val="en-US" w:eastAsia="zh-CN"/>
              </w:rPr>
              <w:t>简单防渗区：生活办公区采用简单防渗，地面采用水泥硬化处理。</w:t>
            </w:r>
          </w:p>
        </w:tc>
      </w:tr>
      <w:tr w14:paraId="5FD6E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778" w:type="dxa"/>
            <w:noWrap w:val="0"/>
            <w:vAlign w:val="center"/>
          </w:tcPr>
          <w:p w14:paraId="436306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生态保护措施</w:t>
            </w:r>
          </w:p>
        </w:tc>
        <w:tc>
          <w:tcPr>
            <w:tcW w:w="7022" w:type="dxa"/>
            <w:gridSpan w:val="4"/>
            <w:noWrap w:val="0"/>
            <w:vAlign w:val="center"/>
          </w:tcPr>
          <w:p w14:paraId="3465DC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无</w:t>
            </w:r>
          </w:p>
        </w:tc>
      </w:tr>
      <w:tr w14:paraId="45B77A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60F3C1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环境风险</w:t>
            </w:r>
          </w:p>
          <w:p w14:paraId="3B35AB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防范措施</w:t>
            </w:r>
          </w:p>
        </w:tc>
        <w:tc>
          <w:tcPr>
            <w:tcW w:w="7022" w:type="dxa"/>
            <w:gridSpan w:val="4"/>
            <w:noWrap w:val="0"/>
            <w:vAlign w:val="center"/>
          </w:tcPr>
          <w:p w14:paraId="553EABD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eastAsia="宋体"/>
                <w:color w:val="auto"/>
                <w:highlight w:val="none"/>
                <w:lang w:val="en-US" w:eastAsia="zh-CN"/>
              </w:rPr>
            </w:pPr>
            <w:r>
              <w:rPr>
                <w:rFonts w:hint="default" w:eastAsia="宋体"/>
                <w:color w:val="auto"/>
                <w:highlight w:val="none"/>
                <w:lang w:val="en-US" w:eastAsia="zh-CN"/>
              </w:rPr>
              <w:t>生产车间：加强容器、管道的安全监控，按规定进行定期检验；对车间内合理布局，严格地把生产区和储存区分开。</w:t>
            </w:r>
          </w:p>
          <w:p w14:paraId="55AC76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szCs w:val="21"/>
                <w:highlight w:val="none"/>
              </w:rPr>
            </w:pPr>
            <w:r>
              <w:rPr>
                <w:rFonts w:hint="default" w:eastAsia="宋体"/>
                <w:color w:val="auto"/>
                <w:highlight w:val="none"/>
                <w:lang w:val="en-US" w:eastAsia="zh-CN"/>
              </w:rPr>
              <w:t>制度管理：组织厂内人员进行安全培训；给作业人员配备劳动防护用品并督促其正确佩戴使用；及时清理地面泄露的油漆，形成制度由专人负责实施；强化企业安全生产管理，建立完善的安全生产管理网络。</w:t>
            </w:r>
          </w:p>
        </w:tc>
      </w:tr>
      <w:tr w14:paraId="296CBE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noWrap w:val="0"/>
            <w:vAlign w:val="center"/>
          </w:tcPr>
          <w:p w14:paraId="4BD537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其他环境</w:t>
            </w:r>
          </w:p>
          <w:p w14:paraId="21AA19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管理要求</w:t>
            </w:r>
          </w:p>
        </w:tc>
        <w:tc>
          <w:tcPr>
            <w:tcW w:w="7022" w:type="dxa"/>
            <w:gridSpan w:val="4"/>
            <w:noWrap w:val="0"/>
            <w:vAlign w:val="center"/>
          </w:tcPr>
          <w:p w14:paraId="0009FE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①划定禁火区域，禁绝一切火源；</w:t>
            </w:r>
          </w:p>
          <w:p w14:paraId="1A6A8F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②配置消防器材、加强防爆电气设备的日常巡视和检查工作；</w:t>
            </w:r>
          </w:p>
          <w:p w14:paraId="317BC8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③应保证有减轻事故危害与确保现场人员有足够的抢救或撤离时间等方面的技术措施。</w:t>
            </w:r>
          </w:p>
        </w:tc>
      </w:tr>
    </w:tbl>
    <w:p w14:paraId="47AF8C0C">
      <w:pPr>
        <w:pStyle w:val="21"/>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highlight w:val="none"/>
        </w:rPr>
        <w:br w:type="page"/>
      </w:r>
      <w:r>
        <w:rPr>
          <w:rFonts w:hint="default" w:ascii="Times New Roman" w:hAnsi="Times New Roman" w:eastAsia="黑体" w:cs="Times New Roman"/>
          <w:snapToGrid w:val="0"/>
          <w:color w:val="auto"/>
          <w:sz w:val="30"/>
          <w:szCs w:val="30"/>
          <w:highlight w:val="none"/>
        </w:rPr>
        <w:t>六、结论</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48B05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6C61775E">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建设项目符合国家相关产业政策，选址合理，总平面布置合理可行，项目对废气、废水、噪声和固体废物等污染物采取了妥善的处理处置措施，污染物排放总量较小，在落实各项规定的污染防治措施后，各污染物能达标排放，对周围的环境影响可控制在允许的范围内，周围环境质量能满足功能区划要求。在全面落实各项污染防范措施、搞好“三同时”制度、保证安全生产的前提下，项目的建设整体上符合环境保护和社会可持续发展的要求，从环境保护角度分析，本项目是可行的。</w:t>
            </w:r>
          </w:p>
        </w:tc>
      </w:tr>
    </w:tbl>
    <w:p w14:paraId="2352A2C4">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6EB00C30">
      <w:pPr>
        <w:pStyle w:val="21"/>
        <w:adjustRightInd w:val="0"/>
        <w:snapToGrid w:val="0"/>
        <w:spacing w:before="0" w:beforeAutospacing="0" w:after="0" w:afterAutospacing="0" w:line="648" w:lineRule="auto"/>
        <w:outlineLvl w:val="0"/>
        <w:rPr>
          <w:rFonts w:hint="default" w:ascii="Times New Roman" w:hAnsi="Times New Roman" w:eastAsia="黑体" w:cs="Times New Roman"/>
          <w:snapToGrid w:val="0"/>
          <w:color w:val="auto"/>
          <w:sz w:val="32"/>
          <w:szCs w:val="32"/>
          <w:highlight w:val="none"/>
        </w:rPr>
      </w:pPr>
      <w:r>
        <w:rPr>
          <w:rFonts w:hint="default" w:ascii="Times New Roman" w:hAnsi="Times New Roman" w:eastAsia="黑体" w:cs="Times New Roman"/>
          <w:snapToGrid w:val="0"/>
          <w:color w:val="auto"/>
          <w:sz w:val="32"/>
          <w:szCs w:val="32"/>
          <w:highlight w:val="none"/>
        </w:rPr>
        <w:t>附表</w:t>
      </w:r>
    </w:p>
    <w:p w14:paraId="056D08F2">
      <w:pPr>
        <w:pStyle w:val="21"/>
        <w:adjustRightInd w:val="0"/>
        <w:snapToGrid w:val="0"/>
        <w:spacing w:before="0" w:beforeAutospacing="0" w:after="0" w:afterAutospacing="0" w:line="552" w:lineRule="auto"/>
        <w:jc w:val="center"/>
        <w:outlineLvl w:val="0"/>
        <w:rPr>
          <w:rFonts w:hint="default" w:ascii="Times New Roman" w:hAnsi="Times New Roman" w:eastAsia="方正小标宋_GBK" w:cs="Times New Roman"/>
          <w:snapToGrid w:val="0"/>
          <w:color w:val="auto"/>
          <w:sz w:val="38"/>
          <w:szCs w:val="38"/>
          <w:highlight w:val="none"/>
        </w:rPr>
      </w:pPr>
      <w:r>
        <w:rPr>
          <w:rFonts w:hint="default" w:ascii="Times New Roman" w:hAnsi="Times New Roman" w:eastAsia="方正小标宋_GBK" w:cs="Times New Roman"/>
          <w:snapToGrid w:val="0"/>
          <w:color w:val="auto"/>
          <w:sz w:val="38"/>
          <w:szCs w:val="38"/>
          <w:highlight w:val="none"/>
        </w:rPr>
        <w:t>建设项目污染物排放量汇总表</w:t>
      </w:r>
    </w:p>
    <w:tbl>
      <w:tblPr>
        <w:tblStyle w:val="2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959"/>
        <w:gridCol w:w="826"/>
      </w:tblGrid>
      <w:tr w14:paraId="6C02E5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4D286AD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right"/>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项目</w:t>
            </w:r>
          </w:p>
          <w:p w14:paraId="297A67D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分类</w:t>
            </w:r>
          </w:p>
        </w:tc>
        <w:tc>
          <w:tcPr>
            <w:tcW w:w="1417" w:type="dxa"/>
            <w:noWrap w:val="0"/>
            <w:tcMar>
              <w:left w:w="28" w:type="dxa"/>
              <w:right w:w="28" w:type="dxa"/>
            </w:tcMar>
            <w:vAlign w:val="center"/>
          </w:tcPr>
          <w:p w14:paraId="15A18A5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污染物名称</w:t>
            </w:r>
          </w:p>
        </w:tc>
        <w:tc>
          <w:tcPr>
            <w:tcW w:w="1701" w:type="dxa"/>
            <w:noWrap w:val="0"/>
            <w:tcMar>
              <w:left w:w="28" w:type="dxa"/>
              <w:right w:w="28" w:type="dxa"/>
            </w:tcMar>
            <w:vAlign w:val="center"/>
          </w:tcPr>
          <w:p w14:paraId="535C0AF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0CEDE55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①</w:t>
            </w:r>
            <w:r>
              <w:rPr>
                <w:rFonts w:hint="default" w:ascii="Times New Roman" w:hAnsi="Times New Roman" w:eastAsia="黑体" w:cs="Times New Roman"/>
                <w:snapToGrid w:val="0"/>
                <w:color w:val="auto"/>
                <w:spacing w:val="-6"/>
                <w:kern w:val="21"/>
                <w:szCs w:val="21"/>
                <w:highlight w:val="none"/>
              </w:rPr>
              <w:fldChar w:fldCharType="end"/>
            </w:r>
          </w:p>
        </w:tc>
        <w:tc>
          <w:tcPr>
            <w:tcW w:w="1276" w:type="dxa"/>
            <w:noWrap w:val="0"/>
            <w:tcMar>
              <w:left w:w="28" w:type="dxa"/>
              <w:right w:w="28" w:type="dxa"/>
            </w:tcMar>
            <w:vAlign w:val="center"/>
          </w:tcPr>
          <w:p w14:paraId="170006A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096D4DB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许可排放量</w:t>
            </w:r>
          </w:p>
          <w:p w14:paraId="24BC4DE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snapToGrid w:val="0"/>
                <w:color w:val="auto"/>
                <w:spacing w:val="-6"/>
                <w:kern w:val="21"/>
                <w:szCs w:val="21"/>
                <w:highlight w:val="none"/>
              </w:rPr>
              <w:t>②</w:t>
            </w:r>
            <w:r>
              <w:rPr>
                <w:rFonts w:hint="default" w:ascii="Times New Roman" w:hAnsi="Times New Roman" w:eastAsia="黑体" w:cs="Times New Roman"/>
                <w:snapToGrid w:val="0"/>
                <w:color w:val="auto"/>
                <w:spacing w:val="-6"/>
                <w:kern w:val="21"/>
                <w:szCs w:val="21"/>
                <w:highlight w:val="none"/>
              </w:rPr>
              <w:fldChar w:fldCharType="end"/>
            </w:r>
          </w:p>
        </w:tc>
        <w:tc>
          <w:tcPr>
            <w:tcW w:w="1701" w:type="dxa"/>
            <w:noWrap w:val="0"/>
            <w:tcMar>
              <w:left w:w="28" w:type="dxa"/>
              <w:right w:w="28" w:type="dxa"/>
            </w:tcMar>
            <w:vAlign w:val="center"/>
          </w:tcPr>
          <w:p w14:paraId="763335B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在建工程</w:t>
            </w:r>
          </w:p>
          <w:p w14:paraId="112C907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③</w:t>
            </w:r>
            <w:r>
              <w:rPr>
                <w:rFonts w:hint="default" w:ascii="Times New Roman" w:hAnsi="Times New Roman" w:eastAsia="黑体" w:cs="Times New Roman"/>
                <w:snapToGrid w:val="0"/>
                <w:color w:val="auto"/>
                <w:spacing w:val="-6"/>
                <w:kern w:val="21"/>
                <w:szCs w:val="21"/>
                <w:highlight w:val="none"/>
              </w:rPr>
              <w:fldChar w:fldCharType="end"/>
            </w:r>
          </w:p>
        </w:tc>
        <w:tc>
          <w:tcPr>
            <w:tcW w:w="1559" w:type="dxa"/>
            <w:noWrap w:val="0"/>
            <w:tcMar>
              <w:left w:w="28" w:type="dxa"/>
              <w:right w:w="28" w:type="dxa"/>
            </w:tcMar>
            <w:vAlign w:val="center"/>
          </w:tcPr>
          <w:p w14:paraId="1C44DD4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本项目</w:t>
            </w:r>
          </w:p>
          <w:p w14:paraId="223AA73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④</w:t>
            </w:r>
            <w:r>
              <w:rPr>
                <w:rFonts w:hint="default" w:ascii="Times New Roman" w:hAnsi="Times New Roman" w:eastAsia="黑体" w:cs="Times New Roman"/>
                <w:snapToGrid w:val="0"/>
                <w:color w:val="auto"/>
                <w:spacing w:val="-6"/>
                <w:kern w:val="21"/>
                <w:szCs w:val="21"/>
                <w:highlight w:val="none"/>
              </w:rPr>
              <w:fldChar w:fldCharType="end"/>
            </w:r>
          </w:p>
        </w:tc>
        <w:tc>
          <w:tcPr>
            <w:tcW w:w="1761" w:type="dxa"/>
            <w:noWrap w:val="0"/>
            <w:tcMar>
              <w:left w:w="28" w:type="dxa"/>
              <w:right w:w="28" w:type="dxa"/>
            </w:tcMar>
            <w:vAlign w:val="center"/>
          </w:tcPr>
          <w:p w14:paraId="10D35D9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w:t>
            </w:r>
          </w:p>
          <w:p w14:paraId="15F7308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1959" w:type="dxa"/>
            <w:noWrap w:val="0"/>
            <w:tcMar>
              <w:left w:w="28" w:type="dxa"/>
              <w:right w:w="28" w:type="dxa"/>
            </w:tcMar>
            <w:vAlign w:val="center"/>
          </w:tcPr>
          <w:p w14:paraId="72756A7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w:t>
            </w:r>
          </w:p>
          <w:p w14:paraId="5B35F71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826" w:type="dxa"/>
            <w:noWrap w:val="0"/>
            <w:tcMar>
              <w:left w:w="28" w:type="dxa"/>
              <w:right w:w="28" w:type="dxa"/>
            </w:tcMar>
            <w:vAlign w:val="center"/>
          </w:tcPr>
          <w:p w14:paraId="319DABF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p>
          <w:p w14:paraId="003D32A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12715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restart"/>
            <w:noWrap w:val="0"/>
            <w:vAlign w:val="center"/>
          </w:tcPr>
          <w:p w14:paraId="1D3A1EC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废气</w:t>
            </w:r>
          </w:p>
        </w:tc>
        <w:tc>
          <w:tcPr>
            <w:tcW w:w="1417" w:type="dxa"/>
            <w:noWrap w:val="0"/>
            <w:vAlign w:val="center"/>
          </w:tcPr>
          <w:p w14:paraId="026D018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颗粒物</w:t>
            </w:r>
          </w:p>
        </w:tc>
        <w:tc>
          <w:tcPr>
            <w:tcW w:w="1701" w:type="dxa"/>
            <w:noWrap w:val="0"/>
            <w:vAlign w:val="center"/>
          </w:tcPr>
          <w:p w14:paraId="2169EAA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48FE970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46C131C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225757C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12.07</w:t>
            </w:r>
            <w:r>
              <w:rPr>
                <w:rFonts w:hint="eastAsia" w:ascii="Times New Roman" w:hAnsi="Times New Roman" w:cs="Times New Roman"/>
                <w:snapToGrid w:val="0"/>
                <w:color w:val="auto"/>
                <w:kern w:val="21"/>
                <w:szCs w:val="21"/>
                <w:highlight w:val="none"/>
                <w:lang w:val="en-US" w:eastAsia="zh-CN"/>
              </w:rPr>
              <w:t>t/a</w:t>
            </w:r>
          </w:p>
        </w:tc>
        <w:tc>
          <w:tcPr>
            <w:tcW w:w="1761" w:type="dxa"/>
            <w:noWrap w:val="0"/>
            <w:vAlign w:val="center"/>
          </w:tcPr>
          <w:p w14:paraId="139C0BC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5AEE629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eastAsia" w:ascii="Times New Roman" w:cs="Times New Roman"/>
                <w:snapToGrid w:val="0"/>
                <w:color w:val="auto"/>
                <w:kern w:val="21"/>
                <w:szCs w:val="21"/>
                <w:highlight w:val="none"/>
                <w:lang w:val="en-US" w:eastAsia="zh-CN"/>
              </w:rPr>
              <w:t>12.07</w:t>
            </w:r>
            <w:r>
              <w:rPr>
                <w:rFonts w:hint="eastAsia" w:ascii="Times New Roman" w:hAnsi="Times New Roman" w:cs="Times New Roman"/>
                <w:snapToGrid w:val="0"/>
                <w:color w:val="auto"/>
                <w:kern w:val="21"/>
                <w:szCs w:val="21"/>
                <w:highlight w:val="none"/>
                <w:lang w:val="en-US" w:eastAsia="zh-CN"/>
              </w:rPr>
              <w:t>t/a</w:t>
            </w:r>
          </w:p>
        </w:tc>
        <w:tc>
          <w:tcPr>
            <w:tcW w:w="826" w:type="dxa"/>
            <w:noWrap w:val="0"/>
            <w:vAlign w:val="center"/>
          </w:tcPr>
          <w:p w14:paraId="0AC9187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eastAsia" w:ascii="Times New Roman" w:cs="Times New Roman"/>
                <w:snapToGrid w:val="0"/>
                <w:color w:val="auto"/>
                <w:kern w:val="21"/>
                <w:szCs w:val="21"/>
                <w:highlight w:val="none"/>
                <w:lang w:val="en-US" w:eastAsia="zh-CN"/>
              </w:rPr>
              <w:t>12.07</w:t>
            </w:r>
            <w:r>
              <w:rPr>
                <w:rFonts w:hint="eastAsia" w:ascii="Times New Roman" w:hAnsi="Times New Roman" w:cs="Times New Roman"/>
                <w:snapToGrid w:val="0"/>
                <w:color w:val="auto"/>
                <w:kern w:val="21"/>
                <w:szCs w:val="21"/>
                <w:highlight w:val="none"/>
                <w:lang w:val="en-US" w:eastAsia="zh-CN"/>
              </w:rPr>
              <w:t>t/a</w:t>
            </w:r>
          </w:p>
        </w:tc>
      </w:tr>
      <w:tr w14:paraId="684FE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continue"/>
            <w:noWrap w:val="0"/>
            <w:vAlign w:val="center"/>
          </w:tcPr>
          <w:p w14:paraId="5BFA69B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417" w:type="dxa"/>
            <w:noWrap w:val="0"/>
            <w:vAlign w:val="center"/>
          </w:tcPr>
          <w:p w14:paraId="1A70D68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非甲烷总烃</w:t>
            </w:r>
          </w:p>
        </w:tc>
        <w:tc>
          <w:tcPr>
            <w:tcW w:w="1701" w:type="dxa"/>
            <w:noWrap w:val="0"/>
            <w:vAlign w:val="center"/>
          </w:tcPr>
          <w:p w14:paraId="1300D8A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1A1D2A1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5B9E14D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3208531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0.06t/a</w:t>
            </w:r>
          </w:p>
        </w:tc>
        <w:tc>
          <w:tcPr>
            <w:tcW w:w="1761" w:type="dxa"/>
            <w:noWrap w:val="0"/>
            <w:vAlign w:val="center"/>
          </w:tcPr>
          <w:p w14:paraId="0BBFD00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7D042E3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eastAsia" w:ascii="Times New Roman" w:hAnsi="Times New Roman" w:cs="Times New Roman"/>
                <w:snapToGrid w:val="0"/>
                <w:color w:val="auto"/>
                <w:kern w:val="21"/>
                <w:szCs w:val="21"/>
                <w:highlight w:val="none"/>
                <w:lang w:val="en-US" w:eastAsia="zh-CN"/>
              </w:rPr>
              <w:t>0.06t/a</w:t>
            </w:r>
          </w:p>
        </w:tc>
        <w:tc>
          <w:tcPr>
            <w:tcW w:w="826" w:type="dxa"/>
            <w:noWrap w:val="0"/>
            <w:vAlign w:val="center"/>
          </w:tcPr>
          <w:p w14:paraId="0945838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eastAsia" w:ascii="Times New Roman" w:hAnsi="Times New Roman" w:cs="Times New Roman"/>
                <w:snapToGrid w:val="0"/>
                <w:color w:val="auto"/>
                <w:kern w:val="21"/>
                <w:szCs w:val="21"/>
                <w:highlight w:val="none"/>
                <w:lang w:val="en-US" w:eastAsia="zh-CN"/>
              </w:rPr>
              <w:t>0.06t/a</w:t>
            </w:r>
          </w:p>
        </w:tc>
      </w:tr>
      <w:tr w14:paraId="11EEFE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588" w:type="dxa"/>
            <w:noWrap w:val="0"/>
            <w:vAlign w:val="center"/>
          </w:tcPr>
          <w:p w14:paraId="76A5C35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废水</w:t>
            </w:r>
          </w:p>
        </w:tc>
        <w:tc>
          <w:tcPr>
            <w:tcW w:w="1417" w:type="dxa"/>
            <w:noWrap w:val="0"/>
            <w:vAlign w:val="center"/>
          </w:tcPr>
          <w:p w14:paraId="6E075C4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w:t>
            </w:r>
          </w:p>
        </w:tc>
        <w:tc>
          <w:tcPr>
            <w:tcW w:w="1701" w:type="dxa"/>
            <w:noWrap w:val="0"/>
            <w:vAlign w:val="center"/>
          </w:tcPr>
          <w:p w14:paraId="1D64B3F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1FFCADE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0843A42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195B3BD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w:t>
            </w:r>
          </w:p>
        </w:tc>
        <w:tc>
          <w:tcPr>
            <w:tcW w:w="1761" w:type="dxa"/>
            <w:noWrap w:val="0"/>
            <w:vAlign w:val="center"/>
          </w:tcPr>
          <w:p w14:paraId="7A07EC9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667EC65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w:t>
            </w:r>
          </w:p>
        </w:tc>
        <w:tc>
          <w:tcPr>
            <w:tcW w:w="826" w:type="dxa"/>
            <w:noWrap w:val="0"/>
            <w:vAlign w:val="center"/>
          </w:tcPr>
          <w:p w14:paraId="4EE448C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w:t>
            </w:r>
          </w:p>
        </w:tc>
      </w:tr>
      <w:tr w14:paraId="22A85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588" w:type="dxa"/>
            <w:noWrap w:val="0"/>
            <w:vAlign w:val="center"/>
          </w:tcPr>
          <w:p w14:paraId="3554991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一般工业</w:t>
            </w:r>
          </w:p>
          <w:p w14:paraId="6EFD1D4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固体废物</w:t>
            </w:r>
          </w:p>
        </w:tc>
        <w:tc>
          <w:tcPr>
            <w:tcW w:w="1417" w:type="dxa"/>
            <w:noWrap w:val="0"/>
            <w:vAlign w:val="center"/>
          </w:tcPr>
          <w:p w14:paraId="3D5EDB7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除尘灰</w:t>
            </w:r>
          </w:p>
        </w:tc>
        <w:tc>
          <w:tcPr>
            <w:tcW w:w="1701" w:type="dxa"/>
            <w:noWrap w:val="0"/>
            <w:vAlign w:val="center"/>
          </w:tcPr>
          <w:p w14:paraId="6FBF505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0C5A0BF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7447EA2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085F3E8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22.47t/a</w:t>
            </w:r>
          </w:p>
        </w:tc>
        <w:tc>
          <w:tcPr>
            <w:tcW w:w="1761" w:type="dxa"/>
            <w:noWrap w:val="0"/>
            <w:vAlign w:val="center"/>
          </w:tcPr>
          <w:p w14:paraId="56D0673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1A91F7B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22.47t/a</w:t>
            </w:r>
          </w:p>
        </w:tc>
        <w:tc>
          <w:tcPr>
            <w:tcW w:w="826" w:type="dxa"/>
            <w:noWrap w:val="0"/>
            <w:vAlign w:val="center"/>
          </w:tcPr>
          <w:p w14:paraId="44B4751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22.47t/a</w:t>
            </w:r>
          </w:p>
        </w:tc>
      </w:tr>
      <w:tr w14:paraId="5FE00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5423233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危险废物</w:t>
            </w:r>
          </w:p>
        </w:tc>
        <w:tc>
          <w:tcPr>
            <w:tcW w:w="1417" w:type="dxa"/>
            <w:noWrap w:val="0"/>
            <w:vAlign w:val="center"/>
          </w:tcPr>
          <w:p w14:paraId="0476E00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废纸壳（含废漆渣）</w:t>
            </w:r>
          </w:p>
        </w:tc>
        <w:tc>
          <w:tcPr>
            <w:tcW w:w="1701" w:type="dxa"/>
            <w:noWrap w:val="0"/>
            <w:vAlign w:val="center"/>
          </w:tcPr>
          <w:p w14:paraId="2B9C32D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7142513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6D1DA62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21D17FF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0.1t/a</w:t>
            </w:r>
          </w:p>
        </w:tc>
        <w:tc>
          <w:tcPr>
            <w:tcW w:w="1761" w:type="dxa"/>
            <w:noWrap w:val="0"/>
            <w:vAlign w:val="center"/>
          </w:tcPr>
          <w:p w14:paraId="116ECE0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1CA024D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0.1t/a</w:t>
            </w:r>
          </w:p>
        </w:tc>
        <w:tc>
          <w:tcPr>
            <w:tcW w:w="826" w:type="dxa"/>
            <w:noWrap w:val="0"/>
            <w:vAlign w:val="center"/>
          </w:tcPr>
          <w:p w14:paraId="74B07B4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0.1t/a</w:t>
            </w:r>
          </w:p>
        </w:tc>
      </w:tr>
      <w:tr w14:paraId="18674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306A3EC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417" w:type="dxa"/>
            <w:noWrap w:val="0"/>
            <w:vAlign w:val="center"/>
          </w:tcPr>
          <w:p w14:paraId="0D52203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废过滤棉（含废漆渣）</w:t>
            </w:r>
          </w:p>
        </w:tc>
        <w:tc>
          <w:tcPr>
            <w:tcW w:w="1701" w:type="dxa"/>
            <w:noWrap w:val="0"/>
            <w:vAlign w:val="center"/>
          </w:tcPr>
          <w:p w14:paraId="5F3E4E1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7D18957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7C2DCAB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6C42003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0.1t/a</w:t>
            </w:r>
          </w:p>
        </w:tc>
        <w:tc>
          <w:tcPr>
            <w:tcW w:w="1761" w:type="dxa"/>
            <w:noWrap w:val="0"/>
            <w:vAlign w:val="center"/>
          </w:tcPr>
          <w:p w14:paraId="1251D3F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075BD6B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0.1t/a</w:t>
            </w:r>
          </w:p>
        </w:tc>
        <w:tc>
          <w:tcPr>
            <w:tcW w:w="826" w:type="dxa"/>
            <w:noWrap w:val="0"/>
            <w:vAlign w:val="center"/>
          </w:tcPr>
          <w:p w14:paraId="55B5AB2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0.1t/a</w:t>
            </w:r>
          </w:p>
        </w:tc>
      </w:tr>
      <w:tr w14:paraId="0365B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588" w:type="dxa"/>
            <w:vMerge w:val="continue"/>
            <w:noWrap w:val="0"/>
            <w:vAlign w:val="center"/>
          </w:tcPr>
          <w:p w14:paraId="0682FF5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417" w:type="dxa"/>
            <w:noWrap w:val="0"/>
            <w:vAlign w:val="center"/>
          </w:tcPr>
          <w:p w14:paraId="7F322CA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eastAsia"/>
                <w:color w:val="auto"/>
                <w:highlight w:val="none"/>
                <w:lang w:val="en-US" w:eastAsia="zh-CN"/>
              </w:rPr>
              <w:t>废活性炭</w:t>
            </w:r>
          </w:p>
        </w:tc>
        <w:tc>
          <w:tcPr>
            <w:tcW w:w="1701" w:type="dxa"/>
            <w:noWrap w:val="0"/>
            <w:vAlign w:val="center"/>
          </w:tcPr>
          <w:p w14:paraId="3881282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0D40A0E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293E988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5CAEDCD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2</w:t>
            </w:r>
            <w:r>
              <w:rPr>
                <w:rFonts w:hint="eastAsia" w:ascii="Times New Roman" w:hAnsi="Times New Roman" w:cs="Times New Roman"/>
                <w:snapToGrid w:val="0"/>
                <w:color w:val="auto"/>
                <w:kern w:val="21"/>
                <w:szCs w:val="21"/>
                <w:highlight w:val="none"/>
                <w:lang w:val="en-US" w:eastAsia="zh-CN"/>
              </w:rPr>
              <w:t>t/a</w:t>
            </w:r>
          </w:p>
        </w:tc>
        <w:tc>
          <w:tcPr>
            <w:tcW w:w="1761" w:type="dxa"/>
            <w:noWrap w:val="0"/>
            <w:vAlign w:val="center"/>
          </w:tcPr>
          <w:p w14:paraId="3C436E8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72D100A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2</w:t>
            </w:r>
            <w:r>
              <w:rPr>
                <w:rFonts w:hint="eastAsia" w:ascii="Times New Roman" w:hAnsi="Times New Roman" w:cs="Times New Roman"/>
                <w:snapToGrid w:val="0"/>
                <w:color w:val="auto"/>
                <w:kern w:val="21"/>
                <w:szCs w:val="21"/>
                <w:highlight w:val="none"/>
                <w:lang w:val="en-US" w:eastAsia="zh-CN"/>
              </w:rPr>
              <w:t>t/a</w:t>
            </w:r>
          </w:p>
        </w:tc>
        <w:tc>
          <w:tcPr>
            <w:tcW w:w="826" w:type="dxa"/>
            <w:noWrap w:val="0"/>
            <w:vAlign w:val="center"/>
          </w:tcPr>
          <w:p w14:paraId="6CDCEDF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2</w:t>
            </w:r>
            <w:r>
              <w:rPr>
                <w:rFonts w:hint="eastAsia" w:ascii="Times New Roman" w:hAnsi="Times New Roman" w:cs="Times New Roman"/>
                <w:snapToGrid w:val="0"/>
                <w:color w:val="auto"/>
                <w:kern w:val="21"/>
                <w:szCs w:val="21"/>
                <w:highlight w:val="none"/>
                <w:lang w:val="en-US" w:eastAsia="zh-CN"/>
              </w:rPr>
              <w:t>t/a</w:t>
            </w:r>
          </w:p>
        </w:tc>
      </w:tr>
      <w:tr w14:paraId="3B5C23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588" w:type="dxa"/>
            <w:vMerge w:val="continue"/>
            <w:noWrap w:val="0"/>
            <w:vAlign w:val="center"/>
          </w:tcPr>
          <w:p w14:paraId="039279B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417" w:type="dxa"/>
            <w:noWrap w:val="0"/>
            <w:vAlign w:val="center"/>
          </w:tcPr>
          <w:p w14:paraId="0479934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废漆渣</w:t>
            </w:r>
          </w:p>
        </w:tc>
        <w:tc>
          <w:tcPr>
            <w:tcW w:w="1701" w:type="dxa"/>
            <w:noWrap w:val="0"/>
            <w:vAlign w:val="center"/>
          </w:tcPr>
          <w:p w14:paraId="10B7E00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5DDE000B">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63B582D3">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25D2A0A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0.5t/a</w:t>
            </w:r>
          </w:p>
        </w:tc>
        <w:tc>
          <w:tcPr>
            <w:tcW w:w="1761" w:type="dxa"/>
            <w:noWrap w:val="0"/>
            <w:vAlign w:val="center"/>
          </w:tcPr>
          <w:p w14:paraId="655EE9CD">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5E87A68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0.5t/a</w:t>
            </w:r>
          </w:p>
        </w:tc>
        <w:tc>
          <w:tcPr>
            <w:tcW w:w="826" w:type="dxa"/>
            <w:noWrap w:val="0"/>
            <w:vAlign w:val="center"/>
          </w:tcPr>
          <w:p w14:paraId="350CF29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0.5t/a</w:t>
            </w:r>
          </w:p>
        </w:tc>
      </w:tr>
      <w:tr w14:paraId="563F8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88" w:type="dxa"/>
            <w:vMerge w:val="continue"/>
            <w:noWrap w:val="0"/>
            <w:vAlign w:val="center"/>
          </w:tcPr>
          <w:p w14:paraId="13E7944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417" w:type="dxa"/>
            <w:noWrap w:val="0"/>
            <w:vAlign w:val="center"/>
          </w:tcPr>
          <w:p w14:paraId="7D5158B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color w:val="auto"/>
                <w:highlight w:val="none"/>
                <w:lang w:val="en-US" w:eastAsia="zh-CN"/>
              </w:rPr>
            </w:pPr>
            <w:r>
              <w:rPr>
                <w:rFonts w:hint="eastAsia"/>
                <w:color w:val="auto"/>
                <w:highlight w:val="none"/>
                <w:lang w:val="en-US" w:eastAsia="zh-CN"/>
              </w:rPr>
              <w:t>废漆桶</w:t>
            </w:r>
          </w:p>
        </w:tc>
        <w:tc>
          <w:tcPr>
            <w:tcW w:w="1701" w:type="dxa"/>
            <w:noWrap w:val="0"/>
            <w:vAlign w:val="center"/>
          </w:tcPr>
          <w:p w14:paraId="5304534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238B6B0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7ED1B8BC">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6E3C71D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0.17t/a</w:t>
            </w:r>
          </w:p>
        </w:tc>
        <w:tc>
          <w:tcPr>
            <w:tcW w:w="1761" w:type="dxa"/>
            <w:noWrap w:val="0"/>
            <w:vAlign w:val="center"/>
          </w:tcPr>
          <w:p w14:paraId="4F5D54C0">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5B008775">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cs="Times New Roman"/>
                <w:snapToGrid w:val="0"/>
                <w:color w:val="auto"/>
                <w:kern w:val="21"/>
                <w:szCs w:val="21"/>
                <w:highlight w:val="none"/>
                <w:lang w:val="en-US" w:eastAsia="zh-CN"/>
              </w:rPr>
            </w:pPr>
            <w:r>
              <w:rPr>
                <w:rFonts w:hint="eastAsia" w:ascii="Times New Roman" w:hAnsi="Times New Roman" w:eastAsia="宋体" w:cs="Times New Roman"/>
                <w:color w:val="auto"/>
                <w:highlight w:val="none"/>
                <w:lang w:val="en-US" w:eastAsia="zh-CN"/>
              </w:rPr>
              <w:t>0.17t/a</w:t>
            </w:r>
          </w:p>
        </w:tc>
        <w:tc>
          <w:tcPr>
            <w:tcW w:w="826" w:type="dxa"/>
            <w:noWrap w:val="0"/>
            <w:vAlign w:val="center"/>
          </w:tcPr>
          <w:p w14:paraId="65C3F66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cs="Times New Roman"/>
                <w:snapToGrid w:val="0"/>
                <w:color w:val="auto"/>
                <w:kern w:val="21"/>
                <w:szCs w:val="21"/>
                <w:highlight w:val="none"/>
                <w:lang w:val="en-US" w:eastAsia="zh-CN"/>
              </w:rPr>
            </w:pPr>
            <w:r>
              <w:rPr>
                <w:rFonts w:hint="eastAsia" w:ascii="Times New Roman" w:hAnsi="Times New Roman" w:cs="Times New Roman"/>
                <w:snapToGrid w:val="0"/>
                <w:color w:val="auto"/>
                <w:kern w:val="21"/>
                <w:szCs w:val="21"/>
                <w:highlight w:val="none"/>
                <w:lang w:val="en-US" w:eastAsia="zh-CN"/>
              </w:rPr>
              <w:t>0.17t/a</w:t>
            </w:r>
          </w:p>
        </w:tc>
      </w:tr>
      <w:tr w14:paraId="5BE64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continue"/>
            <w:noWrap w:val="0"/>
            <w:vAlign w:val="center"/>
          </w:tcPr>
          <w:p w14:paraId="32CF0CB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417" w:type="dxa"/>
            <w:noWrap w:val="0"/>
            <w:vAlign w:val="center"/>
          </w:tcPr>
          <w:p w14:paraId="14AD950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废机油</w:t>
            </w:r>
          </w:p>
        </w:tc>
        <w:tc>
          <w:tcPr>
            <w:tcW w:w="1701" w:type="dxa"/>
            <w:noWrap w:val="0"/>
            <w:vAlign w:val="center"/>
          </w:tcPr>
          <w:p w14:paraId="40AA668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49D0F0C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37D7A50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5062A92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0.1t/a</w:t>
            </w:r>
          </w:p>
        </w:tc>
        <w:tc>
          <w:tcPr>
            <w:tcW w:w="1761" w:type="dxa"/>
            <w:noWrap w:val="0"/>
            <w:vAlign w:val="center"/>
          </w:tcPr>
          <w:p w14:paraId="6C31B09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554A368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cs="Times New Roman"/>
                <w:snapToGrid w:val="0"/>
                <w:color w:val="auto"/>
                <w:kern w:val="21"/>
                <w:szCs w:val="21"/>
                <w:highlight w:val="none"/>
                <w:lang w:val="en-US" w:eastAsia="zh-CN"/>
              </w:rPr>
              <w:t>0.1t/a</w:t>
            </w:r>
          </w:p>
        </w:tc>
        <w:tc>
          <w:tcPr>
            <w:tcW w:w="826" w:type="dxa"/>
            <w:noWrap w:val="0"/>
            <w:vAlign w:val="center"/>
          </w:tcPr>
          <w:p w14:paraId="67BC14F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0.1t/a</w:t>
            </w:r>
          </w:p>
        </w:tc>
      </w:tr>
      <w:tr w14:paraId="034AD5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8" w:type="dxa"/>
            <w:vMerge w:val="continue"/>
            <w:noWrap w:val="0"/>
            <w:vAlign w:val="center"/>
          </w:tcPr>
          <w:p w14:paraId="5D64514E">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417" w:type="dxa"/>
            <w:noWrap w:val="0"/>
            <w:vAlign w:val="center"/>
          </w:tcPr>
          <w:p w14:paraId="30D852A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废油桶</w:t>
            </w:r>
          </w:p>
        </w:tc>
        <w:tc>
          <w:tcPr>
            <w:tcW w:w="1701" w:type="dxa"/>
            <w:noWrap w:val="0"/>
            <w:vAlign w:val="center"/>
          </w:tcPr>
          <w:p w14:paraId="6F875641">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0D76ACA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543F90E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2BB2CC12">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0.1t/a</w:t>
            </w:r>
          </w:p>
        </w:tc>
        <w:tc>
          <w:tcPr>
            <w:tcW w:w="1761" w:type="dxa"/>
            <w:noWrap w:val="0"/>
            <w:vAlign w:val="center"/>
          </w:tcPr>
          <w:p w14:paraId="36CD838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16159D0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0.1t/a</w:t>
            </w:r>
          </w:p>
        </w:tc>
        <w:tc>
          <w:tcPr>
            <w:tcW w:w="826" w:type="dxa"/>
            <w:noWrap w:val="0"/>
            <w:vAlign w:val="center"/>
          </w:tcPr>
          <w:p w14:paraId="16937DD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0.1t/a</w:t>
            </w:r>
          </w:p>
        </w:tc>
      </w:tr>
      <w:tr w14:paraId="6414AB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05" w:type="dxa"/>
            <w:gridSpan w:val="2"/>
            <w:noWrap w:val="0"/>
            <w:vAlign w:val="center"/>
          </w:tcPr>
          <w:p w14:paraId="5064F397">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color w:val="auto"/>
                <w:highlight w:val="none"/>
                <w:lang w:val="en-US" w:eastAsia="zh-CN"/>
              </w:rPr>
            </w:pPr>
            <w:r>
              <w:rPr>
                <w:rFonts w:hint="eastAsia"/>
                <w:color w:val="auto"/>
                <w:highlight w:val="none"/>
                <w:lang w:val="en-US" w:eastAsia="zh-CN"/>
              </w:rPr>
              <w:t>生活垃圾</w:t>
            </w:r>
          </w:p>
        </w:tc>
        <w:tc>
          <w:tcPr>
            <w:tcW w:w="1701" w:type="dxa"/>
            <w:noWrap w:val="0"/>
            <w:vAlign w:val="center"/>
          </w:tcPr>
          <w:p w14:paraId="00D4BD4F">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276" w:type="dxa"/>
            <w:noWrap w:val="0"/>
            <w:vAlign w:val="center"/>
          </w:tcPr>
          <w:p w14:paraId="7DF50FB8">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701" w:type="dxa"/>
            <w:noWrap w:val="0"/>
            <w:vAlign w:val="center"/>
          </w:tcPr>
          <w:p w14:paraId="10641CE4">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559" w:type="dxa"/>
            <w:noWrap w:val="0"/>
            <w:vAlign w:val="center"/>
          </w:tcPr>
          <w:p w14:paraId="1DCFCCD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5.96t/a</w:t>
            </w:r>
          </w:p>
        </w:tc>
        <w:tc>
          <w:tcPr>
            <w:tcW w:w="1761" w:type="dxa"/>
            <w:noWrap w:val="0"/>
            <w:vAlign w:val="center"/>
          </w:tcPr>
          <w:p w14:paraId="42F70876">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rPr>
            </w:pPr>
          </w:p>
        </w:tc>
        <w:tc>
          <w:tcPr>
            <w:tcW w:w="1959" w:type="dxa"/>
            <w:noWrap w:val="0"/>
            <w:vAlign w:val="center"/>
          </w:tcPr>
          <w:p w14:paraId="66621D0A">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5.96t/a</w:t>
            </w:r>
          </w:p>
        </w:tc>
        <w:tc>
          <w:tcPr>
            <w:tcW w:w="826" w:type="dxa"/>
            <w:noWrap w:val="0"/>
            <w:vAlign w:val="center"/>
          </w:tcPr>
          <w:p w14:paraId="4E711939">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5.96t/a</w:t>
            </w:r>
          </w:p>
        </w:tc>
      </w:tr>
    </w:tbl>
    <w:p w14:paraId="3CBEA8D1">
      <w:pPr>
        <w:pStyle w:val="51"/>
        <w:spacing w:before="192" w:beforeLines="80" w:after="24"/>
        <w:jc w:val="lef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10B71C51">
      <w:pPr>
        <w:ind w:left="0" w:leftChars="0" w:firstLine="0" w:firstLineChars="0"/>
        <w:rPr>
          <w:rFonts w:hint="default" w:ascii="Times New Roman" w:hAnsi="Times New Roman" w:cs="Times New Roman"/>
          <w:color w:val="auto"/>
          <w:highlight w:val="none"/>
        </w:rPr>
        <w:sectPr>
          <w:footerReference r:id="rId12" w:type="default"/>
          <w:pgSz w:w="16838" w:h="11906" w:orient="landscape"/>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5D927472">
      <w:pPr>
        <w:pStyle w:val="5"/>
        <w:bidi w:val="0"/>
        <w:rPr>
          <w:rFonts w:hint="eastAsia"/>
          <w:color w:val="auto"/>
          <w:highlight w:val="none"/>
          <w:lang w:val="en-US" w:eastAsia="zh-CN"/>
        </w:rPr>
      </w:pPr>
      <w:r>
        <w:rPr>
          <w:rFonts w:hint="eastAsia"/>
          <w:color w:val="auto"/>
          <w:highlight w:val="none"/>
          <w:lang w:val="en-US" w:eastAsia="zh-CN"/>
        </w:rPr>
        <w:t>附件1委托书</w:t>
      </w:r>
    </w:p>
    <w:p w14:paraId="21C7D34A">
      <w:pPr>
        <w:rPr>
          <w:rFonts w:hint="eastAsia" w:ascii="Times New Roman" w:hAnsi="Times New Roman" w:eastAsia="黑体" w:cs="Times New Roman"/>
          <w:color w:val="auto"/>
          <w:highlight w:val="none"/>
          <w:lang w:val="en-US" w:eastAsia="zh-CN"/>
        </w:rPr>
      </w:pPr>
    </w:p>
    <w:p w14:paraId="3B66D3E8">
      <w:pPr>
        <w:jc w:val="center"/>
        <w:rPr>
          <w:rFonts w:hint="default" w:ascii="Times New Roman" w:hAnsi="Times New Roman" w:cs="Times New Roman"/>
          <w:b/>
          <w:bCs/>
          <w:color w:val="auto"/>
          <w:sz w:val="36"/>
          <w:szCs w:val="36"/>
          <w:highlight w:val="none"/>
          <w:lang w:eastAsia="zh-CN"/>
        </w:rPr>
      </w:pPr>
    </w:p>
    <w:p w14:paraId="1D25B3FC">
      <w:pPr>
        <w:jc w:val="center"/>
        <w:rPr>
          <w:rFonts w:hint="default" w:ascii="Times New Roman" w:hAnsi="Times New Roman" w:cs="Times New Roman"/>
          <w:b/>
          <w:bCs/>
          <w:color w:val="auto"/>
          <w:sz w:val="36"/>
          <w:szCs w:val="36"/>
          <w:highlight w:val="none"/>
          <w:lang w:eastAsia="zh-CN"/>
        </w:rPr>
      </w:pPr>
    </w:p>
    <w:p w14:paraId="6B973062">
      <w:pPr>
        <w:jc w:val="center"/>
        <w:rPr>
          <w:rFonts w:hint="default" w:ascii="Times New Roman" w:hAnsi="Times New Roman" w:cs="Times New Roman"/>
          <w:b/>
          <w:bCs/>
          <w:color w:val="auto"/>
          <w:sz w:val="36"/>
          <w:szCs w:val="36"/>
          <w:highlight w:val="none"/>
          <w:lang w:eastAsia="zh-CN"/>
        </w:rPr>
      </w:pPr>
    </w:p>
    <w:p w14:paraId="2A934FC2">
      <w:pPr>
        <w:jc w:val="center"/>
        <w:rPr>
          <w:rFonts w:hint="default" w:ascii="Times New Roman" w:hAnsi="Times New Roman" w:cs="Times New Roman"/>
          <w:b/>
          <w:bCs/>
          <w:color w:val="auto"/>
          <w:sz w:val="36"/>
          <w:szCs w:val="36"/>
          <w:highlight w:val="none"/>
          <w:lang w:eastAsia="zh-CN"/>
        </w:rPr>
      </w:pPr>
      <w:r>
        <w:rPr>
          <w:rFonts w:hint="default" w:ascii="Times New Roman" w:hAnsi="Times New Roman" w:cs="Times New Roman"/>
          <w:b/>
          <w:bCs/>
          <w:color w:val="auto"/>
          <w:sz w:val="36"/>
          <w:szCs w:val="36"/>
          <w:highlight w:val="none"/>
          <w:lang w:eastAsia="zh-CN"/>
        </w:rPr>
        <w:t>委托书</w:t>
      </w:r>
    </w:p>
    <w:p w14:paraId="3F9EAE8F">
      <w:pPr>
        <w:jc w:val="both"/>
        <w:rPr>
          <w:rFonts w:hint="default" w:ascii="Times New Roman" w:hAnsi="Times New Roman" w:cs="Times New Roman"/>
          <w:b/>
          <w:bCs/>
          <w:color w:val="auto"/>
          <w:sz w:val="36"/>
          <w:szCs w:val="36"/>
          <w:highlight w:val="none"/>
          <w:lang w:eastAsia="zh-CN"/>
        </w:rPr>
      </w:pPr>
    </w:p>
    <w:p w14:paraId="3A16AD0A">
      <w:pPr>
        <w:jc w:val="both"/>
        <w:rPr>
          <w:rFonts w:hint="default" w:ascii="Times New Roman" w:hAnsi="Times New Roman" w:cs="Times New Roman"/>
          <w:b/>
          <w:bCs/>
          <w:color w:val="auto"/>
          <w:sz w:val="36"/>
          <w:szCs w:val="36"/>
          <w:highlight w:val="none"/>
          <w:lang w:eastAsia="zh-CN"/>
        </w:rPr>
      </w:pPr>
    </w:p>
    <w:p w14:paraId="4259030B">
      <w:pPr>
        <w:ind w:left="0" w:leftChars="0" w:firstLine="0" w:firstLineChars="0"/>
        <w:jc w:val="left"/>
        <w:rPr>
          <w:rFonts w:hint="default" w:ascii="Times New Roman" w:hAnsi="Times New Roman" w:cs="Times New Roman"/>
          <w:b w:val="0"/>
          <w:bCs w:val="0"/>
          <w:color w:val="auto"/>
          <w:sz w:val="28"/>
          <w:szCs w:val="28"/>
          <w:highlight w:val="none"/>
          <w:lang w:eastAsia="zh-CN"/>
        </w:rPr>
      </w:pPr>
      <w:r>
        <w:rPr>
          <w:rFonts w:hint="default" w:ascii="Times New Roman" w:hAnsi="Times New Roman" w:cs="Times New Roman"/>
          <w:b w:val="0"/>
          <w:bCs w:val="0"/>
          <w:color w:val="auto"/>
          <w:sz w:val="28"/>
          <w:szCs w:val="28"/>
          <w:highlight w:val="none"/>
          <w:lang w:val="en-US" w:eastAsia="zh-CN"/>
        </w:rPr>
        <w:t>鄂尔多斯市奇胜安环科技有限</w:t>
      </w:r>
      <w:r>
        <w:rPr>
          <w:rFonts w:hint="eastAsia" w:cs="Times New Roman"/>
          <w:b w:val="0"/>
          <w:bCs w:val="0"/>
          <w:color w:val="auto"/>
          <w:sz w:val="28"/>
          <w:szCs w:val="28"/>
          <w:highlight w:val="none"/>
          <w:lang w:val="en-US" w:eastAsia="zh-CN"/>
        </w:rPr>
        <w:t>公司</w:t>
      </w:r>
      <w:r>
        <w:rPr>
          <w:rFonts w:hint="default" w:ascii="Times New Roman" w:hAnsi="Times New Roman" w:cs="Times New Roman"/>
          <w:b w:val="0"/>
          <w:bCs w:val="0"/>
          <w:color w:val="auto"/>
          <w:sz w:val="28"/>
          <w:szCs w:val="28"/>
          <w:highlight w:val="none"/>
          <w:lang w:eastAsia="zh-CN"/>
        </w:rPr>
        <w:t>：</w:t>
      </w:r>
    </w:p>
    <w:p w14:paraId="7CB8BBD9">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color w:val="auto"/>
          <w:sz w:val="28"/>
          <w:szCs w:val="28"/>
          <w:highlight w:val="none"/>
          <w:lang w:val="en-US" w:eastAsia="zh-CN"/>
        </w:rPr>
      </w:pPr>
    </w:p>
    <w:p w14:paraId="66C6AC64">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color w:val="auto"/>
          <w:sz w:val="28"/>
          <w:szCs w:val="28"/>
          <w:highlight w:val="none"/>
          <w:lang w:val="en-US" w:eastAsia="zh-CN"/>
        </w:rPr>
      </w:pPr>
      <w:r>
        <w:rPr>
          <w:rFonts w:hint="default" w:ascii="Times New Roman" w:hAnsi="Times New Roman" w:cs="Times New Roman"/>
          <w:b w:val="0"/>
          <w:bCs w:val="0"/>
          <w:color w:val="auto"/>
          <w:sz w:val="28"/>
          <w:szCs w:val="28"/>
          <w:highlight w:val="none"/>
          <w:lang w:val="en-US" w:eastAsia="zh-CN"/>
        </w:rPr>
        <w:t>根据《中华人民共和国环境影响评价法》的有关规定，特委托贵</w:t>
      </w:r>
      <w:r>
        <w:rPr>
          <w:rFonts w:hint="eastAsia" w:cs="Times New Roman"/>
          <w:b w:val="0"/>
          <w:bCs w:val="0"/>
          <w:color w:val="auto"/>
          <w:sz w:val="28"/>
          <w:szCs w:val="28"/>
          <w:highlight w:val="none"/>
          <w:lang w:val="en-US" w:eastAsia="zh-CN"/>
        </w:rPr>
        <w:t>单位</w:t>
      </w:r>
      <w:r>
        <w:rPr>
          <w:rFonts w:hint="default" w:ascii="Times New Roman" w:hAnsi="Times New Roman" w:cs="Times New Roman"/>
          <w:b w:val="0"/>
          <w:bCs w:val="0"/>
          <w:color w:val="auto"/>
          <w:sz w:val="28"/>
          <w:szCs w:val="28"/>
          <w:highlight w:val="none"/>
          <w:lang w:val="en-US" w:eastAsia="zh-CN"/>
        </w:rPr>
        <w:t>承担我单位《鄂尔多斯市北创智能装备有限公司喷漆房建设项目》的环境影响评价工作，其环境影响报告文本应满足有关环评技术导则和环境保护主管部门的规定和要求。</w:t>
      </w:r>
    </w:p>
    <w:p w14:paraId="697D32D4">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color w:val="auto"/>
          <w:sz w:val="28"/>
          <w:szCs w:val="28"/>
          <w:highlight w:val="none"/>
          <w:lang w:val="en-US" w:eastAsia="zh-CN"/>
        </w:rPr>
      </w:pPr>
    </w:p>
    <w:p w14:paraId="21518DBD">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color w:val="auto"/>
          <w:sz w:val="28"/>
          <w:szCs w:val="28"/>
          <w:highlight w:val="none"/>
          <w:lang w:val="en-US" w:eastAsia="zh-CN"/>
        </w:rPr>
      </w:pPr>
    </w:p>
    <w:p w14:paraId="1FDFBCA1">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color w:val="auto"/>
          <w:sz w:val="28"/>
          <w:szCs w:val="28"/>
          <w:highlight w:val="none"/>
          <w:lang w:val="en-US" w:eastAsia="zh-CN"/>
        </w:rPr>
      </w:pPr>
    </w:p>
    <w:p w14:paraId="416BBA25">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color w:val="auto"/>
          <w:sz w:val="28"/>
          <w:szCs w:val="28"/>
          <w:highlight w:val="none"/>
          <w:lang w:val="en-US" w:eastAsia="zh-CN"/>
        </w:rPr>
      </w:pPr>
    </w:p>
    <w:p w14:paraId="6F1DF27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color w:val="auto"/>
          <w:sz w:val="28"/>
          <w:szCs w:val="28"/>
          <w:highlight w:val="none"/>
          <w:lang w:val="en-US" w:eastAsia="zh-CN"/>
        </w:rPr>
      </w:pPr>
    </w:p>
    <w:p w14:paraId="2418B1AC">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b w:val="0"/>
          <w:bCs w:val="0"/>
          <w:color w:val="auto"/>
          <w:sz w:val="28"/>
          <w:szCs w:val="28"/>
          <w:highlight w:val="none"/>
          <w:lang w:val="en-US" w:eastAsia="zh-CN"/>
        </w:rPr>
      </w:pPr>
    </w:p>
    <w:p w14:paraId="2954824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b w:val="0"/>
          <w:bCs w:val="0"/>
          <w:color w:val="auto"/>
          <w:sz w:val="28"/>
          <w:szCs w:val="28"/>
          <w:highlight w:val="none"/>
          <w:lang w:val="en-US" w:eastAsia="zh-CN"/>
        </w:rPr>
      </w:pPr>
    </w:p>
    <w:p w14:paraId="7FFBE132">
      <w:pPr>
        <w:jc w:val="right"/>
        <w:rPr>
          <w:rFonts w:hint="default" w:ascii="Times New Roman" w:hAnsi="Times New Roman" w:cs="Times New Roman"/>
          <w:b w:val="0"/>
          <w:bCs w:val="0"/>
          <w:color w:val="auto"/>
          <w:sz w:val="28"/>
          <w:szCs w:val="28"/>
          <w:highlight w:val="none"/>
          <w:lang w:val="en-US" w:eastAsia="zh-CN"/>
        </w:rPr>
      </w:pPr>
      <w:r>
        <w:rPr>
          <w:rFonts w:hint="eastAsia"/>
          <w:color w:val="auto"/>
          <w:highlight w:val="none"/>
          <w:lang w:val="en-US" w:eastAsia="zh-CN"/>
        </w:rPr>
        <w:t>鄂尔多斯市北创智能装备有限公司</w:t>
      </w:r>
    </w:p>
    <w:p w14:paraId="3F397EBD">
      <w:pPr>
        <w:jc w:val="right"/>
        <w:rPr>
          <w:rFonts w:hint="default" w:ascii="Times New Roman" w:hAnsi="Times New Roman" w:cs="Times New Roman"/>
          <w:b w:val="0"/>
          <w:bCs w:val="0"/>
          <w:color w:val="auto"/>
          <w:sz w:val="28"/>
          <w:szCs w:val="28"/>
          <w:highlight w:val="none"/>
          <w:lang w:val="en-US" w:eastAsia="zh-CN"/>
        </w:rPr>
      </w:pPr>
      <w:r>
        <w:rPr>
          <w:rFonts w:hint="default" w:ascii="Times New Roman" w:hAnsi="Times New Roman" w:cs="Times New Roman"/>
          <w:b w:val="0"/>
          <w:bCs w:val="0"/>
          <w:color w:val="auto"/>
          <w:sz w:val="28"/>
          <w:szCs w:val="28"/>
          <w:highlight w:val="none"/>
          <w:lang w:val="en-US" w:eastAsia="zh-CN"/>
        </w:rPr>
        <w:t>2025年</w:t>
      </w:r>
      <w:r>
        <w:rPr>
          <w:rFonts w:hint="eastAsia" w:cs="Times New Roman"/>
          <w:b w:val="0"/>
          <w:bCs w:val="0"/>
          <w:color w:val="auto"/>
          <w:sz w:val="28"/>
          <w:szCs w:val="28"/>
          <w:highlight w:val="none"/>
          <w:lang w:val="en-US" w:eastAsia="zh-CN"/>
        </w:rPr>
        <w:t>6</w:t>
      </w:r>
      <w:r>
        <w:rPr>
          <w:rFonts w:hint="default" w:ascii="Times New Roman" w:hAnsi="Times New Roman" w:cs="Times New Roman"/>
          <w:b w:val="0"/>
          <w:bCs w:val="0"/>
          <w:color w:val="auto"/>
          <w:sz w:val="28"/>
          <w:szCs w:val="28"/>
          <w:highlight w:val="none"/>
          <w:lang w:val="en-US" w:eastAsia="zh-CN"/>
        </w:rPr>
        <w:t>月</w:t>
      </w:r>
    </w:p>
    <w:p w14:paraId="586D16D5">
      <w:pPr>
        <w:rPr>
          <w:rFonts w:hint="eastAsia" w:ascii="Times New Roman" w:hAnsi="Times New Roman" w:eastAsia="黑体" w:cs="Times New Roman"/>
          <w:color w:val="auto"/>
          <w:highlight w:val="none"/>
          <w:lang w:val="en-US" w:eastAsia="zh-CN"/>
        </w:rPr>
      </w:pPr>
    </w:p>
    <w:p w14:paraId="0ABB954E">
      <w:pPr>
        <w:pStyle w:val="47"/>
        <w:rPr>
          <w:rFonts w:hint="eastAsia" w:ascii="Times New Roman" w:hAnsi="Times New Roman" w:eastAsia="黑体" w:cs="Times New Roman"/>
          <w:color w:val="auto"/>
          <w:highlight w:val="none"/>
          <w:lang w:val="en-US" w:eastAsia="zh-CN"/>
        </w:rPr>
      </w:pPr>
    </w:p>
    <w:p w14:paraId="4DB18983">
      <w:pPr>
        <w:pStyle w:val="47"/>
        <w:rPr>
          <w:rFonts w:hint="eastAsia" w:ascii="Times New Roman" w:hAnsi="Times New Roman" w:eastAsia="黑体" w:cs="Times New Roman"/>
          <w:color w:val="auto"/>
          <w:highlight w:val="none"/>
          <w:lang w:val="en-US" w:eastAsia="zh-CN"/>
        </w:rPr>
        <w:sectPr>
          <w:footerReference r:id="rId13" w:type="default"/>
          <w:pgSz w:w="11906" w:h="16838"/>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3AFDF8B2">
      <w:pPr>
        <w:pStyle w:val="5"/>
        <w:bidi w:val="0"/>
        <w:rPr>
          <w:rFonts w:hint="eastAsia"/>
          <w:color w:val="auto"/>
          <w:highlight w:val="none"/>
          <w:lang w:val="en-US" w:eastAsia="zh-CN"/>
        </w:rPr>
      </w:pPr>
      <w:r>
        <w:rPr>
          <w:rFonts w:hint="eastAsia"/>
          <w:color w:val="auto"/>
          <w:highlight w:val="none"/>
          <w:lang w:val="en-US" w:eastAsia="zh-CN"/>
        </w:rPr>
        <w:t>附件3水性漆检测报告</w:t>
      </w:r>
    </w:p>
    <w:p w14:paraId="0B8E0B49">
      <w:pPr>
        <w:ind w:left="0" w:leftChars="0" w:firstLine="0" w:firstLineChars="0"/>
        <w:rPr>
          <w:rFonts w:hint="eastAsia"/>
          <w:b/>
          <w:bCs/>
          <w:color w:val="auto"/>
          <w:highlight w:val="none"/>
          <w:lang w:val="en-US" w:eastAsia="zh-CN"/>
        </w:rPr>
      </w:pPr>
      <w:r>
        <w:rPr>
          <w:rFonts w:hint="eastAsia"/>
          <w:b/>
          <w:bCs/>
          <w:color w:val="auto"/>
          <w:highlight w:val="none"/>
          <w:lang w:val="en-US" w:eastAsia="zh-CN"/>
        </w:rPr>
        <w:t>（面漆）</w:t>
      </w:r>
    </w:p>
    <w:p w14:paraId="08421951">
      <w:pPr>
        <w:ind w:left="0" w:leftChars="0" w:firstLine="0" w:firstLineChars="0"/>
        <w:rPr>
          <w:rFonts w:hint="default"/>
          <w:color w:val="auto"/>
          <w:highlight w:val="none"/>
          <w:lang w:val="en-US" w:eastAsia="zh-CN"/>
        </w:rPr>
      </w:pPr>
      <w:r>
        <w:rPr>
          <w:color w:val="auto"/>
          <w:highlight w:val="none"/>
        </w:rPr>
        <w:drawing>
          <wp:inline distT="0" distB="0" distL="114300" distR="114300">
            <wp:extent cx="5682615" cy="7965440"/>
            <wp:effectExtent l="0" t="0" r="13335" b="16510"/>
            <wp:docPr id="3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8"/>
                    <pic:cNvPicPr>
                      <a:picLocks noChangeAspect="1"/>
                    </pic:cNvPicPr>
                  </pic:nvPicPr>
                  <pic:blipFill>
                    <a:blip r:embed="rId33"/>
                    <a:stretch>
                      <a:fillRect/>
                    </a:stretch>
                  </pic:blipFill>
                  <pic:spPr>
                    <a:xfrm>
                      <a:off x="0" y="0"/>
                      <a:ext cx="5682615" cy="7965440"/>
                    </a:xfrm>
                    <a:prstGeom prst="rect">
                      <a:avLst/>
                    </a:prstGeom>
                    <a:noFill/>
                    <a:ln>
                      <a:noFill/>
                    </a:ln>
                  </pic:spPr>
                </pic:pic>
              </a:graphicData>
            </a:graphic>
          </wp:inline>
        </w:drawing>
      </w:r>
      <w:r>
        <w:rPr>
          <w:color w:val="auto"/>
          <w:highlight w:val="none"/>
        </w:rPr>
        <w:drawing>
          <wp:inline distT="0" distB="0" distL="114300" distR="114300">
            <wp:extent cx="5574030" cy="7733030"/>
            <wp:effectExtent l="0" t="0" r="7620" b="1270"/>
            <wp:docPr id="33"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9"/>
                    <pic:cNvPicPr>
                      <a:picLocks noChangeAspect="1"/>
                    </pic:cNvPicPr>
                  </pic:nvPicPr>
                  <pic:blipFill>
                    <a:blip r:embed="rId34"/>
                    <a:stretch>
                      <a:fillRect/>
                    </a:stretch>
                  </pic:blipFill>
                  <pic:spPr>
                    <a:xfrm>
                      <a:off x="0" y="0"/>
                      <a:ext cx="5574030" cy="7733030"/>
                    </a:xfrm>
                    <a:prstGeom prst="rect">
                      <a:avLst/>
                    </a:prstGeom>
                    <a:noFill/>
                    <a:ln>
                      <a:noFill/>
                    </a:ln>
                  </pic:spPr>
                </pic:pic>
              </a:graphicData>
            </a:graphic>
          </wp:inline>
        </w:drawing>
      </w:r>
      <w:r>
        <w:rPr>
          <w:color w:val="auto"/>
          <w:highlight w:val="none"/>
        </w:rPr>
        <w:drawing>
          <wp:inline distT="0" distB="0" distL="114300" distR="114300">
            <wp:extent cx="5569585" cy="7029450"/>
            <wp:effectExtent l="0" t="0" r="12065" b="0"/>
            <wp:docPr id="34"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0"/>
                    <pic:cNvPicPr>
                      <a:picLocks noChangeAspect="1"/>
                    </pic:cNvPicPr>
                  </pic:nvPicPr>
                  <pic:blipFill>
                    <a:blip r:embed="rId35"/>
                    <a:stretch>
                      <a:fillRect/>
                    </a:stretch>
                  </pic:blipFill>
                  <pic:spPr>
                    <a:xfrm>
                      <a:off x="0" y="0"/>
                      <a:ext cx="5569585" cy="7029450"/>
                    </a:xfrm>
                    <a:prstGeom prst="rect">
                      <a:avLst/>
                    </a:prstGeom>
                    <a:noFill/>
                    <a:ln>
                      <a:noFill/>
                    </a:ln>
                  </pic:spPr>
                </pic:pic>
              </a:graphicData>
            </a:graphic>
          </wp:inline>
        </w:drawing>
      </w:r>
    </w:p>
    <w:p w14:paraId="1AAED806">
      <w:pPr>
        <w:pStyle w:val="47"/>
        <w:ind w:left="0" w:leftChars="0" w:firstLine="0" w:firstLineChars="0"/>
        <w:rPr>
          <w:rFonts w:hint="eastAsia" w:ascii="Times New Roman" w:hAnsi="Times New Roman" w:eastAsia="黑体" w:cs="Times New Roman"/>
          <w:color w:val="auto"/>
          <w:highlight w:val="none"/>
          <w:lang w:val="en-US" w:eastAsia="zh-CN"/>
        </w:rPr>
      </w:pPr>
    </w:p>
    <w:p w14:paraId="7C2FA188">
      <w:pPr>
        <w:pStyle w:val="47"/>
        <w:ind w:left="0" w:leftChars="0" w:firstLine="0" w:firstLineChars="0"/>
        <w:rPr>
          <w:rFonts w:hint="eastAsia" w:ascii="Times New Roman" w:hAnsi="Times New Roman" w:eastAsia="黑体" w:cs="Times New Roman"/>
          <w:color w:val="auto"/>
          <w:highlight w:val="none"/>
          <w:lang w:val="en-US" w:eastAsia="zh-CN"/>
        </w:rPr>
      </w:pPr>
    </w:p>
    <w:p w14:paraId="763DA038">
      <w:pPr>
        <w:pStyle w:val="47"/>
        <w:ind w:left="0" w:leftChars="0" w:firstLine="0" w:firstLineChars="0"/>
        <w:rPr>
          <w:rFonts w:hint="eastAsia" w:ascii="Times New Roman" w:hAnsi="Times New Roman" w:eastAsia="黑体" w:cs="Times New Roman"/>
          <w:color w:val="auto"/>
          <w:highlight w:val="none"/>
          <w:lang w:val="en-US" w:eastAsia="zh-CN"/>
        </w:rPr>
      </w:pPr>
    </w:p>
    <w:p w14:paraId="232587FB">
      <w:pPr>
        <w:pStyle w:val="47"/>
        <w:ind w:left="0" w:leftChars="0" w:firstLine="0" w:firstLineChars="0"/>
        <w:rPr>
          <w:rFonts w:hint="eastAsia" w:ascii="Times New Roman" w:hAnsi="Times New Roman" w:eastAsia="黑体" w:cs="Times New Roman"/>
          <w:color w:val="auto"/>
          <w:highlight w:val="none"/>
          <w:lang w:val="en-US" w:eastAsia="zh-CN"/>
        </w:rPr>
      </w:pPr>
    </w:p>
    <w:p w14:paraId="5A0915BA">
      <w:pPr>
        <w:pStyle w:val="47"/>
        <w:ind w:left="0" w:leftChars="0" w:firstLine="0" w:firstLineChars="0"/>
        <w:rPr>
          <w:rFonts w:hint="eastAsia" w:ascii="Times New Roman" w:hAnsi="Times New Roman" w:eastAsia="黑体" w:cs="Times New Roman"/>
          <w:color w:val="auto"/>
          <w:highlight w:val="none"/>
          <w:lang w:val="en-US" w:eastAsia="zh-CN"/>
        </w:rPr>
      </w:pPr>
    </w:p>
    <w:p w14:paraId="3A492CEC">
      <w:pPr>
        <w:pStyle w:val="47"/>
        <w:ind w:left="0" w:leftChars="0" w:firstLine="0" w:firstLineChars="0"/>
        <w:rPr>
          <w:rFonts w:hint="eastAsia" w:ascii="Times New Roman" w:hAnsi="Times New Roman" w:eastAsia="黑体" w:cs="Times New Roman"/>
          <w:color w:val="auto"/>
          <w:highlight w:val="none"/>
          <w:lang w:val="en-US" w:eastAsia="zh-CN"/>
        </w:rPr>
      </w:pPr>
    </w:p>
    <w:p w14:paraId="710BBFCB">
      <w:pPr>
        <w:bidi w:val="0"/>
        <w:ind w:left="0" w:leftChars="0" w:firstLine="0" w:firstLineChars="0"/>
        <w:rPr>
          <w:rFonts w:hint="eastAsia"/>
          <w:b/>
          <w:bCs/>
          <w:color w:val="auto"/>
          <w:highlight w:val="none"/>
          <w:lang w:val="en-US" w:eastAsia="zh-CN"/>
        </w:rPr>
      </w:pPr>
      <w:r>
        <w:rPr>
          <w:rFonts w:hint="eastAsia"/>
          <w:b/>
          <w:bCs/>
          <w:color w:val="auto"/>
          <w:highlight w:val="none"/>
          <w:lang w:val="en-US" w:eastAsia="zh-CN"/>
        </w:rPr>
        <w:t>（底漆）</w:t>
      </w:r>
    </w:p>
    <w:p w14:paraId="0DEEF39D">
      <w:pPr>
        <w:pStyle w:val="47"/>
        <w:ind w:left="0" w:leftChars="0" w:firstLine="0" w:firstLineChars="0"/>
        <w:jc w:val="center"/>
        <w:rPr>
          <w:rFonts w:hint="eastAsia" w:eastAsia="黑体" w:cs="Times New Roman"/>
          <w:color w:val="auto"/>
          <w:highlight w:val="none"/>
          <w:lang w:val="en-US" w:eastAsia="zh-CN"/>
        </w:rPr>
      </w:pPr>
      <w:r>
        <w:rPr>
          <w:color w:val="auto"/>
          <w:highlight w:val="none"/>
        </w:rPr>
        <w:drawing>
          <wp:inline distT="0" distB="0" distL="114300" distR="114300">
            <wp:extent cx="5508625" cy="8150225"/>
            <wp:effectExtent l="0" t="0" r="15875" b="3175"/>
            <wp:docPr id="36"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3"/>
                    <pic:cNvPicPr>
                      <a:picLocks noChangeAspect="1"/>
                    </pic:cNvPicPr>
                  </pic:nvPicPr>
                  <pic:blipFill>
                    <a:blip r:embed="rId36"/>
                    <a:stretch>
                      <a:fillRect/>
                    </a:stretch>
                  </pic:blipFill>
                  <pic:spPr>
                    <a:xfrm>
                      <a:off x="0" y="0"/>
                      <a:ext cx="5508625" cy="8150225"/>
                    </a:xfrm>
                    <a:prstGeom prst="rect">
                      <a:avLst/>
                    </a:prstGeom>
                    <a:noFill/>
                    <a:ln>
                      <a:noFill/>
                    </a:ln>
                  </pic:spPr>
                </pic:pic>
              </a:graphicData>
            </a:graphic>
          </wp:inline>
        </w:drawing>
      </w:r>
      <w:r>
        <w:rPr>
          <w:color w:val="auto"/>
          <w:highlight w:val="none"/>
        </w:rPr>
        <w:drawing>
          <wp:inline distT="0" distB="0" distL="114300" distR="114300">
            <wp:extent cx="5516245" cy="8489950"/>
            <wp:effectExtent l="0" t="0" r="8255" b="6350"/>
            <wp:docPr id="38"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6"/>
                    <pic:cNvPicPr>
                      <a:picLocks noChangeAspect="1"/>
                    </pic:cNvPicPr>
                  </pic:nvPicPr>
                  <pic:blipFill>
                    <a:blip r:embed="rId37"/>
                    <a:stretch>
                      <a:fillRect/>
                    </a:stretch>
                  </pic:blipFill>
                  <pic:spPr>
                    <a:xfrm>
                      <a:off x="0" y="0"/>
                      <a:ext cx="5516245" cy="8489950"/>
                    </a:xfrm>
                    <a:prstGeom prst="rect">
                      <a:avLst/>
                    </a:prstGeom>
                    <a:noFill/>
                    <a:ln>
                      <a:noFill/>
                    </a:ln>
                  </pic:spPr>
                </pic:pic>
              </a:graphicData>
            </a:graphic>
          </wp:inline>
        </w:drawing>
      </w:r>
      <w:r>
        <w:rPr>
          <w:color w:val="auto"/>
          <w:highlight w:val="none"/>
        </w:rPr>
        <w:drawing>
          <wp:inline distT="0" distB="0" distL="114300" distR="114300">
            <wp:extent cx="5518785" cy="7038975"/>
            <wp:effectExtent l="0" t="0" r="5715" b="9525"/>
            <wp:docPr id="3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5"/>
                    <pic:cNvPicPr>
                      <a:picLocks noChangeAspect="1"/>
                    </pic:cNvPicPr>
                  </pic:nvPicPr>
                  <pic:blipFill>
                    <a:blip r:embed="rId38"/>
                    <a:stretch>
                      <a:fillRect/>
                    </a:stretch>
                  </pic:blipFill>
                  <pic:spPr>
                    <a:xfrm>
                      <a:off x="0" y="0"/>
                      <a:ext cx="5518785" cy="7038975"/>
                    </a:xfrm>
                    <a:prstGeom prst="rect">
                      <a:avLst/>
                    </a:prstGeom>
                    <a:noFill/>
                    <a:ln>
                      <a:noFill/>
                    </a:ln>
                  </pic:spPr>
                </pic:pic>
              </a:graphicData>
            </a:graphic>
          </wp:inline>
        </w:drawing>
      </w:r>
    </w:p>
    <w:p w14:paraId="27DBDB8A">
      <w:pPr>
        <w:rPr>
          <w:rFonts w:hint="eastAsia" w:ascii="Times New Roman" w:hAnsi="Times New Roman" w:eastAsia="黑体" w:cs="Times New Roman"/>
          <w:color w:val="auto"/>
          <w:highlight w:val="none"/>
          <w:lang w:val="en-US" w:eastAsia="zh-CN"/>
        </w:rPr>
      </w:pPr>
    </w:p>
    <w:p w14:paraId="5C92F68C">
      <w:pPr>
        <w:pStyle w:val="24"/>
        <w:rPr>
          <w:rFonts w:hint="eastAsia" w:ascii="Times New Roman" w:hAnsi="Times New Roman" w:eastAsia="黑体" w:cs="Times New Roman"/>
          <w:color w:val="auto"/>
          <w:highlight w:val="none"/>
          <w:lang w:val="en-US" w:eastAsia="zh-CN"/>
        </w:rPr>
      </w:pPr>
    </w:p>
    <w:p w14:paraId="34305045">
      <w:pPr>
        <w:rPr>
          <w:rFonts w:hint="eastAsia" w:ascii="Times New Roman" w:hAnsi="Times New Roman" w:eastAsia="黑体" w:cs="Times New Roman"/>
          <w:color w:val="auto"/>
          <w:highlight w:val="none"/>
          <w:lang w:val="en-US" w:eastAsia="zh-CN"/>
        </w:rPr>
      </w:pPr>
    </w:p>
    <w:p w14:paraId="06660770">
      <w:pPr>
        <w:pStyle w:val="24"/>
        <w:rPr>
          <w:rFonts w:hint="eastAsia" w:ascii="Times New Roman" w:hAnsi="Times New Roman" w:eastAsia="黑体" w:cs="Times New Roman"/>
          <w:color w:val="auto"/>
          <w:highlight w:val="none"/>
          <w:lang w:val="en-US" w:eastAsia="zh-CN"/>
        </w:rPr>
      </w:pPr>
    </w:p>
    <w:p w14:paraId="1A95A115">
      <w:pPr>
        <w:rPr>
          <w:rFonts w:hint="eastAsia" w:ascii="Times New Roman" w:hAnsi="Times New Roman" w:eastAsia="黑体" w:cs="Times New Roman"/>
          <w:color w:val="auto"/>
          <w:highlight w:val="none"/>
          <w:lang w:val="en-US" w:eastAsia="zh-CN"/>
        </w:rPr>
      </w:pPr>
    </w:p>
    <w:p w14:paraId="5AC3D030">
      <w:pPr>
        <w:pStyle w:val="24"/>
        <w:rPr>
          <w:rFonts w:hint="eastAsia" w:ascii="Times New Roman" w:hAnsi="Times New Roman" w:eastAsia="黑体" w:cs="Times New Roman"/>
          <w:color w:val="auto"/>
          <w:highlight w:val="none"/>
          <w:lang w:val="en-US" w:eastAsia="zh-CN"/>
        </w:rPr>
      </w:pPr>
    </w:p>
    <w:p w14:paraId="1238AD5C">
      <w:pPr>
        <w:pStyle w:val="5"/>
        <w:bidi w:val="0"/>
        <w:rPr>
          <w:rFonts w:hint="eastAsia"/>
          <w:color w:val="auto"/>
          <w:highlight w:val="none"/>
          <w:lang w:val="en-US" w:eastAsia="zh-CN"/>
        </w:rPr>
      </w:pPr>
      <w:r>
        <w:rPr>
          <w:rFonts w:hint="eastAsia"/>
          <w:color w:val="auto"/>
          <w:highlight w:val="none"/>
          <w:lang w:val="en-US" w:eastAsia="zh-CN"/>
        </w:rPr>
        <w:t>附件4引用检测报告</w:t>
      </w:r>
    </w:p>
    <w:p w14:paraId="5E340D36">
      <w:pPr>
        <w:ind w:left="0" w:leftChars="0" w:firstLine="0" w:firstLineChars="0"/>
        <w:jc w:val="center"/>
        <w:rPr>
          <w:rFonts w:hint="default"/>
          <w:color w:val="auto"/>
          <w:highlight w:val="none"/>
          <w:lang w:val="en-US" w:eastAsia="zh-CN"/>
        </w:rPr>
      </w:pPr>
      <w:r>
        <w:rPr>
          <w:rFonts w:hint="default"/>
          <w:color w:val="auto"/>
          <w:highlight w:val="none"/>
          <w:lang w:val="en-US" w:eastAsia="zh-CN"/>
        </w:rPr>
        <w:drawing>
          <wp:inline distT="0" distB="0" distL="114300" distR="114300">
            <wp:extent cx="4970780" cy="6790690"/>
            <wp:effectExtent l="0" t="0" r="0" b="0"/>
            <wp:docPr id="3" name="图片 3" descr="24dfdcd776c9b03d0529e10407f6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4dfdcd776c9b03d0529e10407f6678"/>
                    <pic:cNvPicPr>
                      <a:picLocks noChangeAspect="1"/>
                    </pic:cNvPicPr>
                  </pic:nvPicPr>
                  <pic:blipFill>
                    <a:blip r:embed="rId39"/>
                    <a:srcRect t="6439" r="6139"/>
                    <a:stretch>
                      <a:fillRect/>
                    </a:stretch>
                  </pic:blipFill>
                  <pic:spPr>
                    <a:xfrm>
                      <a:off x="0" y="0"/>
                      <a:ext cx="4970780" cy="6790690"/>
                    </a:xfrm>
                    <a:prstGeom prst="rect">
                      <a:avLst/>
                    </a:prstGeom>
                  </pic:spPr>
                </pic:pic>
              </a:graphicData>
            </a:graphic>
          </wp:inline>
        </w:drawing>
      </w:r>
      <w:r>
        <w:rPr>
          <w:rFonts w:hint="default"/>
          <w:color w:val="auto"/>
          <w:highlight w:val="none"/>
          <w:lang w:val="en-US" w:eastAsia="zh-CN"/>
        </w:rPr>
        <w:drawing>
          <wp:inline distT="0" distB="0" distL="114300" distR="114300">
            <wp:extent cx="5534025" cy="7591425"/>
            <wp:effectExtent l="0" t="0" r="9525" b="9525"/>
            <wp:docPr id="4" name="图片 4" descr="253bc3f14be5024149121f2c3703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53bc3f14be5024149121f2c3703a08"/>
                    <pic:cNvPicPr>
                      <a:picLocks noChangeAspect="1"/>
                    </pic:cNvPicPr>
                  </pic:nvPicPr>
                  <pic:blipFill>
                    <a:blip r:embed="rId40"/>
                    <a:stretch>
                      <a:fillRect/>
                    </a:stretch>
                  </pic:blipFill>
                  <pic:spPr>
                    <a:xfrm>
                      <a:off x="0" y="0"/>
                      <a:ext cx="5534025" cy="7591425"/>
                    </a:xfrm>
                    <a:prstGeom prst="rect">
                      <a:avLst/>
                    </a:prstGeom>
                  </pic:spPr>
                </pic:pic>
              </a:graphicData>
            </a:graphic>
          </wp:inline>
        </w:drawing>
      </w:r>
      <w:r>
        <w:rPr>
          <w:rFonts w:hint="default"/>
          <w:color w:val="auto"/>
          <w:highlight w:val="none"/>
          <w:lang w:val="en-US" w:eastAsia="zh-CN"/>
        </w:rPr>
        <w:drawing>
          <wp:inline distT="0" distB="0" distL="114300" distR="114300">
            <wp:extent cx="5334000" cy="7429500"/>
            <wp:effectExtent l="0" t="0" r="0" b="0"/>
            <wp:docPr id="5" name="图片 5" descr="da36acfb2d607f37acb1b39c787ff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a36acfb2d607f37acb1b39c787ffa3"/>
                    <pic:cNvPicPr>
                      <a:picLocks noChangeAspect="1"/>
                    </pic:cNvPicPr>
                  </pic:nvPicPr>
                  <pic:blipFill>
                    <a:blip r:embed="rId41"/>
                    <a:stretch>
                      <a:fillRect/>
                    </a:stretch>
                  </pic:blipFill>
                  <pic:spPr>
                    <a:xfrm>
                      <a:off x="0" y="0"/>
                      <a:ext cx="5334000" cy="7429500"/>
                    </a:xfrm>
                    <a:prstGeom prst="rect">
                      <a:avLst/>
                    </a:prstGeom>
                  </pic:spPr>
                </pic:pic>
              </a:graphicData>
            </a:graphic>
          </wp:inline>
        </w:drawing>
      </w:r>
      <w:r>
        <w:rPr>
          <w:rFonts w:hint="default"/>
          <w:color w:val="auto"/>
          <w:highlight w:val="none"/>
          <w:lang w:val="en-US" w:eastAsia="zh-CN"/>
        </w:rPr>
        <w:drawing>
          <wp:inline distT="0" distB="0" distL="114300" distR="114300">
            <wp:extent cx="5257800" cy="7239000"/>
            <wp:effectExtent l="0" t="0" r="0" b="0"/>
            <wp:docPr id="12" name="图片 12" descr="afc1d16c6339b1585261373747131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fc1d16c6339b1585261373747131ba"/>
                    <pic:cNvPicPr>
                      <a:picLocks noChangeAspect="1"/>
                    </pic:cNvPicPr>
                  </pic:nvPicPr>
                  <pic:blipFill>
                    <a:blip r:embed="rId42"/>
                    <a:stretch>
                      <a:fillRect/>
                    </a:stretch>
                  </pic:blipFill>
                  <pic:spPr>
                    <a:xfrm>
                      <a:off x="0" y="0"/>
                      <a:ext cx="5257800" cy="7239000"/>
                    </a:xfrm>
                    <a:prstGeom prst="rect">
                      <a:avLst/>
                    </a:prstGeom>
                  </pic:spPr>
                </pic:pic>
              </a:graphicData>
            </a:graphic>
          </wp:inline>
        </w:drawing>
      </w:r>
      <w:r>
        <w:rPr>
          <w:rFonts w:hint="default"/>
          <w:color w:val="auto"/>
          <w:highlight w:val="none"/>
          <w:lang w:val="en-US" w:eastAsia="zh-CN"/>
        </w:rPr>
        <w:drawing>
          <wp:inline distT="0" distB="0" distL="114300" distR="114300">
            <wp:extent cx="5457825" cy="7191375"/>
            <wp:effectExtent l="0" t="0" r="9525" b="9525"/>
            <wp:docPr id="22" name="图片 22" descr="9e8315c1a5a53b1d26e2967ba8e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9e8315c1a5a53b1d26e2967ba8e5071"/>
                    <pic:cNvPicPr>
                      <a:picLocks noChangeAspect="1"/>
                    </pic:cNvPicPr>
                  </pic:nvPicPr>
                  <pic:blipFill>
                    <a:blip r:embed="rId43"/>
                    <a:stretch>
                      <a:fillRect/>
                    </a:stretch>
                  </pic:blipFill>
                  <pic:spPr>
                    <a:xfrm>
                      <a:off x="0" y="0"/>
                      <a:ext cx="5457825" cy="7191375"/>
                    </a:xfrm>
                    <a:prstGeom prst="rect">
                      <a:avLst/>
                    </a:prstGeom>
                  </pic:spPr>
                </pic:pic>
              </a:graphicData>
            </a:graphic>
          </wp:inline>
        </w:drawing>
      </w:r>
      <w:r>
        <w:rPr>
          <w:rFonts w:hint="default"/>
          <w:color w:val="auto"/>
          <w:highlight w:val="none"/>
          <w:lang w:val="en-US" w:eastAsia="zh-CN"/>
        </w:rPr>
        <w:drawing>
          <wp:inline distT="0" distB="0" distL="114300" distR="114300">
            <wp:extent cx="5143500" cy="7267575"/>
            <wp:effectExtent l="0" t="0" r="0" b="9525"/>
            <wp:docPr id="23" name="图片 23" descr="17384ad9974597250aa2fdc976d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7384ad9974597250aa2fdc976d2153"/>
                    <pic:cNvPicPr>
                      <a:picLocks noChangeAspect="1"/>
                    </pic:cNvPicPr>
                  </pic:nvPicPr>
                  <pic:blipFill>
                    <a:blip r:embed="rId44"/>
                    <a:stretch>
                      <a:fillRect/>
                    </a:stretch>
                  </pic:blipFill>
                  <pic:spPr>
                    <a:xfrm>
                      <a:off x="0" y="0"/>
                      <a:ext cx="5143500" cy="7267575"/>
                    </a:xfrm>
                    <a:prstGeom prst="rect">
                      <a:avLst/>
                    </a:prstGeom>
                  </pic:spPr>
                </pic:pic>
              </a:graphicData>
            </a:graphic>
          </wp:inline>
        </w:drawing>
      </w:r>
      <w:r>
        <w:rPr>
          <w:rFonts w:hint="default"/>
          <w:color w:val="auto"/>
          <w:highlight w:val="none"/>
          <w:lang w:val="en-US" w:eastAsia="zh-CN"/>
        </w:rPr>
        <w:drawing>
          <wp:inline distT="0" distB="0" distL="114300" distR="114300">
            <wp:extent cx="5181600" cy="7353300"/>
            <wp:effectExtent l="0" t="0" r="0" b="0"/>
            <wp:docPr id="24" name="图片 24" descr="6bab90accac5c75e01d58e79dd8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bab90accac5c75e01d58e79dd88642"/>
                    <pic:cNvPicPr>
                      <a:picLocks noChangeAspect="1"/>
                    </pic:cNvPicPr>
                  </pic:nvPicPr>
                  <pic:blipFill>
                    <a:blip r:embed="rId45"/>
                    <a:stretch>
                      <a:fillRect/>
                    </a:stretch>
                  </pic:blipFill>
                  <pic:spPr>
                    <a:xfrm>
                      <a:off x="0" y="0"/>
                      <a:ext cx="5181600" cy="7353300"/>
                    </a:xfrm>
                    <a:prstGeom prst="rect">
                      <a:avLst/>
                    </a:prstGeom>
                  </pic:spPr>
                </pic:pic>
              </a:graphicData>
            </a:graphic>
          </wp:inline>
        </w:drawing>
      </w:r>
      <w:r>
        <w:rPr>
          <w:rFonts w:hint="default"/>
          <w:color w:val="auto"/>
          <w:highlight w:val="none"/>
          <w:lang w:val="en-US" w:eastAsia="zh-CN"/>
        </w:rPr>
        <w:drawing>
          <wp:inline distT="0" distB="0" distL="114300" distR="114300">
            <wp:extent cx="5314950" cy="7381875"/>
            <wp:effectExtent l="0" t="0" r="0" b="9525"/>
            <wp:docPr id="25" name="图片 25" descr="7577c3fa4d62ab30c9e363bcd239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577c3fa4d62ab30c9e363bcd239ba3"/>
                    <pic:cNvPicPr>
                      <a:picLocks noChangeAspect="1"/>
                    </pic:cNvPicPr>
                  </pic:nvPicPr>
                  <pic:blipFill>
                    <a:blip r:embed="rId46"/>
                    <a:stretch>
                      <a:fillRect/>
                    </a:stretch>
                  </pic:blipFill>
                  <pic:spPr>
                    <a:xfrm>
                      <a:off x="0" y="0"/>
                      <a:ext cx="5314950" cy="7381875"/>
                    </a:xfrm>
                    <a:prstGeom prst="rect">
                      <a:avLst/>
                    </a:prstGeom>
                  </pic:spPr>
                </pic:pic>
              </a:graphicData>
            </a:graphic>
          </wp:inline>
        </w:drawing>
      </w:r>
      <w:r>
        <w:rPr>
          <w:rFonts w:hint="default"/>
          <w:color w:val="auto"/>
          <w:highlight w:val="none"/>
          <w:lang w:val="en-US" w:eastAsia="zh-CN"/>
        </w:rPr>
        <w:drawing>
          <wp:inline distT="0" distB="0" distL="114300" distR="114300">
            <wp:extent cx="5305425" cy="7534275"/>
            <wp:effectExtent l="0" t="0" r="9525" b="9525"/>
            <wp:docPr id="26" name="图片 26" descr="0569a2d3562d55a98aa05e1f8436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0569a2d3562d55a98aa05e1f8436e45"/>
                    <pic:cNvPicPr>
                      <a:picLocks noChangeAspect="1"/>
                    </pic:cNvPicPr>
                  </pic:nvPicPr>
                  <pic:blipFill>
                    <a:blip r:embed="rId47"/>
                    <a:stretch>
                      <a:fillRect/>
                    </a:stretch>
                  </pic:blipFill>
                  <pic:spPr>
                    <a:xfrm>
                      <a:off x="0" y="0"/>
                      <a:ext cx="5305425" cy="7534275"/>
                    </a:xfrm>
                    <a:prstGeom prst="rect">
                      <a:avLst/>
                    </a:prstGeom>
                  </pic:spPr>
                </pic:pic>
              </a:graphicData>
            </a:graphic>
          </wp:inline>
        </w:drawing>
      </w:r>
      <w:r>
        <w:rPr>
          <w:rFonts w:hint="default"/>
          <w:color w:val="auto"/>
          <w:highlight w:val="none"/>
          <w:lang w:val="en-US" w:eastAsia="zh-CN"/>
        </w:rPr>
        <w:drawing>
          <wp:inline distT="0" distB="0" distL="114300" distR="114300">
            <wp:extent cx="5191125" cy="7543800"/>
            <wp:effectExtent l="0" t="0" r="9525" b="0"/>
            <wp:docPr id="27" name="图片 27" descr="e0dd65bc83c236a087fbfb96ade63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0dd65bc83c236a087fbfb96ade638a"/>
                    <pic:cNvPicPr>
                      <a:picLocks noChangeAspect="1"/>
                    </pic:cNvPicPr>
                  </pic:nvPicPr>
                  <pic:blipFill>
                    <a:blip r:embed="rId48"/>
                    <a:stretch>
                      <a:fillRect/>
                    </a:stretch>
                  </pic:blipFill>
                  <pic:spPr>
                    <a:xfrm>
                      <a:off x="0" y="0"/>
                      <a:ext cx="5191125" cy="7543800"/>
                    </a:xfrm>
                    <a:prstGeom prst="rect">
                      <a:avLst/>
                    </a:prstGeom>
                  </pic:spPr>
                </pic:pic>
              </a:graphicData>
            </a:graphic>
          </wp:inline>
        </w:drawing>
      </w:r>
      <w:r>
        <w:rPr>
          <w:rFonts w:hint="default"/>
          <w:color w:val="auto"/>
          <w:highlight w:val="none"/>
          <w:lang w:val="en-US" w:eastAsia="zh-CN"/>
        </w:rPr>
        <w:drawing>
          <wp:inline distT="0" distB="0" distL="114300" distR="114300">
            <wp:extent cx="5362575" cy="7439025"/>
            <wp:effectExtent l="0" t="0" r="9525" b="9525"/>
            <wp:docPr id="28" name="图片 28" descr="025f4a62d8ca47d0b4947304969f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025f4a62d8ca47d0b4947304969f390"/>
                    <pic:cNvPicPr>
                      <a:picLocks noChangeAspect="1"/>
                    </pic:cNvPicPr>
                  </pic:nvPicPr>
                  <pic:blipFill>
                    <a:blip r:embed="rId49"/>
                    <a:stretch>
                      <a:fillRect/>
                    </a:stretch>
                  </pic:blipFill>
                  <pic:spPr>
                    <a:xfrm>
                      <a:off x="0" y="0"/>
                      <a:ext cx="5362575" cy="7439025"/>
                    </a:xfrm>
                    <a:prstGeom prst="rect">
                      <a:avLst/>
                    </a:prstGeom>
                  </pic:spPr>
                </pic:pic>
              </a:graphicData>
            </a:graphic>
          </wp:inline>
        </w:drawing>
      </w:r>
      <w:r>
        <w:rPr>
          <w:rFonts w:hint="default"/>
          <w:color w:val="auto"/>
          <w:highlight w:val="none"/>
          <w:lang w:val="en-US" w:eastAsia="zh-CN"/>
        </w:rPr>
        <w:drawing>
          <wp:inline distT="0" distB="0" distL="114300" distR="114300">
            <wp:extent cx="5353050" cy="7296150"/>
            <wp:effectExtent l="0" t="0" r="0" b="0"/>
            <wp:docPr id="40" name="图片 40" descr="6e6e880a5a8ed32dd7027ee7fd2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6e6e880a5a8ed32dd7027ee7fd29420"/>
                    <pic:cNvPicPr>
                      <a:picLocks noChangeAspect="1"/>
                    </pic:cNvPicPr>
                  </pic:nvPicPr>
                  <pic:blipFill>
                    <a:blip r:embed="rId50"/>
                    <a:stretch>
                      <a:fillRect/>
                    </a:stretch>
                  </pic:blipFill>
                  <pic:spPr>
                    <a:xfrm>
                      <a:off x="0" y="0"/>
                      <a:ext cx="5353050" cy="7296150"/>
                    </a:xfrm>
                    <a:prstGeom prst="rect">
                      <a:avLst/>
                    </a:prstGeom>
                  </pic:spPr>
                </pic:pic>
              </a:graphicData>
            </a:graphic>
          </wp:inline>
        </w:drawing>
      </w:r>
      <w:r>
        <w:rPr>
          <w:rFonts w:hint="default"/>
          <w:color w:val="auto"/>
          <w:highlight w:val="none"/>
          <w:lang w:val="en-US" w:eastAsia="zh-CN"/>
        </w:rPr>
        <w:drawing>
          <wp:inline distT="0" distB="0" distL="114300" distR="114300">
            <wp:extent cx="5124450" cy="7258050"/>
            <wp:effectExtent l="0" t="0" r="0" b="0"/>
            <wp:docPr id="48" name="图片 48" descr="fb1f04eb98e76246876718766dfc4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fb1f04eb98e76246876718766dfc4f4"/>
                    <pic:cNvPicPr>
                      <a:picLocks noChangeAspect="1"/>
                    </pic:cNvPicPr>
                  </pic:nvPicPr>
                  <pic:blipFill>
                    <a:blip r:embed="rId51"/>
                    <a:stretch>
                      <a:fillRect/>
                    </a:stretch>
                  </pic:blipFill>
                  <pic:spPr>
                    <a:xfrm>
                      <a:off x="0" y="0"/>
                      <a:ext cx="5124450" cy="7258050"/>
                    </a:xfrm>
                    <a:prstGeom prst="rect">
                      <a:avLst/>
                    </a:prstGeom>
                  </pic:spPr>
                </pic:pic>
              </a:graphicData>
            </a:graphic>
          </wp:inline>
        </w:drawing>
      </w:r>
    </w:p>
    <w:p w14:paraId="16258499">
      <w:pPr>
        <w:pStyle w:val="24"/>
        <w:rPr>
          <w:rFonts w:hint="eastAsia"/>
          <w:color w:val="auto"/>
          <w:highlight w:val="none"/>
          <w:lang w:val="en-US" w:eastAsia="zh-CN"/>
        </w:rPr>
      </w:pPr>
    </w:p>
    <w:p w14:paraId="2EACDCB2">
      <w:pPr>
        <w:pStyle w:val="25"/>
        <w:ind w:left="0" w:leftChars="0" w:firstLine="0" w:firstLineChars="0"/>
        <w:rPr>
          <w:rFonts w:hint="eastAsia"/>
          <w:color w:val="auto"/>
          <w:highlight w:val="none"/>
          <w:lang w:eastAsia="zh-CN"/>
        </w:rPr>
      </w:pPr>
    </w:p>
    <w:p w14:paraId="1ED041DB">
      <w:pPr>
        <w:rPr>
          <w:rFonts w:hint="eastAsia"/>
          <w:color w:val="auto"/>
          <w:highlight w:val="none"/>
          <w:lang w:eastAsia="zh-CN"/>
        </w:rPr>
      </w:pPr>
    </w:p>
    <w:p w14:paraId="2E305257">
      <w:pPr>
        <w:pStyle w:val="7"/>
        <w:rPr>
          <w:rFonts w:hint="eastAsia"/>
          <w:color w:val="auto"/>
          <w:highlight w:val="none"/>
          <w:lang w:eastAsia="zh-CN"/>
        </w:rPr>
      </w:pPr>
    </w:p>
    <w:p w14:paraId="09B46E4E">
      <w:pPr>
        <w:rPr>
          <w:rFonts w:hint="eastAsia"/>
          <w:color w:val="auto"/>
          <w:highlight w:val="none"/>
          <w:lang w:eastAsia="zh-CN"/>
        </w:rPr>
      </w:pPr>
    </w:p>
    <w:p w14:paraId="20FC4028">
      <w:pPr>
        <w:pStyle w:val="5"/>
        <w:bidi w:val="0"/>
        <w:rPr>
          <w:rFonts w:hint="eastAsia"/>
          <w:color w:val="auto"/>
          <w:highlight w:val="none"/>
          <w:lang w:val="en-US" w:eastAsia="zh-CN"/>
        </w:rPr>
      </w:pPr>
      <w:r>
        <w:rPr>
          <w:rFonts w:hint="eastAsia"/>
          <w:color w:val="auto"/>
          <w:highlight w:val="none"/>
          <w:lang w:val="en-US" w:eastAsia="zh-CN"/>
        </w:rPr>
        <w:t>附件5不占文物保护文件</w:t>
      </w:r>
    </w:p>
    <w:p w14:paraId="44E52A22">
      <w:pPr>
        <w:ind w:left="0" w:leftChars="0" w:firstLine="0" w:firstLineChars="0"/>
        <w:rPr>
          <w:rFonts w:hint="default"/>
          <w:color w:val="auto"/>
          <w:highlight w:val="none"/>
          <w:lang w:val="en-US" w:eastAsia="zh-CN"/>
        </w:rPr>
      </w:pPr>
      <w:r>
        <w:rPr>
          <w:color w:val="auto"/>
          <w:highlight w:val="none"/>
        </w:rPr>
        <w:drawing>
          <wp:inline distT="0" distB="0" distL="114300" distR="114300">
            <wp:extent cx="5610860" cy="8203565"/>
            <wp:effectExtent l="0" t="0" r="8890" b="698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52"/>
                    <a:stretch>
                      <a:fillRect/>
                    </a:stretch>
                  </pic:blipFill>
                  <pic:spPr>
                    <a:xfrm>
                      <a:off x="0" y="0"/>
                      <a:ext cx="5610860" cy="8203565"/>
                    </a:xfrm>
                    <a:prstGeom prst="rect">
                      <a:avLst/>
                    </a:prstGeom>
                    <a:noFill/>
                    <a:ln>
                      <a:noFill/>
                    </a:ln>
                  </pic:spPr>
                </pic:pic>
              </a:graphicData>
            </a:graphic>
          </wp:inline>
        </w:drawing>
      </w:r>
      <w:r>
        <w:rPr>
          <w:color w:val="auto"/>
          <w:highlight w:val="none"/>
        </w:rPr>
        <w:drawing>
          <wp:inline distT="0" distB="0" distL="114300" distR="114300">
            <wp:extent cx="5609590" cy="8021955"/>
            <wp:effectExtent l="0" t="0" r="10160" b="1714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53"/>
                    <a:stretch>
                      <a:fillRect/>
                    </a:stretch>
                  </pic:blipFill>
                  <pic:spPr>
                    <a:xfrm>
                      <a:off x="0" y="0"/>
                      <a:ext cx="5609590" cy="8021955"/>
                    </a:xfrm>
                    <a:prstGeom prst="rect">
                      <a:avLst/>
                    </a:prstGeom>
                    <a:noFill/>
                    <a:ln>
                      <a:noFill/>
                    </a:ln>
                  </pic:spPr>
                </pic:pic>
              </a:graphicData>
            </a:graphic>
          </wp:inline>
        </w:drawing>
      </w:r>
    </w:p>
    <w:p w14:paraId="0E9C445B">
      <w:pPr>
        <w:rPr>
          <w:rFonts w:hint="eastAsia"/>
          <w:color w:val="auto"/>
          <w:highlight w:val="none"/>
          <w:lang w:eastAsia="zh-CN"/>
        </w:rPr>
      </w:pPr>
    </w:p>
    <w:p w14:paraId="53F9F266">
      <w:pPr>
        <w:pStyle w:val="7"/>
        <w:rPr>
          <w:rFonts w:hint="eastAsia"/>
          <w:color w:val="auto"/>
          <w:highlight w:val="none"/>
          <w:lang w:eastAsia="zh-CN"/>
        </w:rPr>
        <w:sectPr>
          <w:pgSz w:w="11906" w:h="16838"/>
          <w:pgMar w:top="1418" w:right="1531" w:bottom="1701" w:left="1531" w:header="1020" w:footer="992" w:gutter="0"/>
          <w:cols w:space="720" w:num="1"/>
          <w:docGrid w:linePitch="312" w:charSpace="0"/>
        </w:sectPr>
      </w:pPr>
    </w:p>
    <w:p w14:paraId="461CA0AB">
      <w:pPr>
        <w:pStyle w:val="5"/>
        <w:bidi w:val="0"/>
        <w:rPr>
          <w:rFonts w:hint="eastAsia"/>
          <w:color w:val="auto"/>
          <w:highlight w:val="none"/>
          <w:lang w:val="en-US" w:eastAsia="zh-CN"/>
        </w:rPr>
      </w:pPr>
      <w:r>
        <w:rPr>
          <w:rFonts w:hint="eastAsia"/>
          <w:color w:val="auto"/>
          <w:highlight w:val="none"/>
          <w:lang w:val="en-US" w:eastAsia="zh-CN"/>
        </w:rPr>
        <w:t>附图1鄂尔多斯市环境管控单元图</w:t>
      </w:r>
    </w:p>
    <w:p w14:paraId="063ED2EE">
      <w:pPr>
        <w:ind w:left="0" w:leftChars="0" w:firstLine="0" w:firstLineChars="0"/>
        <w:rPr>
          <w:rFonts w:hint="default" w:eastAsia="黑体" w:cs="Times New Roman"/>
          <w:color w:val="auto"/>
          <w:highlight w:val="none"/>
          <w:lang w:val="en-US" w:eastAsia="zh-CN"/>
        </w:rPr>
      </w:pPr>
      <w:r>
        <w:rPr>
          <w:color w:val="auto"/>
          <w:highlight w:val="none"/>
        </w:rPr>
        <w:drawing>
          <wp:inline distT="0" distB="0" distL="114300" distR="114300">
            <wp:extent cx="8510270" cy="5206365"/>
            <wp:effectExtent l="0" t="0" r="5080" b="13335"/>
            <wp:docPr id="29"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2"/>
                    <pic:cNvPicPr>
                      <a:picLocks noChangeAspect="1"/>
                    </pic:cNvPicPr>
                  </pic:nvPicPr>
                  <pic:blipFill>
                    <a:blip r:embed="rId54"/>
                    <a:stretch>
                      <a:fillRect/>
                    </a:stretch>
                  </pic:blipFill>
                  <pic:spPr>
                    <a:xfrm>
                      <a:off x="0" y="0"/>
                      <a:ext cx="8510270" cy="5206365"/>
                    </a:xfrm>
                    <a:prstGeom prst="rect">
                      <a:avLst/>
                    </a:prstGeom>
                    <a:noFill/>
                    <a:ln>
                      <a:noFill/>
                    </a:ln>
                  </pic:spPr>
                </pic:pic>
              </a:graphicData>
            </a:graphic>
          </wp:inline>
        </w:drawing>
      </w:r>
    </w:p>
    <w:p w14:paraId="01F4846C">
      <w:pPr>
        <w:pStyle w:val="5"/>
        <w:bidi w:val="0"/>
        <w:rPr>
          <w:rFonts w:hint="eastAsia"/>
          <w:color w:val="auto"/>
          <w:highlight w:val="none"/>
          <w:lang w:val="en-US" w:eastAsia="zh-CN"/>
        </w:rPr>
      </w:pPr>
      <w:r>
        <w:rPr>
          <w:rFonts w:hint="eastAsia"/>
          <w:color w:val="auto"/>
          <w:highlight w:val="none"/>
          <w:lang w:val="en-US" w:eastAsia="zh-CN"/>
        </w:rPr>
        <w:t>附图2项目地理位置图</w:t>
      </w:r>
    </w:p>
    <w:p w14:paraId="7E4E1F45">
      <w:pPr>
        <w:ind w:left="0" w:leftChars="0" w:firstLine="0" w:firstLineChars="0"/>
        <w:rPr>
          <w:color w:val="auto"/>
          <w:highlight w:val="none"/>
        </w:rPr>
      </w:pPr>
      <w:r>
        <w:rPr>
          <w:color w:val="auto"/>
          <w:highlight w:val="none"/>
        </w:rPr>
        <w:drawing>
          <wp:inline distT="0" distB="0" distL="114300" distR="114300">
            <wp:extent cx="8526145" cy="5408930"/>
            <wp:effectExtent l="0" t="0" r="8255" b="1270"/>
            <wp:docPr id="3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1"/>
                    <pic:cNvPicPr>
                      <a:picLocks noChangeAspect="1"/>
                    </pic:cNvPicPr>
                  </pic:nvPicPr>
                  <pic:blipFill>
                    <a:blip r:embed="rId55"/>
                    <a:stretch>
                      <a:fillRect/>
                    </a:stretch>
                  </pic:blipFill>
                  <pic:spPr>
                    <a:xfrm>
                      <a:off x="0" y="0"/>
                      <a:ext cx="8526145" cy="5408930"/>
                    </a:xfrm>
                    <a:prstGeom prst="rect">
                      <a:avLst/>
                    </a:prstGeom>
                    <a:noFill/>
                    <a:ln>
                      <a:noFill/>
                    </a:ln>
                  </pic:spPr>
                </pic:pic>
              </a:graphicData>
            </a:graphic>
          </wp:inline>
        </w:drawing>
      </w:r>
    </w:p>
    <w:p w14:paraId="5A35DEA4">
      <w:pPr>
        <w:pStyle w:val="5"/>
        <w:bidi w:val="0"/>
        <w:rPr>
          <w:rFonts w:hint="eastAsia"/>
          <w:color w:val="auto"/>
          <w:highlight w:val="none"/>
          <w:lang w:val="en-US" w:eastAsia="zh-CN"/>
        </w:rPr>
      </w:pPr>
      <w:r>
        <w:rPr>
          <w:rFonts w:hint="eastAsia"/>
          <w:color w:val="auto"/>
          <w:highlight w:val="none"/>
          <w:lang w:val="en-US" w:eastAsia="zh-CN"/>
        </w:rPr>
        <w:t>附图3环境保护目标图</w:t>
      </w:r>
    </w:p>
    <w:p w14:paraId="18A82EB5">
      <w:pPr>
        <w:ind w:left="0" w:leftChars="0" w:firstLine="0" w:firstLineChars="0"/>
        <w:jc w:val="center"/>
        <w:rPr>
          <w:color w:val="auto"/>
          <w:highlight w:val="none"/>
        </w:rPr>
      </w:pPr>
      <w:r>
        <w:rPr>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3589020</wp:posOffset>
                </wp:positionH>
                <wp:positionV relativeFrom="paragraph">
                  <wp:posOffset>2162175</wp:posOffset>
                </wp:positionV>
                <wp:extent cx="1720215" cy="405130"/>
                <wp:effectExtent l="1270" t="4445" r="12065" b="9525"/>
                <wp:wrapNone/>
                <wp:docPr id="6" name="直线 18"/>
                <wp:cNvGraphicFramePr/>
                <a:graphic xmlns:a="http://schemas.openxmlformats.org/drawingml/2006/main">
                  <a:graphicData uri="http://schemas.microsoft.com/office/word/2010/wordprocessingShape">
                    <wps:wsp>
                      <wps:cNvCnPr/>
                      <wps:spPr>
                        <a:xfrm flipV="1">
                          <a:off x="0" y="0"/>
                          <a:ext cx="1720215" cy="40513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flip:y;margin-left:282.6pt;margin-top:170.25pt;height:31.9pt;width:135.45pt;z-index:251663360;mso-width-relative:page;mso-height-relative:page;" filled="f" stroked="t" coordsize="21600,21600" o:gfxdata="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9WzRzYAAAACwEAAA8AAAAAAAAAAQAgAAAAIgAAAGRycy9kb3ducmV2LnhtbFBL&#10;AQIUABQAAAAIAIdO4kDgPqx99gEAAOsDAAAOAAAAAAAAAAEAIAAAACcBAABkcnMvZTJvRG9jLnht&#10;bFBLBQYAAAAABgAGAFkBAACPBQAAAAA=&#10;">
                <v:fill on="f" focussize="0,0"/>
                <v:stroke color="#000000" joinstyle="round"/>
                <v:imagedata o:title=""/>
                <o:lock v:ext="edit" aspectratio="f"/>
              </v:line>
            </w:pict>
          </mc:Fallback>
        </mc:AlternateContent>
      </w:r>
      <w:r>
        <w:rPr>
          <w:color w:val="auto"/>
          <w:sz w:val="24"/>
          <w:highlight w:val="none"/>
        </w:rPr>
        <mc:AlternateContent>
          <mc:Choice Requires="wps">
            <w:drawing>
              <wp:anchor distT="0" distB="0" distL="114300" distR="114300" simplePos="0" relativeHeight="251668480" behindDoc="0" locked="0" layoutInCell="1" allowOverlap="1">
                <wp:simplePos x="0" y="0"/>
                <wp:positionH relativeFrom="column">
                  <wp:posOffset>5708650</wp:posOffset>
                </wp:positionH>
                <wp:positionV relativeFrom="paragraph">
                  <wp:posOffset>4104640</wp:posOffset>
                </wp:positionV>
                <wp:extent cx="175895" cy="635"/>
                <wp:effectExtent l="0" t="0" r="0" b="0"/>
                <wp:wrapNone/>
                <wp:docPr id="11" name="直线 23"/>
                <wp:cNvGraphicFramePr/>
                <a:graphic xmlns:a="http://schemas.openxmlformats.org/drawingml/2006/main">
                  <a:graphicData uri="http://schemas.microsoft.com/office/word/2010/wordprocessingShape">
                    <wps:wsp>
                      <wps:cNvCnPr/>
                      <wps:spPr>
                        <a:xfrm flipV="1">
                          <a:off x="0" y="0"/>
                          <a:ext cx="175895" cy="635"/>
                        </a:xfrm>
                        <a:prstGeom prst="line">
                          <a:avLst/>
                        </a:prstGeom>
                        <a:ln w="19050" cap="flat" cmpd="sng">
                          <a:solidFill>
                            <a:srgbClr val="0077D6"/>
                          </a:solidFill>
                          <a:prstDash val="solid"/>
                          <a:headEnd type="none" w="med" len="med"/>
                          <a:tailEnd type="none" w="med" len="med"/>
                        </a:ln>
                      </wps:spPr>
                      <wps:bodyPr upright="1"/>
                    </wps:wsp>
                  </a:graphicData>
                </a:graphic>
              </wp:anchor>
            </w:drawing>
          </mc:Choice>
          <mc:Fallback>
            <w:pict>
              <v:line id="直线 23" o:spid="_x0000_s1026" o:spt="20" style="position:absolute;left:0pt;flip:y;margin-left:449.5pt;margin-top:323.2pt;height:0.05pt;width:13.85pt;z-index:251668480;mso-width-relative:page;mso-height-relative:page;" filled="f" stroked="t" coordsize="21600,21600" o:gfxdata="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GoKdjaAAAACwEAAA8AAAAAAAAAAQAgAAAAIgAAAGRycy9kb3ducmV2LnhtbFBL&#10;AQIUABQAAAAIAIdO4kB+rJ119AEAAOkDAAAOAAAAAAAAAAEAIAAAACkBAABkcnMvZTJvRG9jLnht&#10;bFBLBQYAAAAABgAGAFkBAACPBQAAAAA=&#10;">
                <v:fill on="f" focussize="0,0"/>
                <v:stroke weight="1.5pt" color="#0077D6" joinstyle="round"/>
                <v:imagedata o:title=""/>
                <o:lock v:ext="edit" aspectratio="f"/>
              </v:line>
            </w:pict>
          </mc:Fallback>
        </mc:AlternateContent>
      </w:r>
      <w:r>
        <w:rPr>
          <w:color w:val="auto"/>
          <w:sz w:val="24"/>
          <w:highlight w:val="none"/>
        </w:rPr>
        <mc:AlternateContent>
          <mc:Choice Requires="wps">
            <w:drawing>
              <wp:anchor distT="0" distB="0" distL="114300" distR="114300" simplePos="0" relativeHeight="251667456" behindDoc="0" locked="0" layoutInCell="1" allowOverlap="1">
                <wp:simplePos x="0" y="0"/>
                <wp:positionH relativeFrom="column">
                  <wp:posOffset>5698490</wp:posOffset>
                </wp:positionH>
                <wp:positionV relativeFrom="paragraph">
                  <wp:posOffset>3895090</wp:posOffset>
                </wp:positionV>
                <wp:extent cx="175895" cy="635"/>
                <wp:effectExtent l="0" t="0" r="0" b="0"/>
                <wp:wrapNone/>
                <wp:docPr id="10" name="直线 22"/>
                <wp:cNvGraphicFramePr/>
                <a:graphic xmlns:a="http://schemas.openxmlformats.org/drawingml/2006/main">
                  <a:graphicData uri="http://schemas.microsoft.com/office/word/2010/wordprocessingShape">
                    <wps:wsp>
                      <wps:cNvCnPr/>
                      <wps:spPr>
                        <a:xfrm flipV="1">
                          <a:off x="0" y="0"/>
                          <a:ext cx="175895" cy="635"/>
                        </a:xfrm>
                        <a:prstGeom prst="line">
                          <a:avLst/>
                        </a:prstGeom>
                        <a:ln w="19050" cap="flat" cmpd="sng">
                          <a:solidFill>
                            <a:srgbClr val="01FC02"/>
                          </a:solidFill>
                          <a:prstDash val="solid"/>
                          <a:headEnd type="none" w="med" len="med"/>
                          <a:tailEnd type="none" w="med" len="med"/>
                        </a:ln>
                      </wps:spPr>
                      <wps:bodyPr upright="1"/>
                    </wps:wsp>
                  </a:graphicData>
                </a:graphic>
              </wp:anchor>
            </w:drawing>
          </mc:Choice>
          <mc:Fallback>
            <w:pict>
              <v:line id="直线 22" o:spid="_x0000_s1026" o:spt="20" style="position:absolute;left:0pt;flip:y;margin-left:448.7pt;margin-top:306.7pt;height:0.05pt;width:13.85pt;z-index:251667456;mso-width-relative:page;mso-height-relative:page;" filled="f" stroked="t" coordsize="21600,21600" o:gfxdata="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klm7/XAAAACwEAAA8AAAAAAAAAAQAgAAAAIgAAAGRycy9kb3ducmV2LnhtbFBLAQIU&#10;ABQAAAAIAIdO4kDKYVud9AEAAOkDAAAOAAAAAAAAAAEAIAAAACYBAABkcnMvZTJvRG9jLnhtbFBL&#10;BQYAAAAABgAGAFkBAACMBQAAAAA=&#10;">
                <v:fill on="f" focussize="0,0"/>
                <v:stroke weight="1.5pt" color="#01FC02" joinstyle="round"/>
                <v:imagedata o:title=""/>
                <o:lock v:ext="edit" aspectratio="f"/>
              </v:line>
            </w:pict>
          </mc:Fallback>
        </mc:AlternateContent>
      </w:r>
      <w:r>
        <w:rPr>
          <w:color w:val="auto"/>
          <w:sz w:val="24"/>
          <w:highlight w:val="none"/>
        </w:rPr>
        <mc:AlternateContent>
          <mc:Choice Requires="wps">
            <w:drawing>
              <wp:anchor distT="0" distB="0" distL="114300" distR="114300" simplePos="0" relativeHeight="251666432" behindDoc="0" locked="0" layoutInCell="1" allowOverlap="1">
                <wp:simplePos x="0" y="0"/>
                <wp:positionH relativeFrom="column">
                  <wp:posOffset>5691505</wp:posOffset>
                </wp:positionH>
                <wp:positionV relativeFrom="paragraph">
                  <wp:posOffset>3660775</wp:posOffset>
                </wp:positionV>
                <wp:extent cx="175895" cy="635"/>
                <wp:effectExtent l="0" t="0" r="0" b="0"/>
                <wp:wrapNone/>
                <wp:docPr id="9" name="直线 21"/>
                <wp:cNvGraphicFramePr/>
                <a:graphic xmlns:a="http://schemas.openxmlformats.org/drawingml/2006/main">
                  <a:graphicData uri="http://schemas.microsoft.com/office/word/2010/wordprocessingShape">
                    <wps:wsp>
                      <wps:cNvCnPr/>
                      <wps:spPr>
                        <a:xfrm flipV="1">
                          <a:off x="0" y="0"/>
                          <a:ext cx="175895" cy="635"/>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21" o:spid="_x0000_s1026" o:spt="20" style="position:absolute;left:0pt;flip:y;margin-left:448.15pt;margin-top:288.25pt;height:0.05pt;width:13.85pt;z-index:251666432;mso-width-relative:page;mso-height-relative:page;" filled="f" stroked="t" coordsize="21600,21600" o:gfxdata="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w4SBtoAAAALAQAADwAAAAAAAAABACAAAAAiAAAAZHJzL2Rvd25yZXYueG1sUEsB&#10;AhQAFAAAAAgAh07iQHH0e4vzAQAA6AMAAA4AAAAAAAAAAQAgAAAAKQEAAGRycy9lMm9Eb2MueG1s&#10;UEsFBgAAAAAGAAYAWQEAAI4FAAAAAA==&#10;">
                <v:fill on="f" focussize="0,0"/>
                <v:stroke weight="1.5pt" color="#FF0000" joinstyle="round"/>
                <v:imagedata o:title=""/>
                <o:lock v:ext="edit" aspectratio="f"/>
              </v:line>
            </w:pict>
          </mc:Fallback>
        </mc:AlternateContent>
      </w:r>
      <w:r>
        <w:rPr>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5575935</wp:posOffset>
                </wp:positionH>
                <wp:positionV relativeFrom="paragraph">
                  <wp:posOffset>3244850</wp:posOffset>
                </wp:positionV>
                <wp:extent cx="1668145" cy="1110615"/>
                <wp:effectExtent l="4445" t="4445" r="22860" b="8890"/>
                <wp:wrapNone/>
                <wp:docPr id="8" name="文本框 20"/>
                <wp:cNvGraphicFramePr/>
                <a:graphic xmlns:a="http://schemas.openxmlformats.org/drawingml/2006/main">
                  <a:graphicData uri="http://schemas.microsoft.com/office/word/2010/wordprocessingShape">
                    <wps:wsp>
                      <wps:cNvSpPr txBox="1"/>
                      <wps:spPr>
                        <a:xfrm>
                          <a:off x="0" y="0"/>
                          <a:ext cx="1668145" cy="11106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F63189">
                            <w:pPr>
                              <w:ind w:left="0" w:leftChars="0" w:firstLine="0" w:firstLineChars="0"/>
                              <w:jc w:val="center"/>
                              <w:rPr>
                                <w:rFonts w:hint="eastAsia" w:eastAsia="宋体"/>
                                <w:lang w:val="en-US" w:eastAsia="zh-CN"/>
                              </w:rPr>
                            </w:pPr>
                            <w:r>
                              <w:rPr>
                                <w:rFonts w:hint="eastAsia"/>
                                <w:lang w:val="en-US" w:eastAsia="zh-CN"/>
                              </w:rPr>
                              <w:t>图例</w:t>
                            </w:r>
                          </w:p>
                          <w:p w14:paraId="1E8163B6">
                            <w:pPr>
                              <w:ind w:left="0" w:leftChars="0" w:firstLine="360" w:firstLineChars="200"/>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厂界</w:t>
                            </w:r>
                          </w:p>
                          <w:p w14:paraId="2BFE8DC6">
                            <w:pPr>
                              <w:ind w:left="0" w:leftChars="0" w:firstLine="360" w:firstLineChars="200"/>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项目位置</w:t>
                            </w:r>
                          </w:p>
                          <w:p w14:paraId="66C8F5AA">
                            <w:pPr>
                              <w:ind w:left="0" w:leftChars="0" w:firstLine="360" w:firstLineChars="200"/>
                            </w:pPr>
                            <w:r>
                              <w:rPr>
                                <w:rFonts w:hint="eastAsia"/>
                                <w:sz w:val="18"/>
                                <w:szCs w:val="18"/>
                                <w:lang w:val="en-US" w:eastAsia="zh-CN"/>
                              </w:rPr>
                              <w:t>环境空气保护目标范围</w:t>
                            </w:r>
                          </w:p>
                        </w:txbxContent>
                      </wps:txbx>
                      <wps:bodyPr vert="horz" wrap="square" anchor="t" anchorCtr="0" upright="1"/>
                    </wps:wsp>
                  </a:graphicData>
                </a:graphic>
              </wp:anchor>
            </w:drawing>
          </mc:Choice>
          <mc:Fallback>
            <w:pict>
              <v:shape id="文本框 20" o:spid="_x0000_s1026" o:spt="202" type="#_x0000_t202" style="position:absolute;left:0pt;margin-left:439.05pt;margin-top:255.5pt;height:87.45pt;width:131.35pt;z-index:251665408;mso-width-relative:page;mso-height-relative:page;" fillcolor="#FFFFFF" filled="t" stroked="t" coordsize="21600,21600" o:gfxdata="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nY/RNoAAAAMAQAADwAAAAAAAAABACAAAAAiAAAAZHJzL2Rvd25yZXYueG1sUEsBAhQA&#10;FAAAAAgAh07iQCRZh2wpAgAAawQAAA4AAAAAAAAAAQAgAAAAKQEAAGRycy9lMm9Eb2MueG1sUEsF&#10;BgAAAAAGAAYAWQEAAMQFAAAAAA==&#10;">
                <v:fill on="t" focussize="0,0"/>
                <v:stroke color="#000000" joinstyle="miter"/>
                <v:imagedata o:title=""/>
                <o:lock v:ext="edit" aspectratio="f"/>
                <v:textbox>
                  <w:txbxContent>
                    <w:p w14:paraId="13F63189">
                      <w:pPr>
                        <w:ind w:left="0" w:leftChars="0" w:firstLine="0" w:firstLineChars="0"/>
                        <w:jc w:val="center"/>
                        <w:rPr>
                          <w:rFonts w:hint="eastAsia" w:eastAsia="宋体"/>
                          <w:lang w:val="en-US" w:eastAsia="zh-CN"/>
                        </w:rPr>
                      </w:pPr>
                      <w:r>
                        <w:rPr>
                          <w:rFonts w:hint="eastAsia"/>
                          <w:lang w:val="en-US" w:eastAsia="zh-CN"/>
                        </w:rPr>
                        <w:t>图例</w:t>
                      </w:r>
                    </w:p>
                    <w:p w14:paraId="1E8163B6">
                      <w:pPr>
                        <w:ind w:left="0" w:leftChars="0" w:firstLine="360" w:firstLineChars="200"/>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厂界</w:t>
                      </w:r>
                    </w:p>
                    <w:p w14:paraId="2BFE8DC6">
                      <w:pPr>
                        <w:ind w:left="0" w:leftChars="0" w:firstLine="360" w:firstLineChars="200"/>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项目位置</w:t>
                      </w:r>
                    </w:p>
                    <w:p w14:paraId="66C8F5AA">
                      <w:pPr>
                        <w:ind w:left="0" w:leftChars="0" w:firstLine="360" w:firstLineChars="200"/>
                      </w:pPr>
                      <w:r>
                        <w:rPr>
                          <w:rFonts w:hint="eastAsia"/>
                          <w:sz w:val="18"/>
                          <w:szCs w:val="18"/>
                          <w:lang w:val="en-US" w:eastAsia="zh-CN"/>
                        </w:rPr>
                        <w:t>环境空气保护目标范围</w:t>
                      </w:r>
                    </w:p>
                  </w:txbxContent>
                </v:textbox>
              </v:shape>
            </w:pict>
          </mc:Fallback>
        </mc:AlternateContent>
      </w:r>
      <w:r>
        <w:rPr>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4192905</wp:posOffset>
                </wp:positionH>
                <wp:positionV relativeFrom="paragraph">
                  <wp:posOffset>2046605</wp:posOffset>
                </wp:positionV>
                <wp:extent cx="914400" cy="271780"/>
                <wp:effectExtent l="0" t="0" r="0" b="0"/>
                <wp:wrapNone/>
                <wp:docPr id="7" name="文本框 19"/>
                <wp:cNvGraphicFramePr/>
                <a:graphic xmlns:a="http://schemas.openxmlformats.org/drawingml/2006/main">
                  <a:graphicData uri="http://schemas.microsoft.com/office/word/2010/wordprocessingShape">
                    <wps:wsp>
                      <wps:cNvSpPr txBox="1"/>
                      <wps:spPr>
                        <a:xfrm rot="-1080000">
                          <a:off x="0" y="0"/>
                          <a:ext cx="914400" cy="271780"/>
                        </a:xfrm>
                        <a:prstGeom prst="rect">
                          <a:avLst/>
                        </a:prstGeom>
                        <a:noFill/>
                        <a:ln>
                          <a:noFill/>
                        </a:ln>
                      </wps:spPr>
                      <wps:txbx>
                        <w:txbxContent>
                          <w:p w14:paraId="53706B61">
                            <w:pPr>
                              <w:ind w:left="0" w:leftChars="0" w:firstLine="0" w:firstLineChars="0"/>
                              <w:rPr>
                                <w:rFonts w:hint="default" w:eastAsia="宋体"/>
                                <w:color w:val="FF0000"/>
                                <w:lang w:val="en-US" w:eastAsia="zh-CN"/>
                              </w:rPr>
                            </w:pPr>
                            <w:r>
                              <w:rPr>
                                <w:rFonts w:hint="eastAsia"/>
                                <w:color w:val="FF0000"/>
                                <w:lang w:val="en-US" w:eastAsia="zh-CN"/>
                              </w:rPr>
                              <w:t>500m</w:t>
                            </w:r>
                          </w:p>
                        </w:txbxContent>
                      </wps:txbx>
                      <wps:bodyPr vert="horz" wrap="square" anchor="t" anchorCtr="0" upright="1"/>
                    </wps:wsp>
                  </a:graphicData>
                </a:graphic>
              </wp:anchor>
            </w:drawing>
          </mc:Choice>
          <mc:Fallback>
            <w:pict>
              <v:shape id="文本框 19" o:spid="_x0000_s1026" o:spt="202" type="#_x0000_t202" style="position:absolute;left:0pt;margin-left:330.15pt;margin-top:161.15pt;height:21.4pt;width:72pt;rotation:-1179648f;z-index:251664384;mso-width-relative:page;mso-height-relative:page;" filled="f" stroked="f" coordsize="21600,21600" o:gfxdata="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5FAgNgAAAALAQAADwAAAAAAAAAB&#10;ACAAAAAiAAAAZHJzL2Rvd25yZXYueG1sUEsBAhQAFAAAAAgAh07iQDT5UdzXAQAAkAMAAA4AAAAA&#10;AAAAAQAgAAAAJwEAAGRycy9lMm9Eb2MueG1sUEsFBgAAAAAGAAYAWQEAAHAFAAAAAA==&#10;">
                <v:fill on="f" focussize="0,0"/>
                <v:stroke on="f"/>
                <v:imagedata o:title=""/>
                <o:lock v:ext="edit" aspectratio="f"/>
                <v:textbox>
                  <w:txbxContent>
                    <w:p w14:paraId="53706B61">
                      <w:pPr>
                        <w:ind w:left="0" w:leftChars="0" w:firstLine="0" w:firstLineChars="0"/>
                        <w:rPr>
                          <w:rFonts w:hint="default" w:eastAsia="宋体"/>
                          <w:color w:val="FF0000"/>
                          <w:lang w:val="en-US" w:eastAsia="zh-CN"/>
                        </w:rPr>
                      </w:pPr>
                      <w:r>
                        <w:rPr>
                          <w:rFonts w:hint="eastAsia"/>
                          <w:color w:val="FF0000"/>
                          <w:lang w:val="en-US" w:eastAsia="zh-CN"/>
                        </w:rPr>
                        <w:t>500m</w:t>
                      </w:r>
                    </w:p>
                  </w:txbxContent>
                </v:textbox>
              </v:shape>
            </w:pict>
          </mc:Fallback>
        </mc:AlternateContent>
      </w:r>
      <w:r>
        <w:rPr>
          <w:color w:val="auto"/>
          <w:highlight w:val="none"/>
        </w:rPr>
        <w:drawing>
          <wp:inline distT="0" distB="0" distL="114300" distR="114300">
            <wp:extent cx="6026785" cy="5325745"/>
            <wp:effectExtent l="0" t="0" r="12065" b="8255"/>
            <wp:docPr id="3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7"/>
                    <pic:cNvPicPr>
                      <a:picLocks noChangeAspect="1"/>
                    </pic:cNvPicPr>
                  </pic:nvPicPr>
                  <pic:blipFill>
                    <a:blip r:embed="rId56"/>
                    <a:stretch>
                      <a:fillRect/>
                    </a:stretch>
                  </pic:blipFill>
                  <pic:spPr>
                    <a:xfrm>
                      <a:off x="0" y="0"/>
                      <a:ext cx="6026785" cy="5325745"/>
                    </a:xfrm>
                    <a:prstGeom prst="rect">
                      <a:avLst/>
                    </a:prstGeom>
                    <a:noFill/>
                    <a:ln>
                      <a:noFill/>
                    </a:ln>
                  </pic:spPr>
                </pic:pic>
              </a:graphicData>
            </a:graphic>
          </wp:inline>
        </w:drawing>
      </w:r>
    </w:p>
    <w:p w14:paraId="75E11127">
      <w:pPr>
        <w:pStyle w:val="5"/>
        <w:bidi w:val="0"/>
        <w:rPr>
          <w:rFonts w:hint="eastAsia"/>
          <w:color w:val="auto"/>
          <w:highlight w:val="none"/>
          <w:lang w:val="en-US" w:eastAsia="zh-CN"/>
        </w:rPr>
      </w:pPr>
      <w:r>
        <w:rPr>
          <w:rFonts w:hint="eastAsia"/>
          <w:color w:val="auto"/>
          <w:highlight w:val="none"/>
          <w:lang w:val="en-US" w:eastAsia="zh-CN"/>
        </w:rPr>
        <w:t>附图4平面布置图</w:t>
      </w:r>
    </w:p>
    <w:p w14:paraId="12FAC991">
      <w:pPr>
        <w:ind w:left="0" w:leftChars="0" w:firstLine="0" w:firstLineChars="0"/>
        <w:rPr>
          <w:rFonts w:hint="default"/>
          <w:color w:val="auto"/>
          <w:highlight w:val="none"/>
          <w:lang w:val="en-US" w:eastAsia="zh-CN"/>
        </w:rPr>
      </w:pPr>
      <w:r>
        <w:rPr>
          <w:rFonts w:hint="default"/>
          <w:color w:val="auto"/>
          <w:highlight w:val="none"/>
          <w:lang w:val="en-US" w:eastAsia="zh-CN"/>
        </w:rPr>
        <w:drawing>
          <wp:inline distT="0" distB="0" distL="114300" distR="114300">
            <wp:extent cx="8518525" cy="5329555"/>
            <wp:effectExtent l="0" t="0" r="0" b="0"/>
            <wp:docPr id="49" name="ECB019B1-382A-4266-B25C-5B523AA43C14-2" descr="C:/Users/Lenovo/AppData/Local/Temp/wps.ySIwbC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CB019B1-382A-4266-B25C-5B523AA43C14-2" descr="C:/Users/Lenovo/AppData/Local/Temp/wps.ySIwbCwps"/>
                    <pic:cNvPicPr>
                      <a:picLocks noChangeAspect="1"/>
                    </pic:cNvPicPr>
                  </pic:nvPicPr>
                  <pic:blipFill>
                    <a:blip r:embed="rId57"/>
                    <a:stretch>
                      <a:fillRect/>
                    </a:stretch>
                  </pic:blipFill>
                  <pic:spPr>
                    <a:xfrm>
                      <a:off x="0" y="0"/>
                      <a:ext cx="8518525" cy="5329555"/>
                    </a:xfrm>
                    <a:prstGeom prst="rect">
                      <a:avLst/>
                    </a:prstGeom>
                  </pic:spPr>
                </pic:pic>
              </a:graphicData>
            </a:graphic>
          </wp:inline>
        </w:drawing>
      </w:r>
    </w:p>
    <w:sectPr>
      <w:pgSz w:w="16838" w:h="11906" w:orient="landscape"/>
      <w:pgMar w:top="1531" w:right="1701" w:bottom="1531" w:left="1701" w:header="851" w:footer="851" w:gutter="0"/>
      <w:pgBorders>
        <w:top w:val="none" w:sz="0" w:space="0"/>
        <w:left w:val="none" w:sz="0" w:space="0"/>
        <w:bottom w:val="none" w:sz="0" w:space="0"/>
        <w:right w:val="none" w:sz="0" w:space="0"/>
      </w:pgBorders>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A05AD7-E744-4E02-A22A-5A336D2ECC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embedRegular r:id="rId2" w:fontKey="{C724AC00-E976-4883-A67B-327294302291}"/>
  </w:font>
  <w:font w:name="仿宋_GB2312">
    <w:panose1 w:val="02010609030101010101"/>
    <w:charset w:val="86"/>
    <w:family w:val="modern"/>
    <w:pitch w:val="default"/>
    <w:sig w:usb0="00000001" w:usb1="080E0000" w:usb2="00000000" w:usb3="00000000" w:csb0="00040000" w:csb1="00000000"/>
    <w:embedRegular r:id="rId3" w:fontKey="{CA82966E-C0C8-432B-9AC4-199040D840A5}"/>
  </w:font>
  <w:font w:name="方正小标宋_GBK">
    <w:panose1 w:val="02000000000000000000"/>
    <w:charset w:val="86"/>
    <w:family w:val="script"/>
    <w:pitch w:val="default"/>
    <w:sig w:usb0="00000001" w:usb1="080E0000" w:usb2="00000000" w:usb3="00000000" w:csb0="00040000" w:csb1="00000000"/>
    <w:embedRegular r:id="rId4" w:fontKey="{6674CF86-AAAF-4E97-A80A-AB244191AD6D}"/>
  </w:font>
  <w:font w:name="华文仿宋">
    <w:panose1 w:val="02010600040101010101"/>
    <w:charset w:val="86"/>
    <w:family w:val="auto"/>
    <w:pitch w:val="default"/>
    <w:sig w:usb0="00000287" w:usb1="080F0000" w:usb2="00000000" w:usb3="00000000" w:csb0="0004009F" w:csb1="DFD70000"/>
    <w:embedRegular r:id="rId5" w:fontKey="{DBD07F4D-E54F-4CCE-BE89-A042E923EE57}"/>
  </w:font>
  <w:font w:name="仿宋">
    <w:panose1 w:val="02010609060101010101"/>
    <w:charset w:val="86"/>
    <w:family w:val="modern"/>
    <w:pitch w:val="default"/>
    <w:sig w:usb0="800002BF" w:usb1="38CF7CFA" w:usb2="00000016" w:usb3="00000000" w:csb0="00040001" w:csb1="00000000"/>
    <w:embedRegular r:id="rId6" w:fontKey="{8F4BA56F-4392-4BF6-BAE2-48CBF6D3CA41}"/>
  </w:font>
  <w:font w:name="Cambria Math">
    <w:panose1 w:val="02040503050406030204"/>
    <w:charset w:val="00"/>
    <w:family w:val="roman"/>
    <w:pitch w:val="default"/>
    <w:sig w:usb0="E00006FF" w:usb1="420024FF" w:usb2="02000000" w:usb3="00000000" w:csb0="2000019F" w:csb1="00000000"/>
    <w:embedRegular r:id="rId7" w:fontKey="{C8C90737-67EE-4DAE-B1FE-6BF281AC28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25152">
    <w:pPr>
      <w:pStyle w:val="1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7B4FE">
    <w:pPr>
      <w:pStyle w:val="15"/>
      <w:framePr w:wrap="around" w:vAnchor="text" w:hAnchor="margin" w:xAlign="center" w:y="1"/>
      <w:rPr>
        <w:rStyle w:val="30"/>
      </w:rPr>
    </w:pPr>
    <w:r>
      <w:fldChar w:fldCharType="begin"/>
    </w:r>
    <w:r>
      <w:rPr>
        <w:rStyle w:val="30"/>
      </w:rPr>
      <w:instrText xml:space="preserve">PAGE  </w:instrText>
    </w:r>
    <w:r>
      <w:fldChar w:fldCharType="end"/>
    </w:r>
  </w:p>
  <w:p w14:paraId="42EE13C8">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93948">
    <w:pPr>
      <w:pStyle w:val="15"/>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14294A">
                          <w:pPr>
                            <w:pStyle w:val="15"/>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zRbOSOIBAADCAwAADgAA&#10;AAAAAAABACAAAAAeAQAAZHJzL2Uyb0RvYy54bWxQSwUGAAAAAAYABgBZAQAAcgUAAAAA&#10;">
              <v:fill on="f" focussize="0,0"/>
              <v:stroke on="f"/>
              <v:imagedata o:title=""/>
              <o:lock v:ext="edit" aspectratio="f"/>
              <v:textbox inset="0mm,0mm,0mm,0mm" style="mso-fit-shape-to-text:t;">
                <w:txbxContent>
                  <w:p w14:paraId="7C14294A">
                    <w:pPr>
                      <w:pStyle w:val="15"/>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75517">
    <w:pPr>
      <w:pStyle w:val="15"/>
      <w:ind w:right="360" w:firstLine="360"/>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3228FC">
                          <w:pPr>
                            <w:pStyle w:val="1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ZLmGkc0BAACdAwAADgAAAAAAAAABACAAAAAeAQAAZHJzL2Uy&#10;b0RvYy54bWxQSwUGAAAAAAYABgBZAQAAXQUAAAAA&#10;">
              <v:fill on="f" focussize="0,0"/>
              <v:stroke on="f"/>
              <v:imagedata o:title=""/>
              <o:lock v:ext="edit" aspectratio="f"/>
              <v:textbox inset="0mm,0mm,0mm,0mm" style="mso-fit-shape-to-text:t;">
                <w:txbxContent>
                  <w:p w14:paraId="453228FC">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F9A73">
    <w:pPr>
      <w:pStyle w:val="15"/>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8357DD">
                          <w:pPr>
                            <w:pStyle w:val="15"/>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XF2FQeIBAADCAwAADgAA&#10;AAAAAAABACAAAAAeAQAAZHJzL2Uyb0RvYy54bWxQSwUGAAAAAAYABgBZAQAAcgUAAAAA&#10;">
              <v:fill on="f" focussize="0,0"/>
              <v:stroke on="f"/>
              <v:imagedata o:title=""/>
              <o:lock v:ext="edit" aspectratio="f"/>
              <v:textbox inset="0mm,0mm,0mm,0mm" style="mso-fit-shape-to-text:t;">
                <w:txbxContent>
                  <w:p w14:paraId="5E8357DD">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7CCB0">
    <w:pPr>
      <w:pStyle w:val="15"/>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C98F51">
                          <w:pPr>
                            <w:pStyle w:val="15"/>
                          </w:pPr>
                          <w:r>
                            <w:fldChar w:fldCharType="begin"/>
                          </w:r>
                          <w:r>
                            <w:instrText xml:space="preserve"> PAGE  \* MERGEFORMAT </w:instrText>
                          </w:r>
                          <w:r>
                            <w:fldChar w:fldCharType="separate"/>
                          </w:r>
                          <w:r>
                            <w:t>7</w:t>
                          </w:r>
                          <w:r>
                            <w:fldChar w:fldCharType="end"/>
                          </w:r>
                        </w:p>
                      </w:txbxContent>
                    </wps:txbx>
                    <wps:bodyPr vert="horz" wrap="none" lIns="0" tIns="0" rIns="0" bIns="0" anchor="t" anchorCtr="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OPaVs+IBAADCAwAADgAA&#10;AAAAAAABACAAAAAeAQAAZHJzL2Uyb0RvYy54bWxQSwUGAAAAAAYABgBZAQAAcgUAAAAA&#10;">
              <v:fill on="f" focussize="0,0"/>
              <v:stroke on="f"/>
              <v:imagedata o:title=""/>
              <o:lock v:ext="edit" aspectratio="f"/>
              <v:textbox inset="0mm,0mm,0mm,0mm" style="mso-fit-shape-to-text:t;">
                <w:txbxContent>
                  <w:p w14:paraId="53C98F51">
                    <w:pPr>
                      <w:pStyle w:val="15"/>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D7399">
    <w:pPr>
      <w:pStyle w:val="15"/>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03699D">
                          <w:pPr>
                            <w:pStyle w:val="15"/>
                            <w:ind w:left="0" w:leftChars="0" w:firstLine="0" w:firstLineChars="0"/>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k65b6+IBAADCAwAADgAA&#10;AAAAAAABACAAAAAeAQAAZHJzL2Uyb0RvYy54bWxQSwUGAAAAAAYABgBZAQAAcgUAAAAA&#10;">
              <v:fill on="f" focussize="0,0"/>
              <v:stroke on="f"/>
              <v:imagedata o:title=""/>
              <o:lock v:ext="edit" aspectratio="f"/>
              <v:textbox inset="0mm,0mm,0mm,0mm" style="mso-fit-shape-to-text:t;">
                <w:txbxContent>
                  <w:p w14:paraId="3E03699D">
                    <w:pPr>
                      <w:pStyle w:val="15"/>
                      <w:ind w:left="0" w:leftChars="0" w:firstLine="0" w:firstLineChars="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85050">
    <w:pPr>
      <w:pStyle w:val="1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67CBB">
    <w:pPr>
      <w:pStyle w:val="16"/>
      <w:keepNext w:val="0"/>
      <w:keepLines w:val="0"/>
      <w:pageBreakBefore w:val="0"/>
      <w:widowControl w:val="0"/>
      <w:pBdr>
        <w:top w:val="none" w:color="auto" w:sz="0" w:space="1"/>
        <w:left w:val="none" w:color="auto" w:sz="0" w:space="4"/>
        <w:bottom w:val="thinThickSmallGap" w:color="auto" w:sz="12" w:space="1"/>
        <w:right w:val="none" w:color="auto" w:sz="0" w:space="4"/>
        <w:between w:val="none" w:color="auto" w:sz="0" w:space="0"/>
      </w:pBdr>
      <w:kinsoku/>
      <w:wordWrap/>
      <w:overflowPunct/>
      <w:topLinePunct w:val="0"/>
      <w:bidi w:val="0"/>
      <w:adjustRightInd/>
      <w:snapToGrid w:val="0"/>
      <w:spacing w:line="240" w:lineRule="auto"/>
      <w:ind w:firstLine="0" w:firstLineChars="0"/>
      <w:jc w:val="both"/>
      <w:textAlignment w:val="auto"/>
    </w:pPr>
    <w:r>
      <w:rPr>
        <w:rFonts w:hint="eastAsia"/>
        <w:lang w:val="en-US" w:eastAsia="zh-CN"/>
      </w:rPr>
      <w:t>鄂尔多斯市北创智能装备有限公司喷漆房建设项目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D30332"/>
    <w:multiLevelType w:val="singleLevel"/>
    <w:tmpl w:val="14D30332"/>
    <w:lvl w:ilvl="0" w:tentative="0">
      <w:start w:val="1"/>
      <w:numFmt w:val="bullet"/>
      <w:pStyle w:val="12"/>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yZWY4NzczNWEzNjAxOTdkOWVjYTQ2MWQ0OTUwZDM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2588"/>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383FF3"/>
    <w:rsid w:val="015D1E09"/>
    <w:rsid w:val="01875DDB"/>
    <w:rsid w:val="02355837"/>
    <w:rsid w:val="02697903"/>
    <w:rsid w:val="02D45050"/>
    <w:rsid w:val="02F96569"/>
    <w:rsid w:val="03C74F1D"/>
    <w:rsid w:val="03D251BA"/>
    <w:rsid w:val="03EA7B21"/>
    <w:rsid w:val="04043713"/>
    <w:rsid w:val="04D3021F"/>
    <w:rsid w:val="05F83EAE"/>
    <w:rsid w:val="063E7D85"/>
    <w:rsid w:val="06B156A8"/>
    <w:rsid w:val="07293586"/>
    <w:rsid w:val="07295285"/>
    <w:rsid w:val="07636392"/>
    <w:rsid w:val="076E3F95"/>
    <w:rsid w:val="07770C56"/>
    <w:rsid w:val="092217DD"/>
    <w:rsid w:val="092776B7"/>
    <w:rsid w:val="093A7294"/>
    <w:rsid w:val="097906FF"/>
    <w:rsid w:val="0A263993"/>
    <w:rsid w:val="0A2D3AC2"/>
    <w:rsid w:val="0AA755DF"/>
    <w:rsid w:val="0B120D44"/>
    <w:rsid w:val="0BD27BF6"/>
    <w:rsid w:val="0C3B3C7D"/>
    <w:rsid w:val="0C7F01E4"/>
    <w:rsid w:val="0C8C0749"/>
    <w:rsid w:val="0CAB2EAE"/>
    <w:rsid w:val="0D417035"/>
    <w:rsid w:val="0D621C7D"/>
    <w:rsid w:val="0E73034D"/>
    <w:rsid w:val="0F13775A"/>
    <w:rsid w:val="0F5F45FE"/>
    <w:rsid w:val="0F664ADF"/>
    <w:rsid w:val="0F9A112B"/>
    <w:rsid w:val="0FC14148"/>
    <w:rsid w:val="106D2F64"/>
    <w:rsid w:val="10A20412"/>
    <w:rsid w:val="10B63710"/>
    <w:rsid w:val="10BE7CBE"/>
    <w:rsid w:val="10F10820"/>
    <w:rsid w:val="111C2F7A"/>
    <w:rsid w:val="11665CA1"/>
    <w:rsid w:val="12B46304"/>
    <w:rsid w:val="13951726"/>
    <w:rsid w:val="14396509"/>
    <w:rsid w:val="14A22A81"/>
    <w:rsid w:val="14DD2C3C"/>
    <w:rsid w:val="150030B9"/>
    <w:rsid w:val="15F1786F"/>
    <w:rsid w:val="16087E1D"/>
    <w:rsid w:val="1636770B"/>
    <w:rsid w:val="163A06DC"/>
    <w:rsid w:val="17701D14"/>
    <w:rsid w:val="17735226"/>
    <w:rsid w:val="189F624C"/>
    <w:rsid w:val="19592352"/>
    <w:rsid w:val="1A1C66C0"/>
    <w:rsid w:val="1A42393B"/>
    <w:rsid w:val="1AA72BF2"/>
    <w:rsid w:val="1AAD45DE"/>
    <w:rsid w:val="1B046F80"/>
    <w:rsid w:val="1B3267B5"/>
    <w:rsid w:val="1B40161D"/>
    <w:rsid w:val="1B441859"/>
    <w:rsid w:val="1B6606B1"/>
    <w:rsid w:val="1C5E7925"/>
    <w:rsid w:val="1CBD66FD"/>
    <w:rsid w:val="1CFD070F"/>
    <w:rsid w:val="1D3B1A1B"/>
    <w:rsid w:val="1D48246B"/>
    <w:rsid w:val="1D5F6196"/>
    <w:rsid w:val="1D6132A5"/>
    <w:rsid w:val="1D8E56D5"/>
    <w:rsid w:val="1E236A34"/>
    <w:rsid w:val="1E403142"/>
    <w:rsid w:val="1E7A43DA"/>
    <w:rsid w:val="1FA140B4"/>
    <w:rsid w:val="1FE7539E"/>
    <w:rsid w:val="20671BE0"/>
    <w:rsid w:val="20963CB8"/>
    <w:rsid w:val="20A81A1B"/>
    <w:rsid w:val="20B07FB6"/>
    <w:rsid w:val="20B646FB"/>
    <w:rsid w:val="20C60443"/>
    <w:rsid w:val="20D5588B"/>
    <w:rsid w:val="213B74B1"/>
    <w:rsid w:val="215A2310"/>
    <w:rsid w:val="2173141D"/>
    <w:rsid w:val="21DE318A"/>
    <w:rsid w:val="21EF5B80"/>
    <w:rsid w:val="22266AF2"/>
    <w:rsid w:val="22576990"/>
    <w:rsid w:val="22F47480"/>
    <w:rsid w:val="236C49D9"/>
    <w:rsid w:val="2375388E"/>
    <w:rsid w:val="23DE1C48"/>
    <w:rsid w:val="240210CD"/>
    <w:rsid w:val="24BF09F7"/>
    <w:rsid w:val="24EB7E0B"/>
    <w:rsid w:val="252D53FE"/>
    <w:rsid w:val="25EC2D81"/>
    <w:rsid w:val="277057A2"/>
    <w:rsid w:val="28E026ED"/>
    <w:rsid w:val="29206EB8"/>
    <w:rsid w:val="29595666"/>
    <w:rsid w:val="29874881"/>
    <w:rsid w:val="29E325E0"/>
    <w:rsid w:val="2A452503"/>
    <w:rsid w:val="2BA936A8"/>
    <w:rsid w:val="2C315A5A"/>
    <w:rsid w:val="2C4B1C25"/>
    <w:rsid w:val="2CA709F3"/>
    <w:rsid w:val="2D9E56F5"/>
    <w:rsid w:val="2E667F96"/>
    <w:rsid w:val="2E6E5AA9"/>
    <w:rsid w:val="2E8226AB"/>
    <w:rsid w:val="2F612F58"/>
    <w:rsid w:val="2FA44190"/>
    <w:rsid w:val="2FD065E6"/>
    <w:rsid w:val="2FD96870"/>
    <w:rsid w:val="30580BC9"/>
    <w:rsid w:val="311E2ED7"/>
    <w:rsid w:val="315619EE"/>
    <w:rsid w:val="315C449C"/>
    <w:rsid w:val="31B82709"/>
    <w:rsid w:val="31D05482"/>
    <w:rsid w:val="31DE175D"/>
    <w:rsid w:val="32400B34"/>
    <w:rsid w:val="329E6876"/>
    <w:rsid w:val="333015F2"/>
    <w:rsid w:val="334B6320"/>
    <w:rsid w:val="338B6DEA"/>
    <w:rsid w:val="33D934D4"/>
    <w:rsid w:val="33FE2F6A"/>
    <w:rsid w:val="340E07E5"/>
    <w:rsid w:val="34235BF7"/>
    <w:rsid w:val="358C5FA8"/>
    <w:rsid w:val="35C15DF1"/>
    <w:rsid w:val="36074A7F"/>
    <w:rsid w:val="36923549"/>
    <w:rsid w:val="36B75FBF"/>
    <w:rsid w:val="36BD0C45"/>
    <w:rsid w:val="36E2258A"/>
    <w:rsid w:val="3747333B"/>
    <w:rsid w:val="379B18CA"/>
    <w:rsid w:val="37E00298"/>
    <w:rsid w:val="38B302F9"/>
    <w:rsid w:val="38F12CD3"/>
    <w:rsid w:val="38F94775"/>
    <w:rsid w:val="392971ED"/>
    <w:rsid w:val="39325651"/>
    <w:rsid w:val="3971469F"/>
    <w:rsid w:val="39C421D4"/>
    <w:rsid w:val="3A872856"/>
    <w:rsid w:val="3B3763D1"/>
    <w:rsid w:val="3BB4400E"/>
    <w:rsid w:val="3C2F6E1E"/>
    <w:rsid w:val="3C4F64BA"/>
    <w:rsid w:val="3CDA245A"/>
    <w:rsid w:val="3D1E06B7"/>
    <w:rsid w:val="3DA22D23"/>
    <w:rsid w:val="3DA4796A"/>
    <w:rsid w:val="3DDA0CE2"/>
    <w:rsid w:val="3DE2791A"/>
    <w:rsid w:val="3EDA0523"/>
    <w:rsid w:val="3FFC610F"/>
    <w:rsid w:val="407A6407"/>
    <w:rsid w:val="4200449D"/>
    <w:rsid w:val="421075C9"/>
    <w:rsid w:val="423A3BCC"/>
    <w:rsid w:val="424E57D2"/>
    <w:rsid w:val="42B26C49"/>
    <w:rsid w:val="430F2EFC"/>
    <w:rsid w:val="433A6FE6"/>
    <w:rsid w:val="43480868"/>
    <w:rsid w:val="4350713C"/>
    <w:rsid w:val="436653E0"/>
    <w:rsid w:val="43C4431A"/>
    <w:rsid w:val="43C7383A"/>
    <w:rsid w:val="44B951CC"/>
    <w:rsid w:val="44CD14E0"/>
    <w:rsid w:val="44F20B0B"/>
    <w:rsid w:val="452E5F4C"/>
    <w:rsid w:val="45612018"/>
    <w:rsid w:val="458946E9"/>
    <w:rsid w:val="45A47C0E"/>
    <w:rsid w:val="46577FD6"/>
    <w:rsid w:val="46B41ACF"/>
    <w:rsid w:val="46D955A7"/>
    <w:rsid w:val="47133957"/>
    <w:rsid w:val="47A07E0C"/>
    <w:rsid w:val="4870272E"/>
    <w:rsid w:val="48D55147"/>
    <w:rsid w:val="49292CBC"/>
    <w:rsid w:val="499B14DA"/>
    <w:rsid w:val="49DC7715"/>
    <w:rsid w:val="4A023139"/>
    <w:rsid w:val="4A193C5A"/>
    <w:rsid w:val="4A7B576F"/>
    <w:rsid w:val="4AF561A9"/>
    <w:rsid w:val="4C4A0649"/>
    <w:rsid w:val="4C7E5ECA"/>
    <w:rsid w:val="4C876AA5"/>
    <w:rsid w:val="4D0E00FB"/>
    <w:rsid w:val="4D176606"/>
    <w:rsid w:val="4DE8262D"/>
    <w:rsid w:val="4DEC4FB0"/>
    <w:rsid w:val="4E075D8A"/>
    <w:rsid w:val="4EC00FAD"/>
    <w:rsid w:val="4F9843DC"/>
    <w:rsid w:val="4FA156DD"/>
    <w:rsid w:val="4FC62A8C"/>
    <w:rsid w:val="4FE20F0D"/>
    <w:rsid w:val="4FE51552"/>
    <w:rsid w:val="50504C4B"/>
    <w:rsid w:val="509C6E7C"/>
    <w:rsid w:val="5162104E"/>
    <w:rsid w:val="52F1442F"/>
    <w:rsid w:val="53A039CC"/>
    <w:rsid w:val="53A1505A"/>
    <w:rsid w:val="54063E08"/>
    <w:rsid w:val="543437E8"/>
    <w:rsid w:val="54F73313"/>
    <w:rsid w:val="54F80955"/>
    <w:rsid w:val="554F18E1"/>
    <w:rsid w:val="555170A7"/>
    <w:rsid w:val="556E2FD4"/>
    <w:rsid w:val="5587536D"/>
    <w:rsid w:val="559B174B"/>
    <w:rsid w:val="55CE0CF4"/>
    <w:rsid w:val="569A72B7"/>
    <w:rsid w:val="56B22A9C"/>
    <w:rsid w:val="57B72A76"/>
    <w:rsid w:val="57C3426C"/>
    <w:rsid w:val="57CE1F93"/>
    <w:rsid w:val="57EE0DC4"/>
    <w:rsid w:val="588743D1"/>
    <w:rsid w:val="5887701A"/>
    <w:rsid w:val="59C0439F"/>
    <w:rsid w:val="5A9C7376"/>
    <w:rsid w:val="5ABE2233"/>
    <w:rsid w:val="5BDF5D95"/>
    <w:rsid w:val="5BFE7528"/>
    <w:rsid w:val="5CA75BBE"/>
    <w:rsid w:val="5D9560D4"/>
    <w:rsid w:val="5E2467F1"/>
    <w:rsid w:val="5EA14C6C"/>
    <w:rsid w:val="5F1A2B43"/>
    <w:rsid w:val="5F5C5FB8"/>
    <w:rsid w:val="5FB837BB"/>
    <w:rsid w:val="60CC405A"/>
    <w:rsid w:val="611D2893"/>
    <w:rsid w:val="61C918FB"/>
    <w:rsid w:val="61E215D8"/>
    <w:rsid w:val="621B3775"/>
    <w:rsid w:val="62364782"/>
    <w:rsid w:val="63563AB0"/>
    <w:rsid w:val="6394356A"/>
    <w:rsid w:val="63C61B2C"/>
    <w:rsid w:val="63D40BE9"/>
    <w:rsid w:val="64102431"/>
    <w:rsid w:val="64A5243A"/>
    <w:rsid w:val="64F531DE"/>
    <w:rsid w:val="650E70C3"/>
    <w:rsid w:val="65373578"/>
    <w:rsid w:val="671F124A"/>
    <w:rsid w:val="677A33C6"/>
    <w:rsid w:val="681F6961"/>
    <w:rsid w:val="68610A2F"/>
    <w:rsid w:val="68805514"/>
    <w:rsid w:val="69316E2F"/>
    <w:rsid w:val="694E2071"/>
    <w:rsid w:val="69766163"/>
    <w:rsid w:val="697A3B33"/>
    <w:rsid w:val="69D44760"/>
    <w:rsid w:val="6A520EC7"/>
    <w:rsid w:val="6AF87E20"/>
    <w:rsid w:val="6B322639"/>
    <w:rsid w:val="6B4D303F"/>
    <w:rsid w:val="6B680BAF"/>
    <w:rsid w:val="6C636C38"/>
    <w:rsid w:val="6CE27FDC"/>
    <w:rsid w:val="6DB34098"/>
    <w:rsid w:val="6DB545B6"/>
    <w:rsid w:val="6DE02FB4"/>
    <w:rsid w:val="6E514CED"/>
    <w:rsid w:val="6EB563D5"/>
    <w:rsid w:val="6ED92677"/>
    <w:rsid w:val="6F0B4673"/>
    <w:rsid w:val="6F225983"/>
    <w:rsid w:val="6FFC5590"/>
    <w:rsid w:val="706D1DD0"/>
    <w:rsid w:val="70856B87"/>
    <w:rsid w:val="70D527EE"/>
    <w:rsid w:val="715B5300"/>
    <w:rsid w:val="71D27F8A"/>
    <w:rsid w:val="71EA67C2"/>
    <w:rsid w:val="72553024"/>
    <w:rsid w:val="73122968"/>
    <w:rsid w:val="731F5D5E"/>
    <w:rsid w:val="736B1B84"/>
    <w:rsid w:val="73C51AD5"/>
    <w:rsid w:val="741E793C"/>
    <w:rsid w:val="745E3944"/>
    <w:rsid w:val="75E7058A"/>
    <w:rsid w:val="7635099D"/>
    <w:rsid w:val="77613082"/>
    <w:rsid w:val="77762421"/>
    <w:rsid w:val="779276DF"/>
    <w:rsid w:val="77B56B1F"/>
    <w:rsid w:val="780F09F4"/>
    <w:rsid w:val="783764D9"/>
    <w:rsid w:val="78886D34"/>
    <w:rsid w:val="78A90480"/>
    <w:rsid w:val="78D6452E"/>
    <w:rsid w:val="79004B1D"/>
    <w:rsid w:val="7947435C"/>
    <w:rsid w:val="799960B8"/>
    <w:rsid w:val="7A364017"/>
    <w:rsid w:val="7A8265E1"/>
    <w:rsid w:val="7B686D42"/>
    <w:rsid w:val="7B841746"/>
    <w:rsid w:val="7C4418C6"/>
    <w:rsid w:val="7C611D76"/>
    <w:rsid w:val="7C6C5AC7"/>
    <w:rsid w:val="7CC6544B"/>
    <w:rsid w:val="7D0239FF"/>
    <w:rsid w:val="7D3C7AA7"/>
    <w:rsid w:val="7D5E40CD"/>
    <w:rsid w:val="7DCD56F2"/>
    <w:rsid w:val="7F001CE7"/>
    <w:rsid w:val="7FCA13CF"/>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99"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1"/>
    <w:basedOn w:val="1"/>
    <w:next w:val="1"/>
    <w:qFormat/>
    <w:locked/>
    <w:uiPriority w:val="99"/>
    <w:pPr>
      <w:keepNext/>
      <w:overflowPunct w:val="0"/>
      <w:snapToGrid w:val="0"/>
      <w:spacing w:line="240" w:lineRule="auto"/>
      <w:ind w:left="0" w:firstLine="0" w:firstLineChars="0"/>
      <w:outlineLvl w:val="0"/>
    </w:pPr>
    <w:rPr>
      <w:rFonts w:eastAsia="黑体"/>
      <w:b/>
      <w:bCs/>
      <w:color w:val="000000"/>
      <w:kern w:val="44"/>
      <w:sz w:val="24"/>
      <w:szCs w:val="30"/>
    </w:rPr>
  </w:style>
  <w:style w:type="paragraph" w:styleId="6">
    <w:name w:val="heading 4"/>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customStyle="1" w:styleId="2">
    <w:name w:val="样式 样式 样式 四号 左侧:  1.53 厘米 + 首行缩进:  2 字符 + 居中 左侧:  2 字符 首行缩进:  2..."/>
    <w:basedOn w:val="3"/>
    <w:qFormat/>
    <w:uiPriority w:val="0"/>
    <w:pPr>
      <w:jc w:val="center"/>
    </w:pPr>
  </w:style>
  <w:style w:type="paragraph" w:customStyle="1" w:styleId="3">
    <w:name w:val="样式 样式 四号 左侧:  1.53 厘米 + 首行缩进:  2 字符"/>
    <w:basedOn w:val="4"/>
    <w:qFormat/>
    <w:uiPriority w:val="0"/>
    <w:pPr>
      <w:ind w:left="200" w:leftChars="200"/>
    </w:pPr>
    <w:rPr>
      <w:szCs w:val="20"/>
    </w:rPr>
  </w:style>
  <w:style w:type="paragraph" w:customStyle="1" w:styleId="4">
    <w:name w:val="样式 四号 左侧:  1.53 厘米"/>
    <w:basedOn w:val="1"/>
    <w:qFormat/>
    <w:uiPriority w:val="0"/>
    <w:pPr>
      <w:adjustRightInd w:val="0"/>
    </w:pPr>
    <w:rPr>
      <w:w w:val="90"/>
      <w:sz w:val="28"/>
      <w:szCs w:val="28"/>
    </w:rPr>
  </w:style>
  <w:style w:type="paragraph" w:styleId="7">
    <w:name w:val="Normal Indent"/>
    <w:basedOn w:val="1"/>
    <w:next w:val="1"/>
    <w:qFormat/>
    <w:locked/>
    <w:uiPriority w:val="0"/>
    <w:pPr>
      <w:adjustRightInd w:val="0"/>
      <w:spacing w:line="320" w:lineRule="atLeast"/>
      <w:ind w:firstLine="420"/>
      <w:textAlignment w:val="baseline"/>
    </w:pPr>
    <w:rPr>
      <w:rFonts w:ascii="Times New Roman" w:hAnsi="Times New Roman" w:eastAsia="宋体" w:cs="Times New Roman"/>
      <w:kern w:val="0"/>
      <w:sz w:val="21"/>
      <w:szCs w:val="20"/>
    </w:rPr>
  </w:style>
  <w:style w:type="paragraph" w:styleId="8">
    <w:name w:val="annotation text"/>
    <w:basedOn w:val="1"/>
    <w:next w:val="1"/>
    <w:link w:val="39"/>
    <w:semiHidden/>
    <w:qFormat/>
    <w:uiPriority w:val="0"/>
    <w:pPr>
      <w:jc w:val="left"/>
    </w:pPr>
    <w:rPr>
      <w:kern w:val="0"/>
      <w:sz w:val="24"/>
      <w:szCs w:val="20"/>
    </w:rPr>
  </w:style>
  <w:style w:type="paragraph" w:styleId="9">
    <w:name w:val="Body Text"/>
    <w:basedOn w:val="1"/>
    <w:link w:val="40"/>
    <w:qFormat/>
    <w:uiPriority w:val="0"/>
    <w:pPr>
      <w:widowControl/>
      <w:snapToGrid w:val="0"/>
      <w:spacing w:before="60" w:after="160" w:line="259" w:lineRule="auto"/>
      <w:ind w:right="113"/>
    </w:pPr>
    <w:rPr>
      <w:kern w:val="0"/>
      <w:sz w:val="18"/>
      <w:szCs w:val="20"/>
    </w:rPr>
  </w:style>
  <w:style w:type="paragraph" w:styleId="10">
    <w:name w:val="Body Text Indent"/>
    <w:basedOn w:val="1"/>
    <w:next w:val="1"/>
    <w:link w:val="38"/>
    <w:qFormat/>
    <w:uiPriority w:val="0"/>
    <w:pPr>
      <w:spacing w:after="120"/>
      <w:ind w:left="420" w:leftChars="200"/>
    </w:pPr>
    <w:rPr>
      <w:kern w:val="0"/>
      <w:sz w:val="24"/>
      <w:szCs w:val="20"/>
    </w:rPr>
  </w:style>
  <w:style w:type="paragraph" w:styleId="11">
    <w:name w:val="Plain Text"/>
    <w:basedOn w:val="1"/>
    <w:next w:val="1"/>
    <w:qFormat/>
    <w:locked/>
    <w:uiPriority w:val="99"/>
    <w:rPr>
      <w:rFonts w:ascii="宋体" w:hAnsi="Courier New" w:cs="Century"/>
      <w:szCs w:val="21"/>
    </w:rPr>
  </w:style>
  <w:style w:type="paragraph" w:styleId="12">
    <w:name w:val="List Bullet 5"/>
    <w:basedOn w:val="1"/>
    <w:qFormat/>
    <w:locked/>
    <w:uiPriority w:val="0"/>
    <w:pPr>
      <w:numPr>
        <w:ilvl w:val="0"/>
        <w:numId w:val="1"/>
      </w:numPr>
    </w:pPr>
  </w:style>
  <w:style w:type="paragraph" w:styleId="13">
    <w:name w:val="Date"/>
    <w:basedOn w:val="1"/>
    <w:next w:val="1"/>
    <w:link w:val="41"/>
    <w:qFormat/>
    <w:uiPriority w:val="0"/>
    <w:pPr>
      <w:ind w:left="100" w:leftChars="2500"/>
    </w:pPr>
    <w:rPr>
      <w:kern w:val="0"/>
      <w:sz w:val="24"/>
      <w:szCs w:val="20"/>
    </w:rPr>
  </w:style>
  <w:style w:type="paragraph" w:styleId="14">
    <w:name w:val="Balloon Text"/>
    <w:basedOn w:val="1"/>
    <w:link w:val="42"/>
    <w:semiHidden/>
    <w:qFormat/>
    <w:uiPriority w:val="0"/>
    <w:rPr>
      <w:kern w:val="0"/>
      <w:sz w:val="18"/>
      <w:szCs w:val="20"/>
    </w:rPr>
  </w:style>
  <w:style w:type="paragraph" w:styleId="15">
    <w:name w:val="footer"/>
    <w:basedOn w:val="1"/>
    <w:link w:val="43"/>
    <w:qFormat/>
    <w:uiPriority w:val="99"/>
    <w:pPr>
      <w:tabs>
        <w:tab w:val="center" w:pos="4153"/>
        <w:tab w:val="right" w:pos="8306"/>
      </w:tabs>
      <w:snapToGrid w:val="0"/>
      <w:jc w:val="left"/>
    </w:pPr>
    <w:rPr>
      <w:kern w:val="0"/>
      <w:sz w:val="18"/>
      <w:szCs w:val="20"/>
    </w:rPr>
  </w:style>
  <w:style w:type="paragraph" w:styleId="16">
    <w:name w:val="header"/>
    <w:basedOn w:val="1"/>
    <w:link w:val="44"/>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pPr>
      <w:spacing w:line="480" w:lineRule="exact"/>
    </w:pPr>
    <w:rPr>
      <w:rFonts w:ascii="Arial" w:hAnsi="Arial" w:cs="Arial"/>
      <w:b/>
      <w:bCs/>
      <w:sz w:val="24"/>
      <w:szCs w:val="20"/>
    </w:rPr>
  </w:style>
  <w:style w:type="paragraph" w:styleId="18">
    <w:name w:val="index 1"/>
    <w:basedOn w:val="1"/>
    <w:next w:val="1"/>
    <w:qFormat/>
    <w:locked/>
    <w:uiPriority w:val="0"/>
  </w:style>
  <w:style w:type="paragraph" w:styleId="19">
    <w:name w:val="toc 2"/>
    <w:basedOn w:val="1"/>
    <w:next w:val="1"/>
    <w:qFormat/>
    <w:locked/>
    <w:uiPriority w:val="0"/>
    <w:pPr>
      <w:ind w:left="420" w:leftChars="200"/>
    </w:pPr>
  </w:style>
  <w:style w:type="paragraph" w:styleId="20">
    <w:name w:val="Body Text 2"/>
    <w:basedOn w:val="1"/>
    <w:next w:val="1"/>
    <w:qFormat/>
    <w:locked/>
    <w:uiPriority w:val="0"/>
    <w:pPr>
      <w:spacing w:after="120" w:line="480" w:lineRule="auto"/>
    </w:pPr>
  </w:style>
  <w:style w:type="paragraph" w:styleId="21">
    <w:name w:val="Normal (Web)"/>
    <w:basedOn w:val="1"/>
    <w:link w:val="45"/>
    <w:qFormat/>
    <w:uiPriority w:val="0"/>
    <w:pPr>
      <w:widowControl/>
      <w:spacing w:before="100" w:beforeAutospacing="1" w:after="100" w:afterAutospacing="1"/>
      <w:jc w:val="left"/>
    </w:pPr>
    <w:rPr>
      <w:rFonts w:ascii="宋体" w:hAnsi="宋体"/>
      <w:kern w:val="0"/>
      <w:sz w:val="24"/>
      <w:szCs w:val="20"/>
    </w:rPr>
  </w:style>
  <w:style w:type="paragraph" w:styleId="22">
    <w:name w:val="Title"/>
    <w:basedOn w:val="1"/>
    <w:next w:val="1"/>
    <w:qFormat/>
    <w:locked/>
    <w:uiPriority w:val="0"/>
    <w:pPr>
      <w:spacing w:before="60" w:after="60" w:line="576" w:lineRule="auto"/>
      <w:ind w:firstLine="0" w:firstLineChars="0"/>
      <w:jc w:val="left"/>
      <w:outlineLvl w:val="0"/>
    </w:pPr>
    <w:rPr>
      <w:b/>
      <w:bCs/>
      <w:sz w:val="36"/>
      <w:szCs w:val="32"/>
      <w:lang w:val="zh-CN"/>
    </w:rPr>
  </w:style>
  <w:style w:type="paragraph" w:styleId="23">
    <w:name w:val="annotation subject"/>
    <w:basedOn w:val="8"/>
    <w:next w:val="8"/>
    <w:link w:val="46"/>
    <w:semiHidden/>
    <w:qFormat/>
    <w:uiPriority w:val="0"/>
    <w:rPr>
      <w:b/>
      <w:sz w:val="24"/>
      <w:szCs w:val="20"/>
    </w:rPr>
  </w:style>
  <w:style w:type="paragraph" w:styleId="24">
    <w:name w:val="Body Text First Indent"/>
    <w:basedOn w:val="9"/>
    <w:next w:val="1"/>
    <w:qFormat/>
    <w:locked/>
    <w:uiPriority w:val="99"/>
    <w:pPr>
      <w:ind w:firstLine="420" w:firstLineChars="100"/>
    </w:pPr>
  </w:style>
  <w:style w:type="paragraph" w:styleId="25">
    <w:name w:val="Body Text First Indent 2"/>
    <w:basedOn w:val="1"/>
    <w:next w:val="1"/>
    <w:qFormat/>
    <w:locked/>
    <w:uiPriority w:val="0"/>
    <w:pPr>
      <w:spacing w:after="120" w:afterLines="0" w:line="240" w:lineRule="auto"/>
      <w:ind w:left="420" w:leftChars="200" w:firstLine="420" w:firstLineChars="200"/>
    </w:pPr>
    <w:rPr>
      <w:sz w:val="21"/>
      <w:szCs w:val="24"/>
    </w:rPr>
  </w:style>
  <w:style w:type="table" w:styleId="27">
    <w:name w:val="Table Grid"/>
    <w:basedOn w:val="2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locked/>
    <w:uiPriority w:val="0"/>
    <w:rPr>
      <w:b/>
    </w:rPr>
  </w:style>
  <w:style w:type="character" w:styleId="30">
    <w:name w:val="page number"/>
    <w:basedOn w:val="28"/>
    <w:qFormat/>
    <w:locked/>
    <w:uiPriority w:val="0"/>
  </w:style>
  <w:style w:type="character" w:styleId="31">
    <w:name w:val="annotation reference"/>
    <w:semiHidden/>
    <w:qFormat/>
    <w:uiPriority w:val="0"/>
    <w:rPr>
      <w:sz w:val="21"/>
    </w:rPr>
  </w:style>
  <w:style w:type="paragraph" w:customStyle="1" w:styleId="32">
    <w:name w:val="Date1"/>
    <w:basedOn w:val="1"/>
    <w:next w:val="1"/>
    <w:qFormat/>
    <w:uiPriority w:val="0"/>
    <w:pPr>
      <w:adjustRightInd w:val="0"/>
      <w:jc w:val="left"/>
      <w:textAlignment w:val="baseline"/>
    </w:pPr>
    <w:rPr>
      <w:rFonts w:ascii="宋体" w:hAnsi="宋体"/>
      <w:sz w:val="28"/>
      <w:szCs w:val="20"/>
    </w:rPr>
  </w:style>
  <w:style w:type="paragraph" w:customStyle="1" w:styleId="33">
    <w:name w:val="xl27"/>
    <w:basedOn w:val="1"/>
    <w:next w:val="8"/>
    <w:qFormat/>
    <w:uiPriority w:val="0"/>
    <w:pPr>
      <w:widowControl/>
      <w:pBdr>
        <w:bottom w:val="single" w:color="auto" w:sz="4" w:space="0"/>
        <w:right w:val="single" w:color="auto" w:sz="4" w:space="0"/>
      </w:pBdr>
      <w:adjustRightInd w:val="0"/>
      <w:snapToGrid w:val="0"/>
      <w:spacing w:before="100" w:beforeAutospacing="1" w:after="100" w:afterAutospacing="1" w:line="500" w:lineRule="exact"/>
      <w:jc w:val="center"/>
    </w:pPr>
    <w:rPr>
      <w:rFonts w:eastAsia="Arial Unicode MS"/>
      <w:kern w:val="0"/>
      <w:szCs w:val="21"/>
    </w:rPr>
  </w:style>
  <w:style w:type="paragraph" w:customStyle="1" w:styleId="34">
    <w:name w:val="Default"/>
    <w:basedOn w:val="35"/>
    <w:next w:val="3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文本"/>
    <w:basedOn w:val="1"/>
    <w:next w:val="1"/>
    <w:qFormat/>
    <w:uiPriority w:val="0"/>
    <w:pPr>
      <w:autoSpaceDE w:val="0"/>
      <w:autoSpaceDN w:val="0"/>
      <w:ind w:firstLine="480"/>
    </w:pPr>
    <w:rPr>
      <w:lang w:val="zh-CN"/>
    </w:rPr>
  </w:style>
  <w:style w:type="paragraph" w:customStyle="1" w:styleId="36">
    <w:name w:val="表格文字"/>
    <w:basedOn w:val="9"/>
    <w:next w:val="1"/>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37">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38">
    <w:name w:val="正文文本缩进 Char"/>
    <w:link w:val="10"/>
    <w:semiHidden/>
    <w:qFormat/>
    <w:locked/>
    <w:uiPriority w:val="0"/>
    <w:rPr>
      <w:rFonts w:ascii="Times New Roman" w:hAnsi="Times New Roman" w:eastAsia="宋体"/>
      <w:sz w:val="24"/>
    </w:rPr>
  </w:style>
  <w:style w:type="character" w:customStyle="1" w:styleId="39">
    <w:name w:val="批注文字 Char"/>
    <w:link w:val="8"/>
    <w:qFormat/>
    <w:locked/>
    <w:uiPriority w:val="0"/>
    <w:rPr>
      <w:rFonts w:ascii="Times New Roman" w:hAnsi="Times New Roman" w:eastAsia="宋体"/>
      <w:sz w:val="24"/>
    </w:rPr>
  </w:style>
  <w:style w:type="character" w:customStyle="1" w:styleId="40">
    <w:name w:val="正文文本 Char"/>
    <w:link w:val="9"/>
    <w:qFormat/>
    <w:locked/>
    <w:uiPriority w:val="0"/>
    <w:rPr>
      <w:sz w:val="18"/>
    </w:rPr>
  </w:style>
  <w:style w:type="character" w:customStyle="1" w:styleId="41">
    <w:name w:val="日期 Char"/>
    <w:link w:val="13"/>
    <w:qFormat/>
    <w:locked/>
    <w:uiPriority w:val="0"/>
    <w:rPr>
      <w:rFonts w:ascii="Times New Roman" w:hAnsi="Times New Roman" w:eastAsia="宋体"/>
      <w:sz w:val="24"/>
    </w:rPr>
  </w:style>
  <w:style w:type="character" w:customStyle="1" w:styleId="42">
    <w:name w:val="批注框文本 Char"/>
    <w:link w:val="14"/>
    <w:semiHidden/>
    <w:qFormat/>
    <w:locked/>
    <w:uiPriority w:val="0"/>
    <w:rPr>
      <w:rFonts w:ascii="Times New Roman" w:hAnsi="Times New Roman" w:eastAsia="宋体"/>
      <w:sz w:val="18"/>
    </w:rPr>
  </w:style>
  <w:style w:type="character" w:customStyle="1" w:styleId="43">
    <w:name w:val="页脚 Char"/>
    <w:link w:val="15"/>
    <w:qFormat/>
    <w:locked/>
    <w:uiPriority w:val="99"/>
    <w:rPr>
      <w:sz w:val="18"/>
    </w:rPr>
  </w:style>
  <w:style w:type="character" w:customStyle="1" w:styleId="44">
    <w:name w:val="页眉 Char"/>
    <w:link w:val="16"/>
    <w:qFormat/>
    <w:locked/>
    <w:uiPriority w:val="0"/>
    <w:rPr>
      <w:sz w:val="18"/>
    </w:rPr>
  </w:style>
  <w:style w:type="character" w:customStyle="1" w:styleId="45">
    <w:name w:val="普通(网站) Char"/>
    <w:link w:val="21"/>
    <w:qFormat/>
    <w:locked/>
    <w:uiPriority w:val="0"/>
    <w:rPr>
      <w:rFonts w:ascii="宋体" w:hAnsi="宋体" w:eastAsia="宋体"/>
      <w:sz w:val="24"/>
    </w:rPr>
  </w:style>
  <w:style w:type="character" w:customStyle="1" w:styleId="46">
    <w:name w:val="批注主题 Char"/>
    <w:link w:val="23"/>
    <w:semiHidden/>
    <w:qFormat/>
    <w:locked/>
    <w:uiPriority w:val="0"/>
    <w:rPr>
      <w:rFonts w:ascii="Times New Roman" w:hAnsi="Times New Roman" w:eastAsia="宋体"/>
      <w:b/>
      <w:kern w:val="2"/>
      <w:sz w:val="24"/>
    </w:rPr>
  </w:style>
  <w:style w:type="paragraph" w:customStyle="1" w:styleId="47">
    <w:name w:val="[1]正文"/>
    <w:basedOn w:val="1"/>
    <w:qFormat/>
    <w:uiPriority w:val="0"/>
    <w:pPr>
      <w:autoSpaceDE w:val="0"/>
      <w:autoSpaceDN w:val="0"/>
      <w:ind w:firstLine="200" w:firstLineChars="200"/>
    </w:pPr>
    <w:rPr>
      <w:color w:val="000000"/>
      <w:kern w:val="0"/>
      <w:szCs w:val="24"/>
      <w:lang w:val="zh-CN"/>
    </w:rPr>
  </w:style>
  <w:style w:type="character" w:customStyle="1" w:styleId="48">
    <w:name w:val="页脚 字符"/>
    <w:basedOn w:val="28"/>
    <w:qFormat/>
    <w:uiPriority w:val="99"/>
  </w:style>
  <w:style w:type="character" w:customStyle="1" w:styleId="49">
    <w:name w:val="正文文本 字符1"/>
    <w:semiHidden/>
    <w:qFormat/>
    <w:uiPriority w:val="0"/>
    <w:rPr>
      <w:rFonts w:ascii="Times New Roman" w:hAnsi="Times New Roman" w:eastAsia="宋体"/>
      <w:sz w:val="24"/>
    </w:rPr>
  </w:style>
  <w:style w:type="character" w:customStyle="1" w:styleId="50">
    <w:name w:val="表格 Char"/>
    <w:link w:val="51"/>
    <w:qFormat/>
    <w:locked/>
    <w:uiPriority w:val="0"/>
    <w:rPr>
      <w:rFonts w:ascii="宋体"/>
      <w:sz w:val="21"/>
    </w:rPr>
  </w:style>
  <w:style w:type="paragraph" w:customStyle="1" w:styleId="51">
    <w:name w:val="表格"/>
    <w:basedOn w:val="7"/>
    <w:next w:val="1"/>
    <w:link w:val="50"/>
    <w:qFormat/>
    <w:uiPriority w:val="0"/>
    <w:pPr>
      <w:adjustRightInd w:val="0"/>
      <w:snapToGrid w:val="0"/>
      <w:spacing w:beforeLines="10" w:afterLines="10" w:line="259" w:lineRule="auto"/>
      <w:jc w:val="center"/>
    </w:pPr>
    <w:rPr>
      <w:rFonts w:ascii="宋体"/>
      <w:kern w:val="0"/>
      <w:szCs w:val="20"/>
    </w:rPr>
  </w:style>
  <w:style w:type="character" w:customStyle="1" w:styleId="52">
    <w:name w:val="日期 字符"/>
    <w:semiHidden/>
    <w:qFormat/>
    <w:uiPriority w:val="0"/>
    <w:rPr>
      <w:rFonts w:ascii="Times New Roman" w:hAnsi="Times New Roman" w:eastAsia="宋体"/>
      <w:sz w:val="24"/>
    </w:rPr>
  </w:style>
  <w:style w:type="character" w:customStyle="1" w:styleId="53">
    <w:name w:val="批注文字 字符1"/>
    <w:semiHidden/>
    <w:qFormat/>
    <w:uiPriority w:val="0"/>
    <w:rPr>
      <w:rFonts w:ascii="Times New Roman" w:hAnsi="Times New Roman" w:eastAsia="宋体"/>
      <w:sz w:val="24"/>
    </w:rPr>
  </w:style>
  <w:style w:type="paragraph" w:customStyle="1" w:styleId="54">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6">
    <w:name w:val="李-正文"/>
    <w:basedOn w:val="1"/>
    <w:qFormat/>
    <w:uiPriority w:val="0"/>
    <w:pPr>
      <w:spacing w:line="360" w:lineRule="auto"/>
      <w:ind w:firstLine="560" w:firstLineChars="200"/>
    </w:pPr>
    <w:rPr>
      <w:rFonts w:ascii="Times New Roman" w:hAnsi="Times New Roman"/>
      <w:sz w:val="24"/>
    </w:rPr>
  </w:style>
  <w:style w:type="paragraph" w:customStyle="1" w:styleId="57">
    <w:name w:val="p0"/>
    <w:basedOn w:val="1"/>
    <w:qFormat/>
    <w:uiPriority w:val="0"/>
    <w:pPr>
      <w:widowControl/>
    </w:pPr>
    <w:rPr>
      <w:kern w:val="0"/>
    </w:rPr>
  </w:style>
  <w:style w:type="character" w:customStyle="1" w:styleId="58">
    <w:name w:val="表文字 Char Char Char Char Char Char"/>
    <w:qFormat/>
    <w:uiPriority w:val="0"/>
    <w:rPr>
      <w:rFonts w:eastAsia="宋体"/>
      <w:kern w:val="2"/>
      <w:sz w:val="21"/>
      <w:szCs w:val="21"/>
      <w:lang w:val="en-US" w:eastAsia="zh-CN" w:bidi="ar-SA"/>
    </w:rPr>
  </w:style>
  <w:style w:type="paragraph" w:customStyle="1" w:styleId="59">
    <w:name w:val="龙正文表格"/>
    <w:basedOn w:val="1"/>
    <w:qFormat/>
    <w:uiPriority w:val="0"/>
    <w:pPr>
      <w:autoSpaceDE w:val="0"/>
      <w:autoSpaceDN w:val="0"/>
      <w:adjustRightInd w:val="0"/>
      <w:jc w:val="center"/>
    </w:pPr>
    <w:rPr>
      <w:rFonts w:hAnsi="宋体"/>
      <w:kern w:val="0"/>
      <w:szCs w:val="21"/>
    </w:rPr>
  </w:style>
  <w:style w:type="paragraph" w:customStyle="1" w:styleId="60">
    <w:name w:val="小标题"/>
    <w:basedOn w:val="61"/>
    <w:qFormat/>
    <w:uiPriority w:val="0"/>
    <w:pPr>
      <w:spacing w:line="480" w:lineRule="exact"/>
      <w:ind w:firstLine="0" w:firstLineChars="0"/>
      <w:jc w:val="left"/>
    </w:pPr>
    <w:rPr>
      <w:rFonts w:eastAsia="宋体"/>
      <w:b/>
      <w:color w:val="000000"/>
      <w:sz w:val="24"/>
    </w:rPr>
  </w:style>
  <w:style w:type="paragraph" w:customStyle="1" w:styleId="61">
    <w:name w:val="List Paragraph"/>
    <w:basedOn w:val="1"/>
    <w:qFormat/>
    <w:uiPriority w:val="99"/>
    <w:pPr>
      <w:ind w:firstLine="420" w:firstLineChars="200"/>
    </w:pPr>
  </w:style>
  <w:style w:type="paragraph" w:customStyle="1" w:styleId="62">
    <w:name w:val="报告表样式"/>
    <w:basedOn w:val="1"/>
    <w:qFormat/>
    <w:uiPriority w:val="0"/>
    <w:pPr>
      <w:adjustRightInd w:val="0"/>
      <w:snapToGrid w:val="0"/>
      <w:spacing w:line="360" w:lineRule="auto"/>
      <w:ind w:firstLine="200" w:firstLineChars="200"/>
    </w:pPr>
    <w:rPr>
      <w:kern w:val="0"/>
      <w:sz w:val="28"/>
      <w:szCs w:val="28"/>
    </w:rPr>
  </w:style>
  <w:style w:type="paragraph" w:customStyle="1" w:styleId="63">
    <w:name w:val="样式1"/>
    <w:basedOn w:val="17"/>
    <w:next w:val="1"/>
    <w:qFormat/>
    <w:uiPriority w:val="0"/>
    <w:pPr>
      <w:snapToGrid w:val="0"/>
      <w:jc w:val="center"/>
    </w:pPr>
    <w:rPr>
      <w:rFonts w:ascii="宋体" w:eastAsia="宋体"/>
      <w:sz w:val="21"/>
    </w:rPr>
  </w:style>
  <w:style w:type="paragraph" w:customStyle="1" w:styleId="64">
    <w:name w:val="Ay正文"/>
    <w:basedOn w:val="1"/>
    <w:qFormat/>
    <w:uiPriority w:val="0"/>
    <w:pPr>
      <w:spacing w:line="360" w:lineRule="auto"/>
      <w:ind w:firstLine="200" w:firstLineChars="200"/>
    </w:pPr>
    <w:rPr>
      <w:sz w:val="24"/>
    </w:rPr>
  </w:style>
  <w:style w:type="paragraph" w:customStyle="1" w:styleId="65">
    <w:name w:val="表格--兰"/>
    <w:basedOn w:val="1"/>
    <w:qFormat/>
    <w:uiPriority w:val="0"/>
    <w:pPr>
      <w:spacing w:line="360" w:lineRule="auto"/>
      <w:ind w:firstLine="720" w:firstLineChars="200"/>
      <w:jc w:val="center"/>
      <w:textAlignment w:val="center"/>
    </w:pPr>
    <w:rPr>
      <w:sz w:val="24"/>
    </w:rPr>
  </w:style>
  <w:style w:type="paragraph" w:customStyle="1" w:styleId="66">
    <w:name w:val="B-表内"/>
    <w:basedOn w:val="1"/>
    <w:qFormat/>
    <w:uiPriority w:val="0"/>
    <w:pPr>
      <w:jc w:val="center"/>
    </w:pPr>
    <w:rPr>
      <w:bCs/>
    </w:rPr>
  </w:style>
  <w:style w:type="paragraph" w:customStyle="1" w:styleId="67">
    <w:name w:val="ae正文zzzzzzzz"/>
    <w:basedOn w:val="1"/>
    <w:qFormat/>
    <w:uiPriority w:val="0"/>
    <w:rPr>
      <w:rFonts w:cs="宋体"/>
      <w:szCs w:val="20"/>
    </w:rPr>
  </w:style>
  <w:style w:type="paragraph" w:customStyle="1" w:styleId="68">
    <w:name w:val="正文A"/>
    <w:basedOn w:val="1"/>
    <w:qFormat/>
    <w:uiPriority w:val="0"/>
    <w:pPr>
      <w:spacing w:line="360" w:lineRule="auto"/>
      <w:ind w:firstLine="720" w:firstLineChars="200"/>
    </w:pPr>
    <w:rPr>
      <w:sz w:val="24"/>
    </w:rPr>
  </w:style>
  <w:style w:type="paragraph" w:customStyle="1" w:styleId="69">
    <w:name w:val="样式5"/>
    <w:basedOn w:val="70"/>
    <w:qFormat/>
    <w:uiPriority w:val="0"/>
    <w:pPr>
      <w:tabs>
        <w:tab w:val="left" w:pos="420"/>
        <w:tab w:val="left" w:pos="630"/>
        <w:tab w:val="right" w:leader="dot" w:pos="9174"/>
      </w:tabs>
    </w:pPr>
    <w:rPr>
      <w:rFonts w:ascii="Times New Roman"/>
    </w:rPr>
  </w:style>
  <w:style w:type="paragraph" w:customStyle="1" w:styleId="70">
    <w:name w:val="正文1"/>
    <w:basedOn w:val="1"/>
    <w:next w:val="1"/>
    <w:qFormat/>
    <w:uiPriority w:val="0"/>
    <w:pPr>
      <w:widowControl/>
      <w:spacing w:line="360" w:lineRule="auto"/>
      <w:ind w:firstLine="482"/>
    </w:pPr>
    <w:rPr>
      <w:kern w:val="0"/>
      <w:sz w:val="24"/>
    </w:rPr>
  </w:style>
  <w:style w:type="paragraph" w:customStyle="1" w:styleId="71">
    <w:name w:val="填表内容"/>
    <w:basedOn w:val="1"/>
    <w:qFormat/>
    <w:uiPriority w:val="0"/>
    <w:pPr>
      <w:adjustRightInd w:val="0"/>
      <w:spacing w:line="480" w:lineRule="exact"/>
      <w:ind w:firstLine="560" w:firstLineChars="200"/>
      <w:jc w:val="left"/>
      <w:textAlignment w:val="baseline"/>
    </w:pPr>
    <w:rPr>
      <w:rFonts w:ascii="楷体_GB2312" w:eastAsia="楷体_GB2312"/>
      <w:sz w:val="28"/>
      <w:szCs w:val="20"/>
    </w:rPr>
  </w:style>
  <w:style w:type="character" w:customStyle="1" w:styleId="72">
    <w:name w:val="font01"/>
    <w:basedOn w:val="28"/>
    <w:qFormat/>
    <w:uiPriority w:val="0"/>
    <w:rPr>
      <w:rFonts w:hint="eastAsia" w:ascii="宋体" w:hAnsi="宋体" w:eastAsia="宋体" w:cs="宋体"/>
      <w:color w:val="000000"/>
      <w:sz w:val="21"/>
      <w:szCs w:val="21"/>
      <w:u w:val="none"/>
    </w:rPr>
  </w:style>
  <w:style w:type="character" w:customStyle="1" w:styleId="73">
    <w:name w:val="标题 2 Char Char"/>
    <w:qFormat/>
    <w:uiPriority w:val="0"/>
    <w:rPr>
      <w:rFonts w:eastAsia="宋体"/>
      <w:b/>
      <w:sz w:val="24"/>
      <w:lang w:val="en-US" w:eastAsia="zh-CN" w:bidi="ar-SA"/>
    </w:rPr>
  </w:style>
  <w:style w:type="paragraph" w:customStyle="1" w:styleId="74">
    <w:name w:val="Table Paragraph"/>
    <w:basedOn w:val="1"/>
    <w:qFormat/>
    <w:uiPriority w:val="1"/>
    <w:pPr>
      <w:spacing w:before="38"/>
      <w:jc w:val="center"/>
    </w:pPr>
    <w:rPr>
      <w:rFonts w:ascii="宋体" w:hAnsi="宋体" w:cs="宋体"/>
      <w:lang w:val="zh-CN" w:bidi="zh-CN"/>
    </w:rPr>
  </w:style>
  <w:style w:type="paragraph" w:customStyle="1" w:styleId="75">
    <w:name w:val="表中文字"/>
    <w:basedOn w:val="11"/>
    <w:next w:val="1"/>
    <w:qFormat/>
    <w:uiPriority w:val="0"/>
    <w:pPr>
      <w:tabs>
        <w:tab w:val="left" w:pos="0"/>
      </w:tabs>
      <w:snapToGrid w:val="0"/>
      <w:jc w:val="center"/>
    </w:pPr>
  </w:style>
  <w:style w:type="paragraph" w:customStyle="1" w:styleId="76">
    <w:name w:val="表格正文"/>
    <w:basedOn w:val="1"/>
    <w:next w:val="1"/>
    <w:qFormat/>
    <w:uiPriority w:val="0"/>
    <w:pPr>
      <w:spacing w:line="240" w:lineRule="auto"/>
      <w:ind w:firstLine="0" w:firstLineChars="0"/>
      <w:jc w:val="center"/>
    </w:pPr>
    <w:rPr>
      <w:rFonts w:eastAsia="宋体"/>
      <w:sz w:val="21"/>
      <w:szCs w:val="21"/>
    </w:rPr>
  </w:style>
  <w:style w:type="paragraph" w:customStyle="1" w:styleId="77">
    <w:name w:val="环评报告表新版-正文"/>
    <w:basedOn w:val="1"/>
    <w:qFormat/>
    <w:uiPriority w:val="0"/>
    <w:pPr>
      <w:autoSpaceDE w:val="0"/>
      <w:autoSpaceDN w:val="0"/>
      <w:adjustRightInd w:val="0"/>
      <w:snapToGrid w:val="0"/>
      <w:spacing w:line="360" w:lineRule="exact"/>
      <w:ind w:firstLine="200" w:firstLineChars="200"/>
    </w:pPr>
    <w:rPr>
      <w:rFonts w:cs="宋体"/>
      <w:kern w:val="0"/>
      <w:sz w:val="24"/>
      <w:szCs w:val="21"/>
    </w:rPr>
  </w:style>
  <w:style w:type="paragraph" w:customStyle="1" w:styleId="78">
    <w:name w:val="环评3级标题"/>
    <w:basedOn w:val="1"/>
    <w:qFormat/>
    <w:uiPriority w:val="0"/>
    <w:pPr>
      <w:spacing w:line="400" w:lineRule="exact"/>
      <w:outlineLvl w:val="2"/>
    </w:pPr>
    <w:rPr>
      <w:b/>
      <w:sz w:val="24"/>
    </w:rPr>
  </w:style>
  <w:style w:type="paragraph" w:customStyle="1" w:styleId="79">
    <w:name w:val="常用表头样式"/>
    <w:basedOn w:val="24"/>
    <w:next w:val="1"/>
    <w:qFormat/>
    <w:uiPriority w:val="0"/>
    <w:pPr>
      <w:overflowPunct w:val="0"/>
      <w:autoSpaceDE w:val="0"/>
      <w:autoSpaceDN w:val="0"/>
      <w:adjustRightInd w:val="0"/>
      <w:spacing w:after="0" w:afterLines="0" w:line="360" w:lineRule="auto"/>
      <w:ind w:firstLine="0" w:firstLineChars="0"/>
      <w:jc w:val="center"/>
      <w:textAlignment w:val="baseline"/>
    </w:pPr>
    <w:rPr>
      <w:rFonts w:ascii="黑体" w:hAnsi="Times New Roman" w:eastAsia="仿宋_GB2312"/>
      <w:b/>
      <w:szCs w:val="21"/>
    </w:rPr>
  </w:style>
  <w:style w:type="character" w:customStyle="1" w:styleId="80">
    <w:name w:val="font21"/>
    <w:basedOn w:val="28"/>
    <w:qFormat/>
    <w:uiPriority w:val="0"/>
    <w:rPr>
      <w:rFonts w:hint="eastAsia" w:ascii="宋体" w:hAnsi="宋体" w:eastAsia="宋体" w:cs="宋体"/>
      <w:color w:val="000000"/>
      <w:sz w:val="21"/>
      <w:szCs w:val="21"/>
      <w:u w:val="none"/>
    </w:rPr>
  </w:style>
  <w:style w:type="paragraph" w:customStyle="1" w:styleId="81">
    <w:name w:val="样式 正文缩进正文缩进2正文缩进 Char Char正文缩进 Char Char Char Char正文缩进 Char ..."/>
    <w:basedOn w:val="7"/>
    <w:autoRedefine/>
    <w:qFormat/>
    <w:uiPriority w:val="0"/>
    <w:pPr>
      <w:spacing w:line="240" w:lineRule="auto"/>
      <w:ind w:firstLine="0" w:firstLineChars="0"/>
    </w:pPr>
    <w:rPr>
      <w:rFonts w:ascii="Times New Roman" w:eastAsia="宋体"/>
      <w:w w:val="80"/>
      <w:sz w:val="18"/>
      <w:szCs w:val="15"/>
    </w:rPr>
  </w:style>
  <w:style w:type="paragraph" w:customStyle="1" w:styleId="82">
    <w:name w:val="正文首行缩进2个字"/>
    <w:basedOn w:val="1"/>
    <w:autoRedefine/>
    <w:qFormat/>
    <w:uiPriority w:val="0"/>
    <w:pPr>
      <w:ind w:firstLine="200" w:firstLineChars="200"/>
    </w:pPr>
    <w:rPr>
      <w:spacing w:val="3"/>
    </w:rPr>
  </w:style>
  <w:style w:type="paragraph" w:customStyle="1" w:styleId="83">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84">
    <w:name w:val="报告表正文"/>
    <w:basedOn w:val="1"/>
    <w:semiHidden/>
    <w:qFormat/>
    <w:uiPriority w:val="0"/>
    <w:pPr>
      <w:adjustRightInd w:val="0"/>
      <w:spacing w:line="312" w:lineRule="auto"/>
      <w:ind w:left="113" w:right="113" w:firstLine="482" w:firstLineChars="200"/>
    </w:pPr>
    <w:rPr>
      <w:rFonts w:ascii="Calibri" w:hAnsi="Calibri"/>
      <w:sz w:val="24"/>
      <w:szCs w:val="20"/>
    </w:rPr>
  </w:style>
  <w:style w:type="paragraph" w:customStyle="1" w:styleId="85">
    <w:name w:val="表格内容"/>
    <w:basedOn w:val="1"/>
    <w:autoRedefine/>
    <w:qFormat/>
    <w:uiPriority w:val="0"/>
    <w:pPr>
      <w:widowControl w:val="0"/>
      <w:spacing w:line="240" w:lineRule="auto"/>
      <w:jc w:val="center"/>
    </w:pPr>
    <w:rPr>
      <w:snapToGrid w:val="0"/>
      <w:color w:val="000000" w:themeColor="text1"/>
      <w:sz w:val="21"/>
      <w14:textFill>
        <w14:solidFill>
          <w14:schemeClr w14:val="tx1"/>
        </w14:solidFill>
      </w14:textFill>
    </w:rPr>
  </w:style>
  <w:style w:type="paragraph" w:customStyle="1" w:styleId="86">
    <w:name w:val="B-表头"/>
    <w:basedOn w:val="1"/>
    <w:qFormat/>
    <w:uiPriority w:val="0"/>
    <w:pPr>
      <w:jc w:val="center"/>
    </w:pPr>
    <w:rPr>
      <w:b/>
      <w:bCs/>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0" Type="http://schemas.openxmlformats.org/officeDocument/2006/relationships/fontTable" Target="fontTable.xml"/><Relationship Id="rId6" Type="http://schemas.openxmlformats.org/officeDocument/2006/relationships/footer" Target="footer1.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39.png"/><Relationship Id="rId56" Type="http://schemas.openxmlformats.org/officeDocument/2006/relationships/image" Target="media/image38.png"/><Relationship Id="rId55" Type="http://schemas.openxmlformats.org/officeDocument/2006/relationships/image" Target="media/image37.png"/><Relationship Id="rId54" Type="http://schemas.openxmlformats.org/officeDocument/2006/relationships/image" Target="media/image36.png"/><Relationship Id="rId53" Type="http://schemas.openxmlformats.org/officeDocument/2006/relationships/image" Target="media/image35.png"/><Relationship Id="rId52" Type="http://schemas.openxmlformats.org/officeDocument/2006/relationships/image" Target="media/image34.png"/><Relationship Id="rId51" Type="http://schemas.openxmlformats.org/officeDocument/2006/relationships/image" Target="media/image33.png"/><Relationship Id="rId50" Type="http://schemas.openxmlformats.org/officeDocument/2006/relationships/image" Target="media/image32.png"/><Relationship Id="rId5" Type="http://schemas.openxmlformats.org/officeDocument/2006/relationships/header" Target="header1.xml"/><Relationship Id="rId49" Type="http://schemas.openxmlformats.org/officeDocument/2006/relationships/image" Target="media/image31.png"/><Relationship Id="rId48" Type="http://schemas.openxmlformats.org/officeDocument/2006/relationships/image" Target="media/image30.png"/><Relationship Id="rId47" Type="http://schemas.openxmlformats.org/officeDocument/2006/relationships/image" Target="media/image29.png"/><Relationship Id="rId46" Type="http://schemas.openxmlformats.org/officeDocument/2006/relationships/image" Target="media/image28.png"/><Relationship Id="rId45" Type="http://schemas.openxmlformats.org/officeDocument/2006/relationships/image" Target="media/image27.png"/><Relationship Id="rId44" Type="http://schemas.openxmlformats.org/officeDocument/2006/relationships/image" Target="media/image26.png"/><Relationship Id="rId43" Type="http://schemas.openxmlformats.org/officeDocument/2006/relationships/image" Target="media/image25.png"/><Relationship Id="rId42" Type="http://schemas.openxmlformats.org/officeDocument/2006/relationships/image" Target="media/image24.png"/><Relationship Id="rId41" Type="http://schemas.openxmlformats.org/officeDocument/2006/relationships/image" Target="media/image23.png"/><Relationship Id="rId40" Type="http://schemas.openxmlformats.org/officeDocument/2006/relationships/image" Target="media/image22.png"/><Relationship Id="rId4" Type="http://schemas.openxmlformats.org/officeDocument/2006/relationships/endnotes" Target="endnotes.xml"/><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image" Target="media/image14.wmf"/><Relationship Id="rId31" Type="http://schemas.openxmlformats.org/officeDocument/2006/relationships/oleObject" Target="embeddings/oleObject4.bin"/><Relationship Id="rId30" Type="http://schemas.openxmlformats.org/officeDocument/2006/relationships/image" Target="media/image13.wmf"/><Relationship Id="rId3" Type="http://schemas.openxmlformats.org/officeDocument/2006/relationships/footnotes" Target="footnotes.xml"/><Relationship Id="rId29" Type="http://schemas.openxmlformats.org/officeDocument/2006/relationships/oleObject" Target="embeddings/oleObject3.bin"/><Relationship Id="rId28" Type="http://schemas.openxmlformats.org/officeDocument/2006/relationships/image" Target="media/image12.wmf"/><Relationship Id="rId27" Type="http://schemas.openxmlformats.org/officeDocument/2006/relationships/oleObject" Target="embeddings/oleObject2.bin"/><Relationship Id="rId26" Type="http://schemas.openxmlformats.org/officeDocument/2006/relationships/image" Target="media/image11.wmf"/><Relationship Id="rId25" Type="http://schemas.openxmlformats.org/officeDocument/2006/relationships/image" Target="media/image10.wmf"/><Relationship Id="rId24" Type="http://schemas.openxmlformats.org/officeDocument/2006/relationships/image" Target="media/image9.wmf"/><Relationship Id="rId23" Type="http://schemas.openxmlformats.org/officeDocument/2006/relationships/image" Target="media/image8.wmf"/><Relationship Id="rId22" Type="http://schemas.openxmlformats.org/officeDocument/2006/relationships/image" Target="media/image7.wmf"/><Relationship Id="rId21" Type="http://schemas.openxmlformats.org/officeDocument/2006/relationships/image" Target="media/image6.wmf"/><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A5Nzg0ODU5NjQxIiwKCSJHcm91cElkIiA6ICIxOTY1NTU4NTUiLAoJIkltYWdlIiA6ICJpVkJPUncwS0dnb0FBQUFOU1VoRVVnQUFCWUlBQUFEWUNBWUFBQUJXUVpjdUFBQUFBWE5TUjBJQXJzNGM2UUFBSUFCSlJFRlVlSnpzM1hsY1ZOWDdCL0RQblFGWkJQZUZYQkszWEZKa3dDVlgxREp6aWJMTTNUUTFMWmZNMUxSRWNTc1ZkOGtOdDhSeU43ZkM5UnNxYm9reUxJb3BScGlvS0tpZ0xBTU1jMzUvNE53ZnlEQU11K0RuL1hyNUV1YWV1ZWVNZGViT1BQYzV6d0d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ytiL3dkakxHRW9FeExKTkFBQUFBQkpSVTVFcmtKZ2dnPT0iLAoJIlRoZW1lIiA6ICIiLAoJIlR5cGUiIDogImZsb3ciLAoJIlVzZXJJZCIgOiAiMjc1NjE3MTcwIiwKCSJWZXJzaW9uIiA6ICIxMyIKfQo="/>
    </extobj>
    <extobj name="ECB019B1-382A-4266-B25C-5B523AA43C14-2">
      <extobjdata type="ECB019B1-382A-4266-B25C-5B523AA43C14" data="ewoJIkZpbGVJZCIgOiAiNDMzMTA4MDk2OTk3IiwKCSJHcm91cElkIiA6ICIxOTY1NTU4NTUiLAoJIkltYWdlIiA6ICJpVkJPUncwS0dnb0FBQUFOU1VoRVVnQUFCbzRBQUFQZUNBWUFBQUF5THVnaEFBQUFBWE5TUjBJQXJzNGM2UUFBSUFCSlJFRlVlSnpzM1hsNFZPWGR4dkg3ekV6MkJCSUlzcGdnRmhFSmhpd1NJUlQ2aXVJR2hRSUthSkRsUlNwRkFmVUZ3bUlwUzZBS1FnSUNnb0FpRm9ySURoYVJWb0pGQlpRZEJRVUZ4Q2lvckVsSUpza2s1LzJqWkdwTUF0a255L2R6WFY1bG5tMStoNHZtVE9ZKzV6d1N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EQUN6d0FuUlhzMnpHampBc0FBQUFBU1VWT1JLNUNZSUk9IiwKCSJUaGVtZSIgOiAiIiwKCSJUeXBlIiA6ICJmbG93IiwKCSJVc2VySWQiIDogIjI3NTYxNzE3MCIsCgkiVmVyc2lvbiIgOiAiMjM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96</Pages>
  <Words>15335</Words>
  <Characters>16723</Characters>
  <Lines>13</Lines>
  <Paragraphs>3</Paragraphs>
  <TotalTime>0</TotalTime>
  <ScaleCrop>false</ScaleCrop>
  <LinksUpToDate>false</LinksUpToDate>
  <CharactersWithSpaces>16723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初心す</cp:lastModifiedBy>
  <cp:lastPrinted>2020-12-29T02:43:00Z</cp:lastPrinted>
  <dcterms:modified xsi:type="dcterms:W3CDTF">2025-08-19T07:03:41Z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6611215C7E354D16B98CF29233C6A549_13</vt:lpwstr>
  </property>
  <property fmtid="{D5CDD505-2E9C-101B-9397-08002B2CF9AE}" pid="4" name="KSOTemplateDocerSaveRecord">
    <vt:lpwstr>eyJoZGlkIjoiM2EyOWVkMDQ1ZDJiMmU2YTY0Y2RjZjk2MTY4MmNjZTAiLCJ1c2VySWQiOiIzMTQyNjY5OTIifQ==</vt:lpwstr>
  </property>
</Properties>
</file>