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55C26">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836"/>
        <w:gridCol w:w="1996"/>
        <w:gridCol w:w="2122"/>
        <w:gridCol w:w="2934"/>
      </w:tblGrid>
      <w:tr w14:paraId="2378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1033" w:type="pct"/>
            <w:tcMar>
              <w:top w:w="16" w:type="dxa"/>
              <w:left w:w="16" w:type="dxa"/>
              <w:right w:w="16" w:type="dxa"/>
            </w:tcMar>
            <w:vAlign w:val="center"/>
          </w:tcPr>
          <w:p w14:paraId="4F3D180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建设项目名称</w:t>
            </w:r>
          </w:p>
        </w:tc>
        <w:tc>
          <w:tcPr>
            <w:tcW w:w="3967" w:type="pct"/>
            <w:gridSpan w:val="3"/>
            <w:vAlign w:val="center"/>
          </w:tcPr>
          <w:p w14:paraId="75CF0ED1">
            <w:pPr>
              <w:adjustRightInd w:val="0"/>
              <w:snapToGrid w:val="0"/>
              <w:jc w:val="center"/>
              <w:rPr>
                <w:color w:val="000000" w:themeColor="text1"/>
                <w:spacing w:val="-6"/>
                <w:sz w:val="24"/>
                <w14:textFill>
                  <w14:solidFill>
                    <w14:schemeClr w14:val="tx1"/>
                  </w14:solidFill>
                </w14:textFill>
              </w:rPr>
            </w:pPr>
            <w:bookmarkStart w:id="0" w:name="_Hlk204636669"/>
            <w:r>
              <w:rPr>
                <w:rFonts w:hint="eastAsia"/>
                <w:color w:val="000000" w:themeColor="text1"/>
                <w:spacing w:val="-6"/>
                <w:sz w:val="24"/>
                <w14:textFill>
                  <w14:solidFill>
                    <w14:schemeClr w14:val="tx1"/>
                  </w14:solidFill>
                </w14:textFill>
              </w:rPr>
              <w:t>伊金霍洛旗新街马秦壕鑫源洗煤厂新建储煤棚项目</w:t>
            </w:r>
            <w:bookmarkEnd w:id="0"/>
          </w:p>
        </w:tc>
      </w:tr>
      <w:tr w14:paraId="18B96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5BE3BB7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项目代码</w:t>
            </w:r>
          </w:p>
        </w:tc>
        <w:tc>
          <w:tcPr>
            <w:tcW w:w="3967" w:type="pct"/>
            <w:gridSpan w:val="3"/>
            <w:vAlign w:val="center"/>
          </w:tcPr>
          <w:p w14:paraId="4A9B5EC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26BDE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033" w:type="pct"/>
            <w:tcMar>
              <w:top w:w="16" w:type="dxa"/>
              <w:left w:w="16" w:type="dxa"/>
              <w:right w:w="16" w:type="dxa"/>
            </w:tcMar>
            <w:vAlign w:val="center"/>
          </w:tcPr>
          <w:p w14:paraId="1CA6A69E">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建设单位联系人</w:t>
            </w:r>
          </w:p>
        </w:tc>
        <w:tc>
          <w:tcPr>
            <w:tcW w:w="1123" w:type="pct"/>
            <w:vAlign w:val="center"/>
          </w:tcPr>
          <w:p w14:paraId="4052B698">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毛亭</w:t>
            </w:r>
          </w:p>
        </w:tc>
        <w:tc>
          <w:tcPr>
            <w:tcW w:w="1194" w:type="pct"/>
            <w:vAlign w:val="center"/>
          </w:tcPr>
          <w:p w14:paraId="4033ABBA">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联系方式</w:t>
            </w:r>
          </w:p>
        </w:tc>
        <w:tc>
          <w:tcPr>
            <w:tcW w:w="1650" w:type="pct"/>
            <w:vAlign w:val="center"/>
          </w:tcPr>
          <w:p w14:paraId="194FD57D">
            <w:pPr>
              <w:adjustRightInd w:val="0"/>
              <w:snapToGrid w:val="0"/>
              <w:jc w:val="center"/>
              <w:rPr>
                <w:color w:val="000000" w:themeColor="text1"/>
                <w:sz w:val="24"/>
                <w14:textFill>
                  <w14:solidFill>
                    <w14:schemeClr w14:val="tx1"/>
                  </w14:solidFill>
                </w14:textFill>
              </w:rPr>
            </w:pPr>
          </w:p>
        </w:tc>
      </w:tr>
      <w:tr w14:paraId="01B56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033" w:type="pct"/>
            <w:tcMar>
              <w:top w:w="16" w:type="dxa"/>
              <w:left w:w="16" w:type="dxa"/>
              <w:right w:w="16" w:type="dxa"/>
            </w:tcMar>
            <w:vAlign w:val="center"/>
          </w:tcPr>
          <w:p w14:paraId="5EE7DA94">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建设地点</w:t>
            </w:r>
          </w:p>
        </w:tc>
        <w:tc>
          <w:tcPr>
            <w:tcW w:w="3967" w:type="pct"/>
            <w:gridSpan w:val="3"/>
            <w:vAlign w:val="center"/>
          </w:tcPr>
          <w:p w14:paraId="7FB945BD">
            <w:pPr>
              <w:adjustRightInd w:val="0"/>
              <w:snapToGrid w:val="0"/>
              <w:jc w:val="center"/>
              <w:rPr>
                <w:color w:val="000000" w:themeColor="text1"/>
                <w:sz w:val="24"/>
                <w14:textFill>
                  <w14:solidFill>
                    <w14:schemeClr w14:val="tx1"/>
                  </w14:solidFill>
                </w14:textFill>
              </w:rPr>
            </w:pPr>
            <w:r>
              <w:rPr>
                <w:rFonts w:hint="eastAsia"/>
                <w:color w:val="000000" w:themeColor="text1"/>
                <w:kern w:val="0"/>
                <w:sz w:val="24"/>
                <w14:textFill>
                  <w14:solidFill>
                    <w14:schemeClr w14:val="tx1"/>
                  </w14:solidFill>
                </w14:textFill>
              </w:rPr>
              <w:t>内蒙古自治区鄂尔多斯市伊金霍洛旗札萨克镇玛勒庆壕赖村一社</w:t>
            </w:r>
          </w:p>
        </w:tc>
      </w:tr>
      <w:tr w14:paraId="27621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033" w:type="pct"/>
            <w:tcMar>
              <w:top w:w="16" w:type="dxa"/>
              <w:left w:w="16" w:type="dxa"/>
              <w:right w:w="16" w:type="dxa"/>
            </w:tcMar>
            <w:vAlign w:val="center"/>
          </w:tcPr>
          <w:p w14:paraId="27FE38D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地理坐标</w:t>
            </w:r>
          </w:p>
        </w:tc>
        <w:tc>
          <w:tcPr>
            <w:tcW w:w="3967" w:type="pct"/>
            <w:gridSpan w:val="3"/>
            <w:vAlign w:val="center"/>
          </w:tcPr>
          <w:p w14:paraId="5ED8347A">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color w:val="000000" w:themeColor="text1"/>
                <w:sz w:val="24"/>
                <w:u w:val="single"/>
                <w14:textFill>
                  <w14:solidFill>
                    <w14:schemeClr w14:val="tx1"/>
                  </w14:solidFill>
                </w14:textFill>
              </w:rPr>
              <w:t xml:space="preserve"> 1</w:t>
            </w:r>
            <w:r>
              <w:rPr>
                <w:rFonts w:hint="eastAsia"/>
                <w:color w:val="000000" w:themeColor="text1"/>
                <w:sz w:val="24"/>
                <w:u w:val="single"/>
                <w14:textFill>
                  <w14:solidFill>
                    <w14:schemeClr w14:val="tx1"/>
                  </w14:solidFill>
                </w14:textFill>
              </w:rPr>
              <w:t>09</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度</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55</w:t>
            </w:r>
            <w:r>
              <w:rPr>
                <w:color w:val="000000" w:themeColor="text1"/>
                <w:sz w:val="24"/>
                <w14:textFill>
                  <w14:solidFill>
                    <w14:schemeClr w14:val="tx1"/>
                  </w14:solidFill>
                </w14:textFill>
              </w:rPr>
              <w:t>分</w:t>
            </w:r>
            <w:r>
              <w:rPr>
                <w:rFonts w:hint="eastAsia"/>
                <w:color w:val="000000" w:themeColor="text1"/>
                <w:sz w:val="24"/>
                <w:u w:val="single"/>
                <w14:textFill>
                  <w14:solidFill>
                    <w14:schemeClr w14:val="tx1"/>
                  </w14:solidFill>
                </w14:textFill>
              </w:rPr>
              <w:t>19.665</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秒，</w:t>
            </w:r>
            <w:r>
              <w:rPr>
                <w:color w:val="000000" w:themeColor="text1"/>
                <w:sz w:val="24"/>
                <w:u w:val="single"/>
                <w14:textFill>
                  <w14:solidFill>
                    <w14:schemeClr w14:val="tx1"/>
                  </w14:solidFill>
                </w14:textFill>
              </w:rPr>
              <w:t xml:space="preserve"> 3</w:t>
            </w:r>
            <w:r>
              <w:rPr>
                <w:rFonts w:hint="eastAsia"/>
                <w:color w:val="000000" w:themeColor="text1"/>
                <w:sz w:val="24"/>
                <w:u w:val="single"/>
                <w14:textFill>
                  <w14:solidFill>
                    <w14:schemeClr w14:val="tx1"/>
                  </w14:solidFill>
                </w14:textFill>
              </w:rPr>
              <w:t>9</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度</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11</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分</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55.397</w:t>
            </w:r>
            <w:r>
              <w:rPr>
                <w:color w:val="000000" w:themeColor="text1"/>
                <w:sz w:val="24"/>
                <w14:textFill>
                  <w14:solidFill>
                    <w14:schemeClr w14:val="tx1"/>
                  </w14:solidFill>
                </w14:textFill>
              </w:rPr>
              <w:t>秒）</w:t>
            </w:r>
          </w:p>
        </w:tc>
      </w:tr>
      <w:tr w14:paraId="45F6F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1033" w:type="pct"/>
            <w:tcMar>
              <w:top w:w="16" w:type="dxa"/>
              <w:left w:w="16" w:type="dxa"/>
              <w:right w:w="16" w:type="dxa"/>
            </w:tcMar>
            <w:vAlign w:val="center"/>
          </w:tcPr>
          <w:p w14:paraId="78A6ECA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国民经济</w:t>
            </w:r>
          </w:p>
          <w:p w14:paraId="36D12DD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行业类别</w:t>
            </w:r>
          </w:p>
        </w:tc>
        <w:tc>
          <w:tcPr>
            <w:tcW w:w="1123" w:type="pct"/>
            <w:vAlign w:val="center"/>
          </w:tcPr>
          <w:p w14:paraId="11D8581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B0610烟煤和无烟煤开采洗选</w:t>
            </w:r>
          </w:p>
        </w:tc>
        <w:tc>
          <w:tcPr>
            <w:tcW w:w="1194" w:type="pct"/>
            <w:vAlign w:val="center"/>
          </w:tcPr>
          <w:p w14:paraId="33B7382D">
            <w:pPr>
              <w:adjustRightInd w:val="0"/>
              <w:snapToGrid w:val="0"/>
              <w:jc w:val="center"/>
              <w:rPr>
                <w:color w:val="000000" w:themeColor="text1"/>
                <w:sz w:val="24"/>
                <w14:textFill>
                  <w14:solidFill>
                    <w14:schemeClr w14:val="tx1"/>
                  </w14:solidFill>
                </w14:textFill>
              </w:rPr>
            </w:pPr>
            <w:bookmarkStart w:id="1" w:name="_Hlk49843745"/>
            <w:r>
              <w:rPr>
                <w:color w:val="000000" w:themeColor="text1"/>
                <w:sz w:val="24"/>
                <w14:textFill>
                  <w14:solidFill>
                    <w14:schemeClr w14:val="tx1"/>
                  </w14:solidFill>
                </w14:textFill>
              </w:rPr>
              <w:t>建设项目</w:t>
            </w:r>
          </w:p>
          <w:p w14:paraId="16F2F27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行业类别</w:t>
            </w:r>
            <w:bookmarkEnd w:id="1"/>
          </w:p>
        </w:tc>
        <w:tc>
          <w:tcPr>
            <w:tcW w:w="1650" w:type="pct"/>
            <w:vAlign w:val="center"/>
          </w:tcPr>
          <w:p w14:paraId="014B6F3C">
            <w:pPr>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四、煤炭开采和洗选业06烟煤和无烟煤开采洗选061煤炭储存、集运</w:t>
            </w:r>
          </w:p>
        </w:tc>
      </w:tr>
      <w:tr w14:paraId="364C0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5" w:hRule="atLeast"/>
          <w:jc w:val="center"/>
        </w:trPr>
        <w:tc>
          <w:tcPr>
            <w:tcW w:w="1033" w:type="pct"/>
            <w:tcMar>
              <w:top w:w="16" w:type="dxa"/>
              <w:left w:w="16" w:type="dxa"/>
              <w:right w:w="16" w:type="dxa"/>
            </w:tcMar>
            <w:vAlign w:val="center"/>
          </w:tcPr>
          <w:p w14:paraId="2F12D2A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建设性质</w:t>
            </w:r>
          </w:p>
        </w:tc>
        <w:tc>
          <w:tcPr>
            <w:tcW w:w="1123" w:type="pct"/>
            <w:vAlign w:val="center"/>
          </w:tcPr>
          <w:p w14:paraId="0026FE6C">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新建（迁建）</w:t>
            </w:r>
          </w:p>
          <w:p w14:paraId="72FB34D9">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改建</w:t>
            </w:r>
          </w:p>
          <w:p w14:paraId="2A274AD7">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52"/>
            </w:r>
            <w:r>
              <w:rPr>
                <w:color w:val="000000" w:themeColor="text1"/>
                <w:sz w:val="24"/>
                <w14:textFill>
                  <w14:solidFill>
                    <w14:schemeClr w14:val="tx1"/>
                  </w14:solidFill>
                </w14:textFill>
              </w:rPr>
              <w:t>扩建</w:t>
            </w:r>
          </w:p>
          <w:p w14:paraId="406EF272">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技术改造</w:t>
            </w:r>
          </w:p>
        </w:tc>
        <w:tc>
          <w:tcPr>
            <w:tcW w:w="1194" w:type="pct"/>
            <w:vAlign w:val="center"/>
          </w:tcPr>
          <w:p w14:paraId="7B57DF2B">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w:t>
            </w:r>
          </w:p>
          <w:p w14:paraId="75197A11">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申报情形</w:t>
            </w:r>
          </w:p>
        </w:tc>
        <w:tc>
          <w:tcPr>
            <w:tcW w:w="1650" w:type="pct"/>
            <w:vAlign w:val="center"/>
          </w:tcPr>
          <w:p w14:paraId="6D6CCB5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52"/>
            </w:r>
            <w:r>
              <w:rPr>
                <w:color w:val="000000" w:themeColor="text1"/>
                <w:sz w:val="24"/>
                <w14:textFill>
                  <w14:solidFill>
                    <w14:schemeClr w14:val="tx1"/>
                  </w14:solidFill>
                </w14:textFill>
              </w:rPr>
              <w:t>首次申报项目</w:t>
            </w:r>
          </w:p>
          <w:p w14:paraId="01C1E1D7">
            <w:pPr>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不予批准后再次申报项目</w:t>
            </w:r>
          </w:p>
          <w:p w14:paraId="060193C1">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超五年重新审核项目</w:t>
            </w:r>
          </w:p>
          <w:p w14:paraId="058E11C2">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重大变动重新报批项目</w:t>
            </w:r>
          </w:p>
        </w:tc>
      </w:tr>
      <w:tr w14:paraId="79923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1D4BF27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项目审批（核准/备案）部门</w:t>
            </w:r>
          </w:p>
        </w:tc>
        <w:tc>
          <w:tcPr>
            <w:tcW w:w="1123" w:type="pct"/>
            <w:vAlign w:val="center"/>
          </w:tcPr>
          <w:p w14:paraId="05A131F9">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1194" w:type="pct"/>
            <w:vAlign w:val="center"/>
          </w:tcPr>
          <w:p w14:paraId="1406CB2B">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项目审批（核准/备案）文号（选填）</w:t>
            </w:r>
          </w:p>
        </w:tc>
        <w:tc>
          <w:tcPr>
            <w:tcW w:w="1650" w:type="pct"/>
            <w:vAlign w:val="center"/>
          </w:tcPr>
          <w:p w14:paraId="63ACDC74">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3554C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7892E8A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总投资（万元）</w:t>
            </w:r>
          </w:p>
        </w:tc>
        <w:tc>
          <w:tcPr>
            <w:tcW w:w="1123" w:type="pct"/>
            <w:vAlign w:val="center"/>
          </w:tcPr>
          <w:p w14:paraId="36F4437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608</w:t>
            </w:r>
          </w:p>
        </w:tc>
        <w:tc>
          <w:tcPr>
            <w:tcW w:w="1194" w:type="pct"/>
            <w:tcMar>
              <w:top w:w="16" w:type="dxa"/>
              <w:left w:w="16" w:type="dxa"/>
              <w:right w:w="16" w:type="dxa"/>
            </w:tcMar>
            <w:vAlign w:val="center"/>
          </w:tcPr>
          <w:p w14:paraId="53CDA66A">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环保投资（万元）</w:t>
            </w:r>
          </w:p>
        </w:tc>
        <w:tc>
          <w:tcPr>
            <w:tcW w:w="1650" w:type="pct"/>
            <w:vAlign w:val="center"/>
          </w:tcPr>
          <w:p w14:paraId="13761D75">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608</w:t>
            </w:r>
          </w:p>
        </w:tc>
      </w:tr>
      <w:tr w14:paraId="60B08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033" w:type="pct"/>
            <w:tcMar>
              <w:top w:w="16" w:type="dxa"/>
              <w:left w:w="16" w:type="dxa"/>
              <w:right w:w="16" w:type="dxa"/>
            </w:tcMar>
            <w:vAlign w:val="center"/>
          </w:tcPr>
          <w:p w14:paraId="10B0DBE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环保投资占比（%）</w:t>
            </w:r>
          </w:p>
        </w:tc>
        <w:tc>
          <w:tcPr>
            <w:tcW w:w="1123" w:type="pct"/>
            <w:vAlign w:val="center"/>
          </w:tcPr>
          <w:p w14:paraId="6BEFDB0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100</w:t>
            </w:r>
          </w:p>
        </w:tc>
        <w:tc>
          <w:tcPr>
            <w:tcW w:w="1194" w:type="pct"/>
            <w:tcMar>
              <w:top w:w="16" w:type="dxa"/>
              <w:left w:w="16" w:type="dxa"/>
              <w:right w:w="16" w:type="dxa"/>
            </w:tcMar>
            <w:vAlign w:val="center"/>
          </w:tcPr>
          <w:p w14:paraId="6BB3177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施工工期</w:t>
            </w:r>
          </w:p>
        </w:tc>
        <w:tc>
          <w:tcPr>
            <w:tcW w:w="1650" w:type="pct"/>
            <w:vAlign w:val="center"/>
          </w:tcPr>
          <w:p w14:paraId="50978AB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0DC5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033" w:type="pct"/>
            <w:tcMar>
              <w:top w:w="16" w:type="dxa"/>
              <w:left w:w="16" w:type="dxa"/>
              <w:right w:w="16" w:type="dxa"/>
            </w:tcMar>
            <w:vAlign w:val="center"/>
          </w:tcPr>
          <w:p w14:paraId="6E7D70B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是否开工建设</w:t>
            </w:r>
          </w:p>
        </w:tc>
        <w:tc>
          <w:tcPr>
            <w:tcW w:w="1123" w:type="pct"/>
            <w:vAlign w:val="center"/>
          </w:tcPr>
          <w:p w14:paraId="5D5B4F23">
            <w:pPr>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否</w:t>
            </w:r>
          </w:p>
          <w:p w14:paraId="12F7E662">
            <w:pPr>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t>■是：</w:t>
            </w:r>
            <w:r>
              <w:rPr>
                <w:rFonts w:hint="eastAsia"/>
                <w:color w:val="000000" w:themeColor="text1"/>
                <w:sz w:val="24"/>
                <w:u w:val="single"/>
                <w14:textFill>
                  <w14:solidFill>
                    <w14:schemeClr w14:val="tx1"/>
                  </w14:solidFill>
                </w14:textFill>
              </w:rPr>
              <w:t>全厂煤棚面积超过原环评批复的煤棚面积，超出部分属于“未批先建”。鄂尔多斯市生态环境局于2025年7月23日出具行政处罚决定书（鄂环罚</w:t>
            </w:r>
            <w:r>
              <w:rPr>
                <w:rFonts w:hint="eastAsia" w:ascii="宋体" w:hAnsi="宋体"/>
                <w:color w:val="000000" w:themeColor="text1"/>
                <w:sz w:val="24"/>
                <w:u w:val="single"/>
                <w14:textFill>
                  <w14:solidFill>
                    <w14:schemeClr w14:val="tx1"/>
                  </w14:solidFill>
                </w14:textFill>
              </w:rPr>
              <w:t>〔</w:t>
            </w:r>
            <w:r>
              <w:rPr>
                <w:rFonts w:hint="eastAsia"/>
                <w:color w:val="000000" w:themeColor="text1"/>
                <w:sz w:val="24"/>
                <w:u w:val="single"/>
                <w14:textFill>
                  <w14:solidFill>
                    <w14:schemeClr w14:val="tx1"/>
                  </w14:solidFill>
                </w14:textFill>
              </w:rPr>
              <w:t>2025</w:t>
            </w:r>
            <w:r>
              <w:rPr>
                <w:rFonts w:hint="eastAsia" w:ascii="宋体" w:hAnsi="宋体"/>
                <w:color w:val="000000" w:themeColor="text1"/>
                <w:sz w:val="24"/>
                <w:u w:val="single"/>
                <w14:textFill>
                  <w14:solidFill>
                    <w14:schemeClr w14:val="tx1"/>
                  </w14:solidFill>
                </w14:textFill>
              </w:rPr>
              <w:t>〕</w:t>
            </w:r>
            <w:r>
              <w:rPr>
                <w:rFonts w:hint="eastAsia"/>
                <w:color w:val="000000" w:themeColor="text1"/>
                <w:sz w:val="24"/>
                <w:u w:val="single"/>
                <w14:textFill>
                  <w14:solidFill>
                    <w14:schemeClr w14:val="tx1"/>
                  </w14:solidFill>
                </w14:textFill>
              </w:rPr>
              <w:t>5-18号），建设单位于2025年7月24日缴纳罚款。</w:t>
            </w:r>
          </w:p>
        </w:tc>
        <w:tc>
          <w:tcPr>
            <w:tcW w:w="1194" w:type="pct"/>
            <w:tcMar>
              <w:top w:w="16" w:type="dxa"/>
              <w:left w:w="16" w:type="dxa"/>
              <w:right w:w="16" w:type="dxa"/>
            </w:tcMar>
            <w:vAlign w:val="center"/>
          </w:tcPr>
          <w:p w14:paraId="4B4DE9F5">
            <w:pPr>
              <w:adjustRightInd w:val="0"/>
              <w:snapToGrid w:val="0"/>
              <w:jc w:val="center"/>
              <w:rPr>
                <w:color w:val="000000" w:themeColor="text1"/>
                <w:spacing w:val="-6"/>
                <w:sz w:val="24"/>
                <w14:textFill>
                  <w14:solidFill>
                    <w14:schemeClr w14:val="tx1"/>
                  </w14:solidFill>
                </w14:textFill>
              </w:rPr>
            </w:pPr>
            <w:r>
              <w:rPr>
                <w:color w:val="000000" w:themeColor="text1"/>
                <w:spacing w:val="-6"/>
                <w:sz w:val="24"/>
                <w14:textFill>
                  <w14:solidFill>
                    <w14:schemeClr w14:val="tx1"/>
                  </w14:solidFill>
                </w14:textFill>
              </w:rPr>
              <w:t>用地（用海）</w:t>
            </w:r>
          </w:p>
          <w:p w14:paraId="07154A3A">
            <w:pPr>
              <w:adjustRightInd w:val="0"/>
              <w:snapToGrid w:val="0"/>
              <w:jc w:val="center"/>
              <w:rPr>
                <w:color w:val="000000" w:themeColor="text1"/>
                <w:sz w:val="24"/>
                <w14:textFill>
                  <w14:solidFill>
                    <w14:schemeClr w14:val="tx1"/>
                  </w14:solidFill>
                </w14:textFill>
              </w:rPr>
            </w:pPr>
            <w:r>
              <w:rPr>
                <w:color w:val="000000" w:themeColor="text1"/>
                <w:spacing w:val="-6"/>
                <w:sz w:val="24"/>
                <w14:textFill>
                  <w14:solidFill>
                    <w14:schemeClr w14:val="tx1"/>
                  </w14:solidFill>
                </w14:textFill>
              </w:rPr>
              <w:t>面积（m</w:t>
            </w:r>
            <w:r>
              <w:rPr>
                <w:color w:val="000000" w:themeColor="text1"/>
                <w:spacing w:val="-6"/>
                <w:sz w:val="24"/>
                <w:vertAlign w:val="superscript"/>
                <w14:textFill>
                  <w14:solidFill>
                    <w14:schemeClr w14:val="tx1"/>
                  </w14:solidFill>
                </w14:textFill>
              </w:rPr>
              <w:t>2</w:t>
            </w:r>
            <w:r>
              <w:rPr>
                <w:color w:val="000000" w:themeColor="text1"/>
                <w:spacing w:val="-6"/>
                <w:sz w:val="24"/>
                <w14:textFill>
                  <w14:solidFill>
                    <w14:schemeClr w14:val="tx1"/>
                  </w14:solidFill>
                </w14:textFill>
              </w:rPr>
              <w:t>）</w:t>
            </w:r>
          </w:p>
        </w:tc>
        <w:tc>
          <w:tcPr>
            <w:tcW w:w="1650" w:type="pct"/>
            <w:vAlign w:val="center"/>
          </w:tcPr>
          <w:p w14:paraId="3759325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41447</w:t>
            </w:r>
          </w:p>
          <w:p w14:paraId="1D34CDB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（本次扩建煤棚占地面积18620.01m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，无新增用地）</w:t>
            </w:r>
          </w:p>
        </w:tc>
      </w:tr>
      <w:tr w14:paraId="3EF2F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9" w:hRule="atLeast"/>
          <w:jc w:val="center"/>
        </w:trPr>
        <w:tc>
          <w:tcPr>
            <w:tcW w:w="1033" w:type="pct"/>
            <w:vAlign w:val="center"/>
          </w:tcPr>
          <w:p w14:paraId="63340068">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专项评价设置</w:t>
            </w:r>
          </w:p>
          <w:p w14:paraId="5D008486">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情况</w:t>
            </w:r>
          </w:p>
        </w:tc>
        <w:tc>
          <w:tcPr>
            <w:tcW w:w="3967" w:type="pct"/>
            <w:gridSpan w:val="3"/>
            <w:vAlign w:val="center"/>
          </w:tcPr>
          <w:p w14:paraId="77E8F459">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6D40F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033" w:type="pct"/>
            <w:vAlign w:val="center"/>
          </w:tcPr>
          <w:p w14:paraId="0A9C0A48">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规划情况</w:t>
            </w:r>
          </w:p>
        </w:tc>
        <w:tc>
          <w:tcPr>
            <w:tcW w:w="3967" w:type="pct"/>
            <w:gridSpan w:val="3"/>
            <w:vAlign w:val="center"/>
          </w:tcPr>
          <w:p w14:paraId="1F432075">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66049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1033" w:type="pct"/>
            <w:vAlign w:val="center"/>
          </w:tcPr>
          <w:p w14:paraId="70C789D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规划环境影响评价情况</w:t>
            </w:r>
          </w:p>
        </w:tc>
        <w:tc>
          <w:tcPr>
            <w:tcW w:w="3967" w:type="pct"/>
            <w:gridSpan w:val="3"/>
            <w:vAlign w:val="center"/>
          </w:tcPr>
          <w:p w14:paraId="3200DBFF">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212D8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583EF5D2">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规划及规划环境影响评价符合性分析</w:t>
            </w:r>
          </w:p>
        </w:tc>
        <w:tc>
          <w:tcPr>
            <w:tcW w:w="3967" w:type="pct"/>
            <w:gridSpan w:val="3"/>
            <w:vAlign w:val="center"/>
          </w:tcPr>
          <w:p w14:paraId="02696AA9">
            <w:pPr>
              <w:pStyle w:val="5"/>
              <w:spacing w:line="440" w:lineRule="exact"/>
              <w:ind w:firstLine="0"/>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66F8C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69E31074">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其他符合性</w:t>
            </w:r>
          </w:p>
          <w:p w14:paraId="46FB19EB">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分析</w:t>
            </w:r>
          </w:p>
        </w:tc>
        <w:tc>
          <w:tcPr>
            <w:tcW w:w="3967" w:type="pct"/>
            <w:gridSpan w:val="3"/>
            <w:vAlign w:val="center"/>
          </w:tcPr>
          <w:p w14:paraId="2A1E15CD">
            <w:pPr>
              <w:spacing w:line="440" w:lineRule="exact"/>
              <w:ind w:left="42" w:leftChars="20" w:right="42" w:rightChars="20"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1、政策符合性分析</w:t>
            </w:r>
          </w:p>
          <w:p w14:paraId="5F37339C">
            <w:pPr>
              <w:spacing w:line="440" w:lineRule="exact"/>
              <w:ind w:left="42" w:leftChars="20" w:right="42" w:rightChars="20" w:firstLine="480" w:firstLineChars="200"/>
              <w:rPr>
                <w:color w:val="000000" w:themeColor="text1"/>
                <w:kern w:val="0"/>
                <w:sz w:val="24"/>
                <w14:textFill>
                  <w14:solidFill>
                    <w14:schemeClr w14:val="tx1"/>
                  </w14:solidFill>
                </w14:textFill>
              </w:rPr>
            </w:pPr>
            <w:r>
              <w:rPr>
                <w:color w:val="000000" w:themeColor="text1"/>
                <w:kern w:val="0"/>
                <w:sz w:val="24"/>
                <w:lang w:val="en-GB"/>
                <w14:textFill>
                  <w14:solidFill>
                    <w14:schemeClr w14:val="tx1"/>
                  </w14:solidFill>
                </w14:textFill>
              </w:rPr>
              <w:t>根据</w:t>
            </w:r>
            <w:r>
              <w:rPr>
                <w:color w:val="000000" w:themeColor="text1"/>
                <w:kern w:val="0"/>
                <w:sz w:val="24"/>
                <w14:textFill>
                  <w14:solidFill>
                    <w14:schemeClr w14:val="tx1"/>
                  </w14:solidFill>
                </w14:textFill>
              </w:rPr>
              <w:t>《产业结构调整指导目录</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0</w:t>
            </w:r>
            <w:r>
              <w:rPr>
                <w:rFonts w:hint="eastAsia"/>
                <w:color w:val="000000" w:themeColor="text1"/>
                <w:kern w:val="0"/>
                <w:sz w:val="24"/>
                <w14:textFill>
                  <w14:solidFill>
                    <w14:schemeClr w14:val="tx1"/>
                  </w14:solidFill>
                </w14:textFill>
              </w:rPr>
              <w:t>24年）</w:t>
            </w:r>
            <w:r>
              <w:rPr>
                <w:color w:val="000000" w:themeColor="text1"/>
                <w:kern w:val="0"/>
                <w:sz w:val="24"/>
                <w14:textFill>
                  <w14:solidFill>
                    <w14:schemeClr w14:val="tx1"/>
                  </w14:solidFill>
                </w14:textFill>
              </w:rPr>
              <w:t>》，项目属于</w:t>
            </w:r>
            <w:r>
              <w:rPr>
                <w:rFonts w:hint="eastAsia"/>
                <w:color w:val="000000" w:themeColor="text1"/>
                <w:kern w:val="0"/>
                <w:sz w:val="24"/>
                <w14:textFill>
                  <w14:solidFill>
                    <w14:schemeClr w14:val="tx1"/>
                  </w14:solidFill>
                </w14:textFill>
              </w:rPr>
              <w:t>“三、煤炭</w:t>
            </w: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14:textFill>
                  <w14:solidFill>
                    <w14:schemeClr w14:val="tx1"/>
                  </w14:solidFill>
                </w14:textFill>
              </w:rPr>
              <w:t>煤炭跨区域运输通道和集疏运体系：管道输煤，大型煤炭储运中心、煤炭交易市场建设，储煤设施建设和环保改造”，为鼓励类项目</w:t>
            </w:r>
            <w:r>
              <w:rPr>
                <w:color w:val="000000" w:themeColor="text1"/>
                <w:kern w:val="0"/>
                <w:sz w:val="24"/>
                <w14:textFill>
                  <w14:solidFill>
                    <w14:schemeClr w14:val="tx1"/>
                  </w14:solidFill>
                </w14:textFill>
              </w:rPr>
              <w:t>；</w:t>
            </w:r>
            <w:r>
              <w:rPr>
                <w:rFonts w:hint="eastAsia"/>
                <w:color w:val="000000" w:themeColor="text1"/>
                <w:sz w:val="24"/>
                <w14:textFill>
                  <w14:solidFill>
                    <w14:schemeClr w14:val="tx1"/>
                  </w14:solidFill>
                </w14:textFill>
              </w:rPr>
              <w:t>不属于《市场准入负面清单（2025年版）》中禁止准入类</w:t>
            </w:r>
            <w:r>
              <w:rPr>
                <w:rFonts w:hint="eastAsia"/>
                <w:color w:val="000000" w:themeColor="text1"/>
                <w:kern w:val="0"/>
                <w:sz w:val="24"/>
                <w14:textFill>
                  <w14:solidFill>
                    <w14:schemeClr w14:val="tx1"/>
                  </w14:solidFill>
                </w14:textFill>
              </w:rPr>
              <w:t>。</w:t>
            </w:r>
          </w:p>
          <w:p w14:paraId="63C3D537">
            <w:pPr>
              <w:spacing w:line="440" w:lineRule="exact"/>
              <w:ind w:left="42" w:leftChars="20" w:right="42" w:rightChars="20"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因此，项目建设符合国家及地方产业政策。</w:t>
            </w:r>
          </w:p>
          <w:p w14:paraId="6AD78E3F">
            <w:pPr>
              <w:spacing w:line="440" w:lineRule="exact"/>
              <w:ind w:left="42" w:leftChars="20" w:right="42" w:rightChars="20"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2、项目选址可行性分析</w:t>
            </w:r>
          </w:p>
          <w:p w14:paraId="6A78FCF9">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在现有厂区内建设，不新增占地，位于伊金霍洛旗新街马秦壕鑫源洗煤厂现有厂区内。厂区四周均为空地。项目周边500m范围内无敏感点。项目在现有厂区内建设，厂址占地不涉及自然保护区、风景名胜区、居住区、文化区和农村地区中人群较集中的区域及饮用水水源地等，项目采取了有效的污染防治措施，对环境影响较小，从环境保护的角度分析，选址可行。</w:t>
            </w:r>
          </w:p>
          <w:p w14:paraId="3E8DC07D">
            <w:pPr>
              <w:numPr>
                <w:ilvl w:val="0"/>
                <w:numId w:val="1"/>
              </w:numPr>
              <w:spacing w:line="440" w:lineRule="exact"/>
              <w:ind w:firstLine="482" w:firstLineChars="200"/>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项目与</w:t>
            </w:r>
            <w:r>
              <w:rPr>
                <w:b/>
                <w:bCs/>
                <w:color w:val="000000" w:themeColor="text1"/>
                <w:kern w:val="0"/>
                <w:sz w:val="24"/>
                <w14:textFill>
                  <w14:solidFill>
                    <w14:schemeClr w14:val="tx1"/>
                  </w14:solidFill>
                </w14:textFill>
              </w:rPr>
              <w:t>“三线一单”符合性分析</w:t>
            </w:r>
          </w:p>
          <w:p w14:paraId="5F1E41B1">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根据鄂尔多斯市生态环境局关于印发《鄂尔多斯市生态环境分区管控动态更新成果（2023 年版）》的通知，环境管控单元包括优先保护单元、重点管控单元、一般管控单元三类，实施分类管控。</w:t>
            </w:r>
          </w:p>
          <w:p w14:paraId="26CB0BAE">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（1）生态保护红线</w:t>
            </w:r>
          </w:p>
          <w:p w14:paraId="568BC6A9">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4B5120EE">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调整后，全市按优先保护、重点管控、一般管控三大类划分为 171 个环境管控单元。其中，优先保护单元76个，面积占比64.35%；重点管控单元 86个，面积占比 28.10%；一般管控单元 9个，面积占比 7.56%。</w:t>
            </w:r>
          </w:p>
          <w:p w14:paraId="026914A5">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项目位于鄂尔多斯市伊金霍洛旗札萨克镇玛勒庆壕赖村一社伊金霍洛旗新街马秦壕鑫源洗煤厂现有厂区内，位于重点管控单元，项目占地范围及周边500m 范围内无国家公园、自然保护区、风景名胜区、世界文化和自然遗产地、海洋特别保护区、饮用水水源保护区等，项目周边不存在生态保护红线。</w:t>
            </w:r>
          </w:p>
          <w:p w14:paraId="1449AAAD">
            <w:pPr>
              <w:spacing w:line="440" w:lineRule="exact"/>
              <w:ind w:left="42" w:leftChars="20" w:right="42" w:rightChars="20" w:firstLine="480" w:firstLineChars="200"/>
              <w:rPr>
                <w:rFonts w:hint="default"/>
                <w:color w:val="000000" w:themeColor="text1"/>
                <w:kern w:val="0"/>
                <w:sz w:val="24"/>
                <w:lang w:val="en-US"/>
                <w14:textFill>
                  <w14:solidFill>
                    <w14:schemeClr w14:val="tx1"/>
                  </w14:solidFill>
                </w14:textFill>
              </w:rPr>
            </w:pPr>
            <w:r>
              <w:rPr>
                <w:rFonts w:hint="eastAsia"/>
                <w:color w:val="000000" w:themeColor="text1"/>
                <w:kern w:val="0"/>
                <w:sz w:val="24"/>
                <w14:textFill>
                  <w14:solidFill>
                    <w14:schemeClr w14:val="tx1"/>
                  </w14:solidFill>
                </w14:textFill>
              </w:rPr>
              <w:t>（2）资源利用</w:t>
            </w:r>
            <w:r>
              <w:rPr>
                <w:rFonts w:hint="eastAsia"/>
                <w:color w:val="000000" w:themeColor="text1"/>
                <w:kern w:val="0"/>
                <w:sz w:val="24"/>
                <w:lang w:eastAsia="zh-CN"/>
                <w14:textFill>
                  <w14:solidFill>
                    <w14:schemeClr w14:val="tx1"/>
                  </w14:solidFill>
                </w14:textFill>
              </w:rPr>
              <w:t>上</w:t>
            </w:r>
            <w:r>
              <w:rPr>
                <w:rFonts w:hint="eastAsia"/>
                <w:color w:val="000000" w:themeColor="text1"/>
                <w:kern w:val="0"/>
                <w:sz w:val="24"/>
                <w:lang w:val="en-US" w:eastAsia="zh-CN"/>
                <w14:textFill>
                  <w14:solidFill>
                    <w14:schemeClr w14:val="tx1"/>
                  </w14:solidFill>
                </w14:textFill>
              </w:rPr>
              <w:t>线</w:t>
            </w:r>
          </w:p>
          <w:p w14:paraId="3AB42A27">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不属于高耗能、高污染的项目，在运营期间主要资源消耗为电能，消耗少量水资源。本项目供电依托厂区现有用电系统，生产用水采用鄂尔多斯市圣圆水务集团有限责任公司提供的经处理达标后的矿井疏干水，生活用水由伊金霍洛旗圣圆自来水有限公司供给自来水，资源消耗量相对于区域资源利用总量较少，同时符合清洁生产中能源消耗相关要求。</w:t>
            </w:r>
          </w:p>
          <w:p w14:paraId="6925732F">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因此，项目资源消耗符合资源利用上线要求。</w:t>
            </w:r>
          </w:p>
          <w:p w14:paraId="5CC0B5BA">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（3）环境质量底线</w:t>
            </w:r>
          </w:p>
          <w:p w14:paraId="680890BC">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内蒙古自治区生态环境厅发布的《2024年内蒙古自治区生态环境状况公报》，“2024年，全区环境空气六项污染物年均浓度均达标。项目位于鄂尔多斯市伊金霍洛旗，属于环境空气质量达标区。”因此，项目所在区域环境空气质量属于达标区。结合现状监测数据可知，评价范围内环境空气特征污染物 TSP 浓度现状符合其相应的环境功能区划要求。</w:t>
            </w:r>
          </w:p>
          <w:p w14:paraId="28EB74B1">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项目运营期过程中产生的废气、噪声在采取合理可行的污染防治措施处理后，均可达标排放；产生的固体废物定期进行合理的处置。</w:t>
            </w:r>
          </w:p>
          <w:p w14:paraId="2BA57947">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因此，在落实本评价提出的各项相关污染防治措施后，项目的各类污染物均能有效处理，不会明显降低所在区域的环境质量现状，不会对当地环境质量底线造成冲击，不会突破区域环境质量底线。</w:t>
            </w:r>
          </w:p>
          <w:p w14:paraId="062A71BD">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（4）生态环境准入清单</w:t>
            </w:r>
          </w:p>
          <w:p w14:paraId="255A0414">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根据鄂尔多斯市生态环境局关于印发《鄂尔多斯市生态环境分区管控动态更新成果（2023 年版）》的通知和《鄂尔多斯市生态环境准入清单》以及内蒙古自治区“三线一单”公众端应用平台查询结果，项目位于重点管控单元， 项目与管控单元要求符合性分析见下表。</w:t>
            </w:r>
          </w:p>
          <w:p w14:paraId="095B316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0A824656">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2D0FA87">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6627EA1A">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44CD837">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30F779E">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736CC6BB">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F10E81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6A3E95C">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93C3AB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6A4BB6C">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8B6E246">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B134835">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6DC5FC9B">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5F78C0F7">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68FAAE8">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51A9D568">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84D3490">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6D1F3692">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32EA5D0">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8943547">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1B73EA7">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B553490">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5A9D261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7B6CE154">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B0D440F">
            <w:pPr>
              <w:spacing w:line="440" w:lineRule="exact"/>
              <w:ind w:left="42" w:leftChars="20" w:right="42" w:rightChars="20" w:firstLine="480" w:firstLineChars="200"/>
              <w:rPr>
                <w:color w:val="000000" w:themeColor="text1"/>
                <w:kern w:val="0"/>
                <w:sz w:val="24"/>
                <w14:textFill>
                  <w14:solidFill>
                    <w14:schemeClr w14:val="tx1"/>
                  </w14:solidFill>
                </w14:textFill>
              </w:rPr>
            </w:pPr>
          </w:p>
        </w:tc>
      </w:tr>
    </w:tbl>
    <w:p w14:paraId="34877715">
      <w:pPr>
        <w:autoSpaceDE w:val="0"/>
        <w:autoSpaceDN w:val="0"/>
        <w:adjustRightInd w:val="0"/>
        <w:snapToGrid w:val="0"/>
        <w:jc w:val="center"/>
        <w:rPr>
          <w:color w:val="000000" w:themeColor="text1"/>
          <w:kern w:val="0"/>
          <w:sz w:val="24"/>
          <w14:textFill>
            <w14:solidFill>
              <w14:schemeClr w14:val="tx1"/>
            </w14:solidFill>
          </w14:textFill>
        </w:rPr>
        <w:sectPr>
          <w:footerReference r:id="rId3" w:type="default"/>
          <w:footerReference r:id="rId4" w:type="even"/>
          <w:pgSz w:w="11906" w:h="16838"/>
          <w:pgMar w:top="1418" w:right="1531" w:bottom="1418" w:left="1531" w:header="851" w:footer="851"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2357"/>
      </w:tblGrid>
      <w:tr w14:paraId="3C1DA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605" w:type="pct"/>
            <w:vAlign w:val="center"/>
          </w:tcPr>
          <w:p w14:paraId="4BF0409D">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其他符合性</w:t>
            </w:r>
          </w:p>
          <w:p w14:paraId="5AEB94A9">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分析</w:t>
            </w:r>
          </w:p>
        </w:tc>
        <w:tc>
          <w:tcPr>
            <w:tcW w:w="4395" w:type="pct"/>
            <w:vAlign w:val="center"/>
          </w:tcPr>
          <w:p w14:paraId="1AB2F821">
            <w:pPr>
              <w:spacing w:line="440" w:lineRule="exact"/>
              <w:ind w:firstLine="482" w:firstLineChars="200"/>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w:t>
            </w:r>
            <w:r>
              <w:rPr>
                <w:rFonts w:hint="eastAsia"/>
                <w:b/>
                <w:color w:val="000000" w:themeColor="text1"/>
                <w:kern w:val="0"/>
                <w:sz w:val="24"/>
                <w14:textFill>
                  <w14:solidFill>
                    <w14:schemeClr w14:val="tx1"/>
                  </w14:solidFill>
                </w14:textFill>
              </w:rPr>
              <w:t>1-1</w:t>
            </w:r>
            <w:r>
              <w:rPr>
                <w:b/>
                <w:color w:val="000000" w:themeColor="text1"/>
                <w:kern w:val="0"/>
                <w:sz w:val="24"/>
                <w14:textFill>
                  <w14:solidFill>
                    <w14:schemeClr w14:val="tx1"/>
                  </w14:solidFill>
                </w14:textFill>
              </w:rPr>
              <w:t xml:space="preserve">     与环境管控单元生态环境准入清单符合性分析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666"/>
              <w:gridCol w:w="664"/>
              <w:gridCol w:w="841"/>
              <w:gridCol w:w="5769"/>
              <w:gridCol w:w="2962"/>
              <w:gridCol w:w="595"/>
            </w:tblGrid>
            <w:tr w14:paraId="1AAA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23" w:type="pct"/>
                  <w:vAlign w:val="center"/>
                </w:tcPr>
                <w:p w14:paraId="5EE5D09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环境管控单元编码</w:t>
                  </w:r>
                </w:p>
              </w:tc>
              <w:tc>
                <w:tcPr>
                  <w:tcW w:w="271" w:type="pct"/>
                  <w:vAlign w:val="center"/>
                </w:tcPr>
                <w:p w14:paraId="317F4EE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环境管控单元名称</w:t>
                  </w:r>
                </w:p>
              </w:tc>
              <w:tc>
                <w:tcPr>
                  <w:tcW w:w="270" w:type="pct"/>
                  <w:vAlign w:val="center"/>
                </w:tcPr>
                <w:p w14:paraId="7C03A46C">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管控单元分类</w:t>
                  </w:r>
                </w:p>
              </w:tc>
              <w:tc>
                <w:tcPr>
                  <w:tcW w:w="342" w:type="pct"/>
                  <w:vAlign w:val="center"/>
                </w:tcPr>
                <w:p w14:paraId="32C7CAA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维度</w:t>
                  </w:r>
                </w:p>
              </w:tc>
              <w:tc>
                <w:tcPr>
                  <w:tcW w:w="2347" w:type="pct"/>
                  <w:vAlign w:val="center"/>
                </w:tcPr>
                <w:p w14:paraId="35B56505">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准入要求</w:t>
                  </w:r>
                </w:p>
              </w:tc>
              <w:tc>
                <w:tcPr>
                  <w:tcW w:w="1205" w:type="pct"/>
                  <w:vAlign w:val="center"/>
                </w:tcPr>
                <w:p w14:paraId="0AF14530">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项目情况</w:t>
                  </w:r>
                </w:p>
              </w:tc>
              <w:tc>
                <w:tcPr>
                  <w:tcW w:w="242" w:type="pct"/>
                  <w:vAlign w:val="center"/>
                </w:tcPr>
                <w:p w14:paraId="64F80A24">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符合性</w:t>
                  </w:r>
                </w:p>
              </w:tc>
            </w:tr>
            <w:tr w14:paraId="45DC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23" w:type="pct"/>
                  <w:vMerge w:val="restart"/>
                  <w:vAlign w:val="center"/>
                </w:tcPr>
                <w:p w14:paraId="06EC1215">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ZH150627</w:t>
                  </w:r>
                </w:p>
                <w:p w14:paraId="297E6FEB">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20007</w:t>
                  </w:r>
                </w:p>
              </w:tc>
              <w:tc>
                <w:tcPr>
                  <w:tcW w:w="271" w:type="pct"/>
                  <w:vMerge w:val="restart"/>
                  <w:vAlign w:val="center"/>
                </w:tcPr>
                <w:p w14:paraId="72985E5D">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新街矿区</w:t>
                  </w:r>
                </w:p>
              </w:tc>
              <w:tc>
                <w:tcPr>
                  <w:tcW w:w="270" w:type="pct"/>
                  <w:vMerge w:val="restart"/>
                  <w:vAlign w:val="center"/>
                </w:tcPr>
                <w:p w14:paraId="5A690760">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重点管控单元</w:t>
                  </w:r>
                </w:p>
              </w:tc>
              <w:tc>
                <w:tcPr>
                  <w:tcW w:w="342" w:type="pct"/>
                  <w:vAlign w:val="center"/>
                </w:tcPr>
                <w:p w14:paraId="0A4CD5C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空间布局约束</w:t>
                  </w:r>
                </w:p>
              </w:tc>
              <w:tc>
                <w:tcPr>
                  <w:tcW w:w="2347" w:type="pct"/>
                  <w:vAlign w:val="center"/>
                </w:tcPr>
                <w:p w14:paraId="40B2F0D7">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2BCE3A01">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2194004C">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0742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23" w:type="pct"/>
                  <w:vMerge w:val="continue"/>
                  <w:vAlign w:val="center"/>
                </w:tcPr>
                <w:p w14:paraId="29965FD6">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08E75629">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2DE105F6">
                  <w:pPr>
                    <w:spacing w:line="340" w:lineRule="exact"/>
                    <w:rPr>
                      <w:color w:val="000000" w:themeColor="text1"/>
                      <w:kern w:val="0"/>
                      <w:sz w:val="18"/>
                      <w:szCs w:val="18"/>
                      <w14:textFill>
                        <w14:solidFill>
                          <w14:schemeClr w14:val="tx1"/>
                        </w14:solidFill>
                      </w14:textFill>
                    </w:rPr>
                  </w:pPr>
                </w:p>
              </w:tc>
              <w:tc>
                <w:tcPr>
                  <w:tcW w:w="342" w:type="pct"/>
                  <w:vAlign w:val="center"/>
                </w:tcPr>
                <w:p w14:paraId="2CAE888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污染物排放管控</w:t>
                  </w:r>
                </w:p>
              </w:tc>
              <w:tc>
                <w:tcPr>
                  <w:tcW w:w="2347" w:type="pct"/>
                  <w:vAlign w:val="center"/>
                </w:tcPr>
                <w:p w14:paraId="3EB7AA69">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2711470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5CDF8D7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7C1F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23" w:type="pct"/>
                  <w:vMerge w:val="continue"/>
                  <w:vAlign w:val="center"/>
                </w:tcPr>
                <w:p w14:paraId="119605B3">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4365660A">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24086873">
                  <w:pPr>
                    <w:spacing w:line="340" w:lineRule="exact"/>
                    <w:rPr>
                      <w:color w:val="000000" w:themeColor="text1"/>
                      <w:kern w:val="0"/>
                      <w:sz w:val="18"/>
                      <w:szCs w:val="18"/>
                      <w14:textFill>
                        <w14:solidFill>
                          <w14:schemeClr w14:val="tx1"/>
                        </w14:solidFill>
                      </w14:textFill>
                    </w:rPr>
                  </w:pPr>
                </w:p>
              </w:tc>
              <w:tc>
                <w:tcPr>
                  <w:tcW w:w="342" w:type="pct"/>
                  <w:vAlign w:val="center"/>
                </w:tcPr>
                <w:p w14:paraId="719BBCF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环境风险防控</w:t>
                  </w:r>
                </w:p>
              </w:tc>
              <w:tc>
                <w:tcPr>
                  <w:tcW w:w="2347" w:type="pct"/>
                  <w:vAlign w:val="center"/>
                </w:tcPr>
                <w:p w14:paraId="7EAC8074">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3AC8DBC0">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46A32719">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324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23" w:type="pct"/>
                  <w:vMerge w:val="continue"/>
                  <w:vAlign w:val="center"/>
                </w:tcPr>
                <w:p w14:paraId="67813F5D">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6468C859">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22DAD7F3">
                  <w:pPr>
                    <w:spacing w:line="340" w:lineRule="exact"/>
                    <w:rPr>
                      <w:color w:val="000000" w:themeColor="text1"/>
                      <w:kern w:val="0"/>
                      <w:sz w:val="18"/>
                      <w:szCs w:val="18"/>
                      <w14:textFill>
                        <w14:solidFill>
                          <w14:schemeClr w14:val="tx1"/>
                        </w14:solidFill>
                      </w14:textFill>
                    </w:rPr>
                  </w:pPr>
                </w:p>
              </w:tc>
              <w:tc>
                <w:tcPr>
                  <w:tcW w:w="342" w:type="pct"/>
                  <w:vAlign w:val="center"/>
                </w:tcPr>
                <w:p w14:paraId="409B420B">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资源利用效率</w:t>
                  </w:r>
                </w:p>
              </w:tc>
              <w:tc>
                <w:tcPr>
                  <w:tcW w:w="2347" w:type="pct"/>
                  <w:vAlign w:val="center"/>
                </w:tcPr>
                <w:p w14:paraId="1F4185C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1原煤入选率不低于75%；煤矸石综合利用率应达到75%以上；矿井水、疏干水应采用洁净化、资源化技术和工艺进行合理处置，处置率达到100%。</w:t>
                  </w:r>
                </w:p>
                <w:p w14:paraId="2FB4E3D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2.煤矿采区回采率、原煤入选率、煤矸石与共伴生矿产资源综合利用率等项指标符合自然资源部发布的《煤炭资源合理开发利用“三率”指标要求(试行)》。</w:t>
                  </w:r>
                </w:p>
                <w:p w14:paraId="4995F88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3.严格执行取用水总量控制制度，推进矿井水综合利用，煤炭矿区的补充用水、周边地区生产和生态用水应优先使用矿井水，加强洗煤废水循环利用。</w:t>
                  </w:r>
                </w:p>
                <w:p w14:paraId="196B9D0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4.限制勘查开发过程中对环境破坏较大的</w:t>
                  </w:r>
                  <w:r>
                    <w:rPr>
                      <w:rFonts w:hint="eastAsia"/>
                      <w:color w:val="000000" w:themeColor="text1"/>
                      <w:kern w:val="0"/>
                      <w:sz w:val="18"/>
                      <w:szCs w:val="18"/>
                      <w:lang w:eastAsia="zh-CN"/>
                      <w14:textFill>
                        <w14:solidFill>
                          <w14:schemeClr w14:val="tx1"/>
                        </w14:solidFill>
                      </w14:textFill>
                    </w:rPr>
                    <w:t>沙金</w:t>
                  </w:r>
                  <w:r>
                    <w:rPr>
                      <w:rFonts w:hint="eastAsia"/>
                      <w:color w:val="000000" w:themeColor="text1"/>
                      <w:kern w:val="0"/>
                      <w:sz w:val="18"/>
                      <w:szCs w:val="18"/>
                      <w14:textFill>
                        <w14:solidFill>
                          <w14:schemeClr w14:val="tx1"/>
                        </w14:solidFill>
                      </w14:textFill>
                    </w:rPr>
                    <w:t>等重砂矿物，原则上不再新设勘查项目，确需新立的必须通过环境影响评估，并征得环保部门同意。禁止勘查超贫磁铁矿。</w:t>
                  </w:r>
                </w:p>
              </w:tc>
              <w:tc>
                <w:tcPr>
                  <w:tcW w:w="1205" w:type="pct"/>
                  <w:vAlign w:val="center"/>
                </w:tcPr>
                <w:p w14:paraId="5073A41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本项目为洗选厂煤棚扩建项目，属于配套辅助工程，不属于煤炭开采、洗选。项目生产用水依托现有，为鄂尔多斯市圣圆水务集团有限责任公司提供经处理达标后的矿井疏干水。</w:t>
                  </w:r>
                </w:p>
              </w:tc>
              <w:tc>
                <w:tcPr>
                  <w:tcW w:w="242" w:type="pct"/>
                  <w:vAlign w:val="center"/>
                </w:tcPr>
                <w:p w14:paraId="7F6A763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bl>
          <w:p w14:paraId="1946D14F">
            <w:pPr>
              <w:spacing w:line="440" w:lineRule="exact"/>
              <w:ind w:right="42" w:rightChars="20"/>
              <w:rPr>
                <w:b/>
                <w:bCs/>
                <w:color w:val="000000" w:themeColor="text1"/>
                <w:kern w:val="0"/>
                <w:sz w:val="24"/>
                <w14:textFill>
                  <w14:solidFill>
                    <w14:schemeClr w14:val="tx1"/>
                  </w14:solidFill>
                </w14:textFill>
              </w:rPr>
            </w:pPr>
          </w:p>
          <w:p w14:paraId="5F9B4CBC">
            <w:pPr>
              <w:spacing w:line="440" w:lineRule="exact"/>
              <w:ind w:right="42" w:rightChars="20"/>
              <w:rPr>
                <w:b/>
                <w:bCs/>
                <w:color w:val="000000" w:themeColor="text1"/>
                <w:kern w:val="0"/>
                <w:sz w:val="24"/>
                <w14:textFill>
                  <w14:solidFill>
                    <w14:schemeClr w14:val="tx1"/>
                  </w14:solidFill>
                </w14:textFill>
              </w:rPr>
            </w:pPr>
          </w:p>
          <w:p w14:paraId="7D521A17">
            <w:pPr>
              <w:spacing w:line="440" w:lineRule="exact"/>
              <w:ind w:right="42" w:rightChars="20"/>
              <w:rPr>
                <w:b/>
                <w:bCs/>
                <w:color w:val="000000" w:themeColor="text1"/>
                <w:kern w:val="0"/>
                <w:sz w:val="2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posOffset>111760</wp:posOffset>
                  </wp:positionH>
                  <wp:positionV relativeFrom="paragraph">
                    <wp:posOffset>31750</wp:posOffset>
                  </wp:positionV>
                  <wp:extent cx="7648575" cy="5308600"/>
                  <wp:effectExtent l="0" t="0" r="9525" b="6350"/>
                  <wp:wrapNone/>
                  <wp:docPr id="20553831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83149"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648575" cy="5308600"/>
                          </a:xfrm>
                          <a:prstGeom prst="rect">
                            <a:avLst/>
                          </a:prstGeom>
                        </pic:spPr>
                      </pic:pic>
                    </a:graphicData>
                  </a:graphic>
                </wp:anchor>
              </w:drawing>
            </w:r>
          </w:p>
          <w:p w14:paraId="468B37E8">
            <w:pPr>
              <w:spacing w:line="440" w:lineRule="exact"/>
              <w:ind w:right="42" w:rightChars="20"/>
              <w:rPr>
                <w:b/>
                <w:bCs/>
                <w:color w:val="000000" w:themeColor="text1"/>
                <w:kern w:val="0"/>
                <w:sz w:val="24"/>
                <w14:textFill>
                  <w14:solidFill>
                    <w14:schemeClr w14:val="tx1"/>
                  </w14:solidFill>
                </w14:textFill>
              </w:rPr>
            </w:pPr>
          </w:p>
          <w:p w14:paraId="42281B82">
            <w:pPr>
              <w:spacing w:line="440" w:lineRule="exact"/>
              <w:ind w:right="42" w:rightChars="20"/>
              <w:rPr>
                <w:b/>
                <w:bCs/>
                <w:color w:val="000000" w:themeColor="text1"/>
                <w:kern w:val="0"/>
                <w:sz w:val="24"/>
                <w14:textFill>
                  <w14:solidFill>
                    <w14:schemeClr w14:val="tx1"/>
                  </w14:solidFill>
                </w14:textFill>
              </w:rPr>
            </w:pPr>
          </w:p>
          <w:p w14:paraId="76D53AF4">
            <w:pPr>
              <w:spacing w:line="440" w:lineRule="exact"/>
              <w:ind w:right="42" w:rightChars="20"/>
              <w:rPr>
                <w:b/>
                <w:bCs/>
                <w:color w:val="000000" w:themeColor="text1"/>
                <w:kern w:val="0"/>
                <w:sz w:val="24"/>
                <w14:textFill>
                  <w14:solidFill>
                    <w14:schemeClr w14:val="tx1"/>
                  </w14:solidFill>
                </w14:textFill>
              </w:rPr>
            </w:pPr>
          </w:p>
          <w:p w14:paraId="56A5ABF8">
            <w:pPr>
              <w:spacing w:line="440" w:lineRule="exact"/>
              <w:ind w:right="42" w:rightChars="20"/>
              <w:rPr>
                <w:b/>
                <w:bCs/>
                <w:color w:val="000000" w:themeColor="text1"/>
                <w:kern w:val="0"/>
                <w:sz w:val="24"/>
                <w14:textFill>
                  <w14:solidFill>
                    <w14:schemeClr w14:val="tx1"/>
                  </w14:solidFill>
                </w14:textFill>
              </w:rPr>
            </w:pPr>
          </w:p>
          <w:p w14:paraId="596FCAD5">
            <w:pPr>
              <w:spacing w:line="440" w:lineRule="exact"/>
              <w:ind w:right="42" w:rightChars="20"/>
              <w:rPr>
                <w:b/>
                <w:bCs/>
                <w:color w:val="000000" w:themeColor="text1"/>
                <w:kern w:val="0"/>
                <w:sz w:val="24"/>
                <w14:textFill>
                  <w14:solidFill>
                    <w14:schemeClr w14:val="tx1"/>
                  </w14:solidFill>
                </w14:textFill>
              </w:rPr>
            </w:pPr>
          </w:p>
          <w:p w14:paraId="1ABCF022">
            <w:pPr>
              <w:spacing w:line="440" w:lineRule="exact"/>
              <w:ind w:right="42" w:rightChars="20"/>
              <w:rPr>
                <w:b/>
                <w:bCs/>
                <w:color w:val="000000" w:themeColor="text1"/>
                <w:kern w:val="0"/>
                <w:sz w:val="24"/>
                <w14:textFill>
                  <w14:solidFill>
                    <w14:schemeClr w14:val="tx1"/>
                  </w14:solidFill>
                </w14:textFill>
              </w:rPr>
            </w:pPr>
          </w:p>
          <w:p w14:paraId="22812C57">
            <w:pPr>
              <w:spacing w:line="440" w:lineRule="exact"/>
              <w:ind w:right="42" w:rightChars="20"/>
              <w:rPr>
                <w:b/>
                <w:bCs/>
                <w:color w:val="000000" w:themeColor="text1"/>
                <w:kern w:val="0"/>
                <w:sz w:val="24"/>
                <w14:textFill>
                  <w14:solidFill>
                    <w14:schemeClr w14:val="tx1"/>
                  </w14:solidFill>
                </w14:textFill>
              </w:rPr>
            </w:pPr>
          </w:p>
          <w:p w14:paraId="13BD2E7C">
            <w:pPr>
              <w:spacing w:line="440" w:lineRule="exact"/>
              <w:ind w:right="42" w:rightChars="20"/>
              <w:rPr>
                <w:b/>
                <w:bCs/>
                <w:color w:val="000000" w:themeColor="text1"/>
                <w:kern w:val="0"/>
                <w:sz w:val="24"/>
                <w14:textFill>
                  <w14:solidFill>
                    <w14:schemeClr w14:val="tx1"/>
                  </w14:solidFill>
                </w14:textFill>
              </w:rPr>
            </w:pPr>
          </w:p>
          <w:p w14:paraId="1A5C01EF">
            <w:pPr>
              <w:spacing w:line="440" w:lineRule="exact"/>
              <w:ind w:right="42" w:rightChars="20"/>
              <w:rPr>
                <w:b/>
                <w:bCs/>
                <w:color w:val="000000" w:themeColor="text1"/>
                <w:kern w:val="0"/>
                <w:sz w:val="24"/>
                <w14:textFill>
                  <w14:solidFill>
                    <w14:schemeClr w14:val="tx1"/>
                  </w14:solidFill>
                </w14:textFill>
              </w:rPr>
            </w:pPr>
          </w:p>
          <w:p w14:paraId="119FA6BA">
            <w:pPr>
              <w:spacing w:line="440" w:lineRule="exact"/>
              <w:ind w:right="42" w:rightChars="2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2818765</wp:posOffset>
                      </wp:positionH>
                      <wp:positionV relativeFrom="paragraph">
                        <wp:posOffset>115570</wp:posOffset>
                      </wp:positionV>
                      <wp:extent cx="3409950" cy="2257425"/>
                      <wp:effectExtent l="0" t="819150" r="19050" b="28575"/>
                      <wp:wrapNone/>
                      <wp:docPr id="1422421632" name="自选图形 55"/>
                      <wp:cNvGraphicFramePr/>
                      <a:graphic xmlns:a="http://schemas.openxmlformats.org/drawingml/2006/main">
                        <a:graphicData uri="http://schemas.microsoft.com/office/word/2010/wordprocessingShape">
                          <wps:wsp>
                            <wps:cNvSpPr>
                              <a:spLocks noChangeArrowheads="1"/>
                            </wps:cNvSpPr>
                            <wps:spPr bwMode="auto">
                              <a:xfrm>
                                <a:off x="4810125" y="3895725"/>
                                <a:ext cx="3409950" cy="2257425"/>
                              </a:xfrm>
                              <a:prstGeom prst="wedgeRoundRectCallout">
                                <a:avLst>
                                  <a:gd name="adj1" fmla="val 15400"/>
                                  <a:gd name="adj2" fmla="val -85175"/>
                                  <a:gd name="adj3" fmla="val 16667"/>
                                </a:avLst>
                              </a:prstGeom>
                              <a:solidFill>
                                <a:srgbClr val="FFFFFF"/>
                              </a:solidFill>
                              <a:ln w="12700">
                                <a:solidFill>
                                  <a:srgbClr val="41719C"/>
                                </a:solidFill>
                                <a:miter lim="800000"/>
                              </a:ln>
                              <a:effectLst/>
                            </wps:spPr>
                            <wps:txbx>
                              <w:txbxContent>
                                <w:p w14:paraId="475FE5BA">
                                  <w:pPr>
                                    <w:spacing w:line="360" w:lineRule="auto"/>
                                    <w:jc w:val="center"/>
                                    <w:rPr>
                                      <w:b/>
                                      <w:bCs/>
                                    </w:rPr>
                                  </w:pPr>
                                  <w:r>
                                    <w:drawing>
                                      <wp:inline distT="0" distB="0" distL="0" distR="0">
                                        <wp:extent cx="2531110" cy="1646555"/>
                                        <wp:effectExtent l="0" t="0" r="2540" b="0"/>
                                        <wp:docPr id="10279389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38963" name="图片 1"/>
                                                <pic:cNvPicPr>
                                                  <a:picLocks noChangeAspect="1"/>
                                                </pic:cNvPicPr>
                                              </pic:nvPicPr>
                                              <pic:blipFill>
                                                <a:blip r:embed="rId11"/>
                                                <a:stretch>
                                                  <a:fillRect/>
                                                </a:stretch>
                                              </pic:blipFill>
                                              <pic:spPr>
                                                <a:xfrm>
                                                  <a:off x="0" y="0"/>
                                                  <a:ext cx="2535439" cy="1649987"/>
                                                </a:xfrm>
                                                <a:prstGeom prst="rect">
                                                  <a:avLst/>
                                                </a:prstGeom>
                                              </pic:spPr>
                                            </pic:pic>
                                          </a:graphicData>
                                        </a:graphic>
                                      </wp:inline>
                                    </w:drawing>
                                  </w:r>
                                </w:p>
                                <w:p w14:paraId="44FCEB62">
                                  <w:pPr>
                                    <w:spacing w:line="360" w:lineRule="auto"/>
                                    <w:jc w:val="center"/>
                                    <w:rPr>
                                      <w:b/>
                                      <w:bCs/>
                                    </w:rPr>
                                  </w:pPr>
                                  <w:r>
                                    <w:rPr>
                                      <w:rFonts w:hint="eastAsia"/>
                                      <w:b/>
                                      <w:bCs/>
                                    </w:rPr>
                                    <w:t>项目所在位置</w:t>
                                  </w:r>
                                </w:p>
                              </w:txbxContent>
                            </wps:txbx>
                            <wps:bodyPr rot="0" vert="horz" wrap="square" lIns="91440" tIns="45720" rIns="91440" bIns="45720" anchor="ctr" anchorCtr="0" upright="1">
                              <a:noAutofit/>
                            </wps:bodyPr>
                          </wps:wsp>
                        </a:graphicData>
                      </a:graphic>
                    </wp:anchor>
                  </w:drawing>
                </mc:Choice>
                <mc:Fallback>
                  <w:pict>
                    <v:shape id="自选图形 55" o:spid="_x0000_s1026" o:spt="62" type="#_x0000_t62" style="position:absolute;left:0pt;margin-left:221.95pt;margin-top:9.1pt;height:177.75pt;width:268.5pt;z-index:251668480;v-text-anchor:middle;mso-width-relative:page;mso-height-relative:page;" fillcolor="#FFFFFF" filled="t" stroked="t" coordsize="21600,21600" o:gfxdata="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vjusn2AAAAAoBAAAPAAAAAAAAAAEAIAAAACIAAABkcnMvZG93bnJldi54bWxQSwECFAAU&#10;AAAACACHTuJAz+NbTZwCAAAvBQAADgAAAAAAAAABACAAAAAnAQAAZHJzL2Uyb0RvYy54bWxQSwUG&#10;AAAAAAYABgBZAQAANQYAAAAA&#10;" adj="14126,-7598,14400">
                      <v:fill on="t" focussize="0,0"/>
                      <v:stroke weight="1pt" color="#41719C" miterlimit="8" joinstyle="miter"/>
                      <v:imagedata o:title=""/>
                      <o:lock v:ext="edit" aspectratio="f"/>
                      <v:textbox>
                        <w:txbxContent>
                          <w:p w14:paraId="475FE5BA">
                            <w:pPr>
                              <w:spacing w:line="360" w:lineRule="auto"/>
                              <w:jc w:val="center"/>
                              <w:rPr>
                                <w:b/>
                                <w:bCs/>
                              </w:rPr>
                            </w:pPr>
                            <w:r>
                              <w:drawing>
                                <wp:inline distT="0" distB="0" distL="0" distR="0">
                                  <wp:extent cx="2531110" cy="1646555"/>
                                  <wp:effectExtent l="0" t="0" r="2540" b="0"/>
                                  <wp:docPr id="10279389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38963" name="图片 1"/>
                                          <pic:cNvPicPr>
                                            <a:picLocks noChangeAspect="1"/>
                                          </pic:cNvPicPr>
                                        </pic:nvPicPr>
                                        <pic:blipFill>
                                          <a:blip r:embed="rId11"/>
                                          <a:stretch>
                                            <a:fillRect/>
                                          </a:stretch>
                                        </pic:blipFill>
                                        <pic:spPr>
                                          <a:xfrm>
                                            <a:off x="0" y="0"/>
                                            <a:ext cx="2535439" cy="1649987"/>
                                          </a:xfrm>
                                          <a:prstGeom prst="rect">
                                            <a:avLst/>
                                          </a:prstGeom>
                                        </pic:spPr>
                                      </pic:pic>
                                    </a:graphicData>
                                  </a:graphic>
                                </wp:inline>
                              </w:drawing>
                            </w:r>
                          </w:p>
                          <w:p w14:paraId="44FCEB62">
                            <w:pPr>
                              <w:spacing w:line="360" w:lineRule="auto"/>
                              <w:jc w:val="center"/>
                              <w:rPr>
                                <w:b/>
                                <w:bCs/>
                              </w:rPr>
                            </w:pPr>
                            <w:r>
                              <w:rPr>
                                <w:rFonts w:hint="eastAsia"/>
                                <w:b/>
                                <w:bCs/>
                              </w:rPr>
                              <w:t>项目所在位置</w:t>
                            </w:r>
                          </w:p>
                        </w:txbxContent>
                      </v:textbox>
                    </v:shape>
                  </w:pict>
                </mc:Fallback>
              </mc:AlternateContent>
            </w:r>
          </w:p>
          <w:p w14:paraId="0F87B860">
            <w:pPr>
              <w:spacing w:line="440" w:lineRule="exact"/>
              <w:ind w:right="42" w:rightChars="20"/>
              <w:rPr>
                <w:b/>
                <w:bCs/>
                <w:color w:val="000000" w:themeColor="text1"/>
                <w:kern w:val="0"/>
                <w:sz w:val="24"/>
                <w14:textFill>
                  <w14:solidFill>
                    <w14:schemeClr w14:val="tx1"/>
                  </w14:solidFill>
                </w14:textFill>
              </w:rPr>
            </w:pPr>
          </w:p>
          <w:p w14:paraId="26C1F72E">
            <w:pPr>
              <w:spacing w:line="440" w:lineRule="exact"/>
              <w:ind w:right="42" w:rightChars="20"/>
              <w:rPr>
                <w:b/>
                <w:bCs/>
                <w:color w:val="000000" w:themeColor="text1"/>
                <w:kern w:val="0"/>
                <w:sz w:val="24"/>
                <w14:textFill>
                  <w14:solidFill>
                    <w14:schemeClr w14:val="tx1"/>
                  </w14:solidFill>
                </w14:textFill>
              </w:rPr>
            </w:pPr>
          </w:p>
          <w:p w14:paraId="4496280A">
            <w:pPr>
              <w:spacing w:line="440" w:lineRule="exact"/>
              <w:ind w:right="42" w:rightChars="20"/>
              <w:rPr>
                <w:b/>
                <w:bCs/>
                <w:color w:val="000000" w:themeColor="text1"/>
                <w:kern w:val="0"/>
                <w:sz w:val="24"/>
                <w14:textFill>
                  <w14:solidFill>
                    <w14:schemeClr w14:val="tx1"/>
                  </w14:solidFill>
                </w14:textFill>
              </w:rPr>
            </w:pPr>
          </w:p>
          <w:p w14:paraId="3481075A">
            <w:pPr>
              <w:spacing w:line="440" w:lineRule="exact"/>
              <w:ind w:right="42" w:rightChars="20"/>
              <w:rPr>
                <w:b/>
                <w:bCs/>
                <w:color w:val="000000" w:themeColor="text1"/>
                <w:kern w:val="0"/>
                <w:sz w:val="24"/>
                <w14:textFill>
                  <w14:solidFill>
                    <w14:schemeClr w14:val="tx1"/>
                  </w14:solidFill>
                </w14:textFill>
              </w:rPr>
            </w:pPr>
          </w:p>
          <w:p w14:paraId="0FAE24EE">
            <w:pPr>
              <w:spacing w:line="440" w:lineRule="exact"/>
              <w:ind w:right="42" w:rightChars="20"/>
              <w:rPr>
                <w:b/>
                <w:bCs/>
                <w:color w:val="000000" w:themeColor="text1"/>
                <w:kern w:val="0"/>
                <w:sz w:val="24"/>
                <w14:textFill>
                  <w14:solidFill>
                    <w14:schemeClr w14:val="tx1"/>
                  </w14:solidFill>
                </w14:textFill>
              </w:rPr>
            </w:pPr>
          </w:p>
          <w:p w14:paraId="65FB9490">
            <w:pPr>
              <w:spacing w:line="440" w:lineRule="exact"/>
              <w:ind w:right="42" w:rightChars="20"/>
              <w:rPr>
                <w:b/>
                <w:bCs/>
                <w:color w:val="000000" w:themeColor="text1"/>
                <w:kern w:val="0"/>
                <w:sz w:val="24"/>
                <w14:textFill>
                  <w14:solidFill>
                    <w14:schemeClr w14:val="tx1"/>
                  </w14:solidFill>
                </w14:textFill>
              </w:rPr>
            </w:pPr>
          </w:p>
          <w:p w14:paraId="52F51751">
            <w:pPr>
              <w:spacing w:line="440" w:lineRule="exact"/>
              <w:ind w:right="42" w:rightChars="20"/>
              <w:rPr>
                <w:b/>
                <w:bCs/>
                <w:color w:val="000000" w:themeColor="text1"/>
                <w:kern w:val="0"/>
                <w:sz w:val="24"/>
                <w14:textFill>
                  <w14:solidFill>
                    <w14:schemeClr w14:val="tx1"/>
                  </w14:solidFill>
                </w14:textFill>
              </w:rPr>
            </w:pPr>
          </w:p>
          <w:p w14:paraId="64850CFF">
            <w:pPr>
              <w:spacing w:line="440" w:lineRule="exact"/>
              <w:ind w:right="42" w:rightChars="20"/>
              <w:rPr>
                <w:b/>
                <w:bCs/>
                <w:color w:val="000000" w:themeColor="text1"/>
                <w:kern w:val="0"/>
                <w:sz w:val="24"/>
                <w14:textFill>
                  <w14:solidFill>
                    <w14:schemeClr w14:val="tx1"/>
                  </w14:solidFill>
                </w14:textFill>
              </w:rPr>
            </w:pPr>
          </w:p>
          <w:p w14:paraId="6EA49CBB">
            <w:pPr>
              <w:spacing w:line="440" w:lineRule="exact"/>
              <w:ind w:right="42" w:rightChars="20"/>
              <w:jc w:val="center"/>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附图1-1   项目与鄂尔多斯市环境管控单元位置关系图</w:t>
            </w:r>
          </w:p>
        </w:tc>
      </w:tr>
    </w:tbl>
    <w:p w14:paraId="59A3E1E8">
      <w:pPr>
        <w:spacing w:line="360" w:lineRule="auto"/>
        <w:outlineLvl w:val="0"/>
        <w:rPr>
          <w:rFonts w:eastAsia="黑体"/>
          <w:color w:val="000000" w:themeColor="text1"/>
          <w:sz w:val="30"/>
          <w14:textFill>
            <w14:solidFill>
              <w14:schemeClr w14:val="tx1"/>
            </w14:solidFill>
          </w14:textFill>
        </w:rPr>
        <w:sectPr>
          <w:pgSz w:w="16838" w:h="11906" w:orient="landscape"/>
          <w:pgMar w:top="1531" w:right="1418" w:bottom="1531" w:left="1418" w:header="851" w:footer="851" w:gutter="0"/>
          <w:cols w:space="720" w:num="1"/>
          <w:docGrid w:linePitch="312" w:charSpace="0"/>
        </w:sectPr>
      </w:pPr>
    </w:p>
    <w:p w14:paraId="7F1E6D53">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27"/>
        <w:tblW w:w="507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718"/>
      </w:tblGrid>
      <w:tr w14:paraId="4CDA5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207" w:type="pct"/>
            <w:vAlign w:val="center"/>
          </w:tcPr>
          <w:p w14:paraId="51E77EB8">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建设内容</w:t>
            </w:r>
          </w:p>
        </w:tc>
        <w:tc>
          <w:tcPr>
            <w:tcW w:w="4793" w:type="pct"/>
          </w:tcPr>
          <w:p w14:paraId="19DD960B">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项目由来：</w:t>
            </w:r>
          </w:p>
          <w:p w14:paraId="6F5F086E">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color w:val="000000" w:themeColor="text1"/>
                <w:sz w:val="24"/>
                <w14:textFill>
                  <w14:solidFill>
                    <w14:schemeClr w14:val="tx1"/>
                  </w14:solidFill>
                </w14:textFill>
              </w:rPr>
              <w:t>伊金霍洛旗新街马秦壕鑫源洗煤厂</w:t>
            </w:r>
            <w:r>
              <w:rPr>
                <w:color w:val="000000" w:themeColor="text1"/>
                <w:sz w:val="24"/>
                <w14:textFill>
                  <w14:solidFill>
                    <w14:schemeClr w14:val="tx1"/>
                  </w14:solidFill>
                </w14:textFill>
              </w:rPr>
              <w:t>成立于 20</w:t>
            </w:r>
            <w:r>
              <w:rPr>
                <w:rFonts w:hint="eastAsia"/>
                <w:color w:val="000000" w:themeColor="text1"/>
                <w:sz w:val="24"/>
                <w14:textFill>
                  <w14:solidFill>
                    <w14:schemeClr w14:val="tx1"/>
                  </w14:solidFill>
                </w14:textFill>
              </w:rPr>
              <w:t>06</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12</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11</w:t>
            </w:r>
            <w:r>
              <w:rPr>
                <w:color w:val="000000" w:themeColor="text1"/>
                <w:sz w:val="24"/>
                <w14:textFill>
                  <w14:solidFill>
                    <w14:schemeClr w14:val="tx1"/>
                  </w14:solidFill>
                </w14:textFill>
              </w:rPr>
              <w:t>日，位于</w:t>
            </w:r>
            <w:r>
              <w:rPr>
                <w:rFonts w:hint="eastAsia"/>
                <w:color w:val="000000" w:themeColor="text1"/>
                <w:sz w:val="24"/>
                <w14:textFill>
                  <w14:solidFill>
                    <w14:schemeClr w14:val="tx1"/>
                  </w14:solidFill>
                </w14:textFill>
              </w:rPr>
              <w:t>伊金霍洛旗札萨克镇玛勒庆壕赖村一社。</w:t>
            </w:r>
            <w:r>
              <w:rPr>
                <w:rFonts w:hint="eastAsia"/>
                <w:iCs/>
                <w:color w:val="000000" w:themeColor="text1"/>
                <w:kern w:val="0"/>
                <w:sz w:val="24"/>
                <w:szCs w:val="22"/>
                <w14:textFill>
                  <w14:solidFill>
                    <w14:schemeClr w14:val="tx1"/>
                  </w14:solidFill>
                </w14:textFill>
              </w:rPr>
              <w:t>2017年7月， 委托中南金尚环境工程有限公司编制完成了《伊金霍洛旗新街马秦壕鑫源洗煤厂改扩建项目环境影响报告表》， 于</w:t>
            </w:r>
            <w:r>
              <w:rPr>
                <w:rFonts w:hint="eastAsia"/>
                <w:iCs/>
                <w:color w:val="000000" w:themeColor="text1"/>
                <w:kern w:val="0"/>
                <w:sz w:val="24"/>
                <w:szCs w:val="22"/>
                <w:lang w:eastAsia="zh-CN"/>
                <w14:textFill>
                  <w14:solidFill>
                    <w14:schemeClr w14:val="tx1"/>
                  </w14:solidFill>
                </w14:textFill>
              </w:rPr>
              <w:t>2017年8月18日</w:t>
            </w:r>
            <w:r>
              <w:rPr>
                <w:rFonts w:hint="eastAsia"/>
                <w:iCs/>
                <w:color w:val="000000" w:themeColor="text1"/>
                <w:kern w:val="0"/>
                <w:sz w:val="24"/>
                <w:szCs w:val="22"/>
                <w14:textFill>
                  <w14:solidFill>
                    <w14:schemeClr w14:val="tx1"/>
                  </w14:solidFill>
                </w14:textFill>
              </w:rPr>
              <w:t>通过了原鄂尔多斯市环境保护局审批（鄂环评字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105号）；2017年9月30日，通过原鄂尔多斯市环境保护局的竣工环境保护验收（鄂环监字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185号）。随着企业不断地发展，由于煤炭存储周期受市场需求影响较大，原环评中批复的煤棚已不满足实际煤炭的储存要求，因此企业利用厂区现有空地新建储煤棚2座（3#煤棚、4#煤棚），目前项目已建设完成并投入运营，但未履行环评手续，属于“未批先建”。</w:t>
            </w:r>
            <w:r>
              <w:rPr>
                <w:rFonts w:hint="eastAsia"/>
                <w:color w:val="000000" w:themeColor="text1"/>
                <w:sz w:val="24"/>
                <w14:textFill>
                  <w14:solidFill>
                    <w14:schemeClr w14:val="tx1"/>
                  </w14:solidFill>
                </w14:textFill>
              </w:rPr>
              <w:t>根据鄂尔多斯市生态环境局于2025年7月23日出具行政处罚决定书（鄂环罚</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2025</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5-18号），本项目应办理环境影响评价审批手续</w:t>
            </w:r>
            <w:r>
              <w:rPr>
                <w:rFonts w:hint="eastAsia"/>
                <w:iCs/>
                <w:color w:val="000000" w:themeColor="text1"/>
                <w:kern w:val="0"/>
                <w:sz w:val="24"/>
                <w:szCs w:val="22"/>
                <w14:textFill>
                  <w14:solidFill>
                    <w14:schemeClr w14:val="tx1"/>
                  </w14:solidFill>
                </w14:textFill>
              </w:rPr>
              <w:t>。</w:t>
            </w:r>
            <w:r>
              <w:rPr>
                <w:rFonts w:hint="eastAsia"/>
                <w:color w:val="000000" w:themeColor="text1"/>
                <w:sz w:val="24"/>
                <w14:textFill>
                  <w14:solidFill>
                    <w14:schemeClr w14:val="tx1"/>
                  </w14:solidFill>
                </w14:textFill>
              </w:rPr>
              <w:t>本次“未批先建”的煤棚均在现有工程验收后建设。</w:t>
            </w:r>
          </w:p>
          <w:p w14:paraId="6277E9C8">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iCs/>
                <w:color w:val="000000" w:themeColor="text1"/>
                <w:kern w:val="0"/>
                <w:sz w:val="24"/>
                <w:szCs w:val="22"/>
                <w14:textFill>
                  <w14:solidFill>
                    <w14:schemeClr w14:val="tx1"/>
                  </w14:solidFill>
                </w14:textFill>
              </w:rPr>
              <w:t>目前，企业全厂煤棚总建筑面积</w:t>
            </w:r>
            <w:r>
              <w:rPr>
                <w:rFonts w:hint="eastAsia"/>
                <w:color w:val="000000" w:themeColor="text1"/>
                <w:kern w:val="0"/>
                <w:sz w:val="24"/>
                <w14:textFill>
                  <w14:solidFill>
                    <w14:schemeClr w14:val="tx1"/>
                  </w14:solidFill>
                </w14:textFill>
              </w:rPr>
              <w:t>23420.01</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，其中《</w:t>
            </w:r>
            <w:r>
              <w:rPr>
                <w:rFonts w:hint="eastAsia"/>
                <w:iCs/>
                <w:color w:val="000000" w:themeColor="text1"/>
                <w:kern w:val="0"/>
                <w:sz w:val="24"/>
                <w:szCs w:val="22"/>
                <w14:textFill>
                  <w14:solidFill>
                    <w14:schemeClr w14:val="tx1"/>
                  </w14:solidFill>
                </w14:textFill>
              </w:rPr>
              <w:t>伊金霍洛旗新街马秦壕鑫源洗煤厂改扩建项目环境影响报告表</w:t>
            </w:r>
            <w:r>
              <w:rPr>
                <w:rFonts w:hint="eastAsia"/>
                <w:color w:val="000000" w:themeColor="text1"/>
                <w:sz w:val="24"/>
                <w14:textFill>
                  <w14:solidFill>
                    <w14:schemeClr w14:val="tx1"/>
                  </w14:solidFill>
                </w14:textFill>
              </w:rPr>
              <w:t>》中已批复的</w:t>
            </w:r>
            <w:r>
              <w:rPr>
                <w:rFonts w:hint="eastAsia"/>
                <w:iCs/>
                <w:color w:val="000000" w:themeColor="text1"/>
                <w:sz w:val="24"/>
                <w14:textFill>
                  <w14:solidFill>
                    <w14:schemeClr w14:val="tx1"/>
                  </w14:solidFill>
                </w14:textFill>
              </w:rPr>
              <w:t>煤棚总建筑面积为4800</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（1#煤棚、2#煤棚）</w:t>
            </w:r>
            <w:r>
              <w:rPr>
                <w:rFonts w:hint="eastAsia"/>
                <w:color w:val="000000" w:themeColor="text1"/>
                <w:sz w:val="24"/>
                <w14:textFill>
                  <w14:solidFill>
                    <w14:schemeClr w14:val="tx1"/>
                  </w14:solidFill>
                </w14:textFill>
              </w:rPr>
              <w:t>，</w:t>
            </w:r>
            <w:r>
              <w:rPr>
                <w:rFonts w:hint="eastAsia"/>
                <w:color w:val="000000" w:themeColor="text1"/>
                <w:kern w:val="0"/>
                <w:sz w:val="24"/>
                <w14:textFill>
                  <w14:solidFill>
                    <w14:schemeClr w14:val="tx1"/>
                  </w14:solidFill>
                </w14:textFill>
              </w:rPr>
              <w:t>本次“未批先建”煤棚建筑面积为18620.01m</w:t>
            </w:r>
            <w:r>
              <w:rPr>
                <w:rFonts w:hint="eastAsia"/>
                <w:color w:val="000000" w:themeColor="text1"/>
                <w:kern w:val="0"/>
                <w:sz w:val="24"/>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（3#煤棚、4#煤棚）</w:t>
            </w:r>
            <w:r>
              <w:rPr>
                <w:rFonts w:hint="eastAsia"/>
                <w:color w:val="000000" w:themeColor="text1"/>
                <w:sz w:val="24"/>
                <w14:textFill>
                  <w14:solidFill>
                    <w14:schemeClr w14:val="tx1"/>
                  </w14:solidFill>
                </w14:textFill>
              </w:rPr>
              <w:t>。本次主要对已建成但未履行环评手续的3#煤棚、4#煤棚等共计18620.01m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建筑面积的煤棚进行评价。</w:t>
            </w:r>
          </w:p>
          <w:p w14:paraId="38F53C59">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color w:val="000000" w:themeColor="text1"/>
                <w:sz w:val="24"/>
                <w14:textFill>
                  <w14:solidFill>
                    <w14:schemeClr w14:val="tx1"/>
                  </w14:solidFill>
                </w14:textFill>
              </w:rPr>
              <w:t>根据现场踏勘，本次扩建煤棚实际已全部建设完成。</w:t>
            </w:r>
          </w:p>
          <w:p w14:paraId="61D0E72C">
            <w:pPr>
              <w:pStyle w:val="48"/>
              <w:adjustRightInd w:val="0"/>
              <w:snapToGrid w:val="0"/>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按照《中华人民共和国环境保护法</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中华人民共和国环境影响评价法》及《建设项目环境保护管理条例》等相关法律法规的要求，该项目应进行环境影响评价工作，依据《建设项目环境影响评价分类管理名录》（2021年版）中</w:t>
            </w:r>
            <w:r>
              <w:rPr>
                <w:rFonts w:hint="eastAsia"/>
                <w:color w:val="000000" w:themeColor="text1"/>
                <w:sz w:val="24"/>
                <w14:textFill>
                  <w14:solidFill>
                    <w14:schemeClr w14:val="tx1"/>
                  </w14:solidFill>
                </w14:textFill>
              </w:rPr>
              <w:t>“四、煤炭开采和洗选业06、烟煤和无烟煤开采洗选061、煤炭储存、 集运”，</w:t>
            </w:r>
            <w:r>
              <w:rPr>
                <w:color w:val="000000" w:themeColor="text1"/>
                <w:sz w:val="24"/>
                <w14:textFill>
                  <w14:solidFill>
                    <w14:schemeClr w14:val="tx1"/>
                  </w14:solidFill>
                </w14:textFill>
              </w:rPr>
              <w:t>需编制环境影响报告表。</w:t>
            </w:r>
            <w:r>
              <w:rPr>
                <w:rFonts w:hint="eastAsia"/>
                <w:color w:val="000000" w:themeColor="text1"/>
                <w:sz w:val="24"/>
                <w14:textFill>
                  <w14:solidFill>
                    <w14:schemeClr w14:val="tx1"/>
                  </w14:solidFill>
                </w14:textFill>
              </w:rPr>
              <w:t>伊金霍洛旗新街马秦壕鑫源洗煤厂</w:t>
            </w:r>
            <w:r>
              <w:rPr>
                <w:color w:val="000000" w:themeColor="text1"/>
                <w:sz w:val="24"/>
                <w14:textFill>
                  <w14:solidFill>
                    <w14:schemeClr w14:val="tx1"/>
                  </w14:solidFill>
                </w14:textFill>
              </w:rPr>
              <w:t>委托我单位承担该项目环境影响报告表编制工作。</w:t>
            </w:r>
          </w:p>
          <w:p w14:paraId="26415B2D">
            <w:pPr>
              <w:pStyle w:val="48"/>
              <w:adjustRightInd w:val="0"/>
              <w:snapToGrid w:val="0"/>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我单位接受委托后，通过现场踏勘、资料收集等工作，并按照</w:t>
            </w:r>
            <w:r>
              <w:rPr>
                <w:rFonts w:hint="eastAsia"/>
                <w:color w:val="000000" w:themeColor="text1"/>
                <w:sz w:val="24"/>
                <w14:textFill>
                  <w14:solidFill>
                    <w14:schemeClr w14:val="tx1"/>
                  </w14:solidFill>
                </w14:textFill>
              </w:rPr>
              <w:t>《建设项目环境影响报告表编制技术指南（污染型）》</w:t>
            </w:r>
            <w:r>
              <w:rPr>
                <w:color w:val="000000" w:themeColor="text1"/>
                <w:sz w:val="24"/>
                <w14:textFill>
                  <w14:solidFill>
                    <w14:schemeClr w14:val="tx1"/>
                  </w14:solidFill>
                </w14:textFill>
              </w:rPr>
              <w:t>规定编制完成了项目环境影响报告表。</w:t>
            </w:r>
          </w:p>
          <w:p w14:paraId="34539F2C">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项目名称</w:t>
            </w:r>
          </w:p>
          <w:p w14:paraId="070E1BF3">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伊金霍洛旗新街马秦壕鑫源洗煤厂新建储煤棚项目</w:t>
            </w:r>
          </w:p>
          <w:p w14:paraId="4352FF43">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建设单位</w:t>
            </w:r>
          </w:p>
          <w:p w14:paraId="621779D7">
            <w:pPr>
              <w:adjustRightInd w:val="0"/>
              <w:snapToGrid w:val="0"/>
              <w:spacing w:line="440" w:lineRule="exact"/>
              <w:ind w:left="420" w:left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伊金霍洛旗新街马秦壕鑫源洗煤厂</w:t>
            </w:r>
          </w:p>
          <w:p w14:paraId="39AA1867">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建设性质</w:t>
            </w:r>
          </w:p>
          <w:p w14:paraId="4D770574">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扩建</w:t>
            </w:r>
          </w:p>
          <w:p w14:paraId="6A190B67">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工程投资</w:t>
            </w:r>
          </w:p>
          <w:p w14:paraId="5DD76D92">
            <w:pPr>
              <w:adjustRightInd w:val="0"/>
              <w:snapToGrid w:val="0"/>
              <w:spacing w:line="440" w:lineRule="exact"/>
              <w:ind w:left="420" w:left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w:t>
            </w:r>
            <w:bookmarkStart w:id="2" w:name="_Hlk163494996"/>
            <w:r>
              <w:rPr>
                <w:color w:val="000000" w:themeColor="text1"/>
                <w:sz w:val="24"/>
                <w14:textFill>
                  <w14:solidFill>
                    <w14:schemeClr w14:val="tx1"/>
                  </w14:solidFill>
                </w14:textFill>
              </w:rPr>
              <w:t>项目总投资</w:t>
            </w:r>
            <w:r>
              <w:rPr>
                <w:rFonts w:hint="eastAsia"/>
                <w:color w:val="000000" w:themeColor="text1"/>
                <w:sz w:val="24"/>
                <w14:textFill>
                  <w14:solidFill>
                    <w14:schemeClr w14:val="tx1"/>
                  </w14:solidFill>
                </w14:textFill>
              </w:rPr>
              <w:t>608</w:t>
            </w:r>
            <w:r>
              <w:rPr>
                <w:color w:val="000000" w:themeColor="text1"/>
                <w:sz w:val="24"/>
                <w14:textFill>
                  <w14:solidFill>
                    <w14:schemeClr w14:val="tx1"/>
                  </w14:solidFill>
                </w14:textFill>
              </w:rPr>
              <w:t>万元，其中环保投资</w:t>
            </w:r>
            <w:r>
              <w:rPr>
                <w:rFonts w:hint="eastAsia"/>
                <w:color w:val="000000" w:themeColor="text1"/>
                <w:sz w:val="24"/>
                <w14:textFill>
                  <w14:solidFill>
                    <w14:schemeClr w14:val="tx1"/>
                  </w14:solidFill>
                </w14:textFill>
              </w:rPr>
              <w:t>608</w:t>
            </w:r>
            <w:r>
              <w:rPr>
                <w:color w:val="000000" w:themeColor="text1"/>
                <w:sz w:val="24"/>
                <w14:textFill>
                  <w14:solidFill>
                    <w14:schemeClr w14:val="tx1"/>
                  </w14:solidFill>
                </w14:textFill>
              </w:rPr>
              <w:t>万元，占总投资的</w:t>
            </w:r>
            <w:r>
              <w:rPr>
                <w:rFonts w:hint="eastAsia"/>
                <w:color w:val="000000" w:themeColor="text1"/>
                <w:sz w:val="24"/>
                <w14:textFill>
                  <w14:solidFill>
                    <w14:schemeClr w14:val="tx1"/>
                  </w14:solidFill>
                </w14:textFill>
              </w:rPr>
              <w:t>100</w:t>
            </w:r>
            <w:r>
              <w:rPr>
                <w:color w:val="000000" w:themeColor="text1"/>
                <w:sz w:val="24"/>
                <w14:textFill>
                  <w14:solidFill>
                    <w14:schemeClr w14:val="tx1"/>
                  </w14:solidFill>
                </w14:textFill>
              </w:rPr>
              <w:t>%。</w:t>
            </w:r>
            <w:bookmarkEnd w:id="2"/>
          </w:p>
          <w:p w14:paraId="2C6D003F">
            <w:pPr>
              <w:adjustRightInd w:val="0"/>
              <w:snapToGrid w:val="0"/>
              <w:spacing w:line="44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建设地点与周边关系</w:t>
            </w:r>
          </w:p>
          <w:p w14:paraId="6CAF39DD">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w:t>
            </w:r>
            <w:bookmarkStart w:id="3" w:name="_Hlk163495051"/>
            <w:r>
              <w:rPr>
                <w:rFonts w:hint="eastAsia"/>
                <w:color w:val="000000" w:themeColor="text1"/>
                <w:sz w:val="24"/>
                <w14:textFill>
                  <w14:solidFill>
                    <w14:schemeClr w14:val="tx1"/>
                  </w14:solidFill>
                </w14:textFill>
              </w:rPr>
              <w:t>项目位于内蒙古自治区鄂尔多斯市伊金霍洛旗札萨克镇玛勒庆壕赖村一社伊金霍洛旗新街马秦壕鑫源洗煤厂现有厂区内</w:t>
            </w:r>
            <w:r>
              <w:rPr>
                <w:color w:val="000000" w:themeColor="text1"/>
                <w:sz w:val="24"/>
                <w14:textFill>
                  <w14:solidFill>
                    <w14:schemeClr w14:val="tx1"/>
                  </w14:solidFill>
                </w14:textFill>
              </w:rPr>
              <w:t>，中心位置坐标为北纬：</w:t>
            </w:r>
            <w:r>
              <w:rPr>
                <w:rFonts w:hint="eastAsia"/>
                <w:color w:val="000000" w:themeColor="text1"/>
                <w:sz w:val="24"/>
                <w14:textFill>
                  <w14:solidFill>
                    <w14:schemeClr w14:val="tx1"/>
                  </w14:solidFill>
                </w14:textFill>
              </w:rPr>
              <w:t>39</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55.397</w:t>
            </w:r>
            <w:r>
              <w:rPr>
                <w:color w:val="000000" w:themeColor="text1"/>
                <w:sz w:val="24"/>
                <w14:textFill>
                  <w14:solidFill>
                    <w14:schemeClr w14:val="tx1"/>
                  </w14:solidFill>
                </w14:textFill>
              </w:rPr>
              <w:t>″，东经：</w:t>
            </w:r>
            <w:r>
              <w:rPr>
                <w:rFonts w:hint="eastAsia"/>
                <w:color w:val="000000" w:themeColor="text1"/>
                <w:sz w:val="24"/>
                <w14:textFill>
                  <w14:solidFill>
                    <w14:schemeClr w14:val="tx1"/>
                  </w14:solidFill>
                </w14:textFill>
              </w:rPr>
              <w:t>109</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55</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19.665</w:t>
            </w:r>
            <w:r>
              <w:rPr>
                <w:color w:val="000000" w:themeColor="text1"/>
                <w:sz w:val="24"/>
                <w14:textFill>
                  <w14:solidFill>
                    <w14:schemeClr w14:val="tx1"/>
                  </w14:solidFill>
                </w14:textFill>
              </w:rPr>
              <w:t>″。</w:t>
            </w:r>
            <w:bookmarkEnd w:id="3"/>
            <w:r>
              <w:rPr>
                <w:rFonts w:hint="eastAsia"/>
                <w:color w:val="000000" w:themeColor="text1"/>
                <w:sz w:val="24"/>
                <w14:textFill>
                  <w14:solidFill>
                    <w14:schemeClr w14:val="tx1"/>
                  </w14:solidFill>
                </w14:textFill>
              </w:rPr>
              <w:t>厂区四周均为空地。项目周边500m范围内无环境敏感点。</w:t>
            </w:r>
          </w:p>
          <w:p w14:paraId="194BD058">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6、项目占地</w:t>
            </w:r>
          </w:p>
          <w:p w14:paraId="0C847998">
            <w:pPr>
              <w:pStyle w:val="5"/>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项目位于马秦壕鑫源洗煤厂现有厂区内，全厂占地41447m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，已取得《不动产权证书》（蒙</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2024</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伊金霍洛旗不动产权第0009328号），占地性质为工业用地。</w:t>
            </w:r>
          </w:p>
          <w:p w14:paraId="5139637B">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7、建设规模</w:t>
            </w:r>
          </w:p>
          <w:p w14:paraId="6172E307">
            <w:pPr>
              <w:pStyle w:val="5"/>
              <w:adjustRightInd w:val="0"/>
              <w:snapToGrid w:val="0"/>
              <w:spacing w:line="480" w:lineRule="exact"/>
              <w:ind w:firstLine="480" w:firstLineChars="200"/>
              <w:rPr>
                <w:iCs/>
                <w:color w:val="000000" w:themeColor="text1"/>
                <w:kern w:val="0"/>
                <w:sz w:val="24"/>
                <w:szCs w:val="22"/>
                <w14:textFill>
                  <w14:solidFill>
                    <w14:schemeClr w14:val="tx1"/>
                  </w14:solidFill>
                </w14:textFill>
              </w:rPr>
            </w:pPr>
            <w:r>
              <w:rPr>
                <w:rFonts w:hint="eastAsia"/>
                <w:iCs/>
                <w:color w:val="000000" w:themeColor="text1"/>
                <w:kern w:val="0"/>
                <w:sz w:val="24"/>
                <w:szCs w:val="22"/>
                <w14:textFill>
                  <w14:solidFill>
                    <w14:schemeClr w14:val="tx1"/>
                  </w14:solidFill>
                </w14:textFill>
              </w:rPr>
              <w:t>本次已建成但</w:t>
            </w:r>
            <w:bookmarkStart w:id="4" w:name="OLE_LINK3"/>
            <w:r>
              <w:rPr>
                <w:rFonts w:hint="eastAsia"/>
                <w:iCs/>
                <w:color w:val="000000" w:themeColor="text1"/>
                <w:kern w:val="0"/>
                <w:sz w:val="24"/>
                <w:szCs w:val="22"/>
                <w14:textFill>
                  <w14:solidFill>
                    <w14:schemeClr w14:val="tx1"/>
                  </w14:solidFill>
                </w14:textFill>
              </w:rPr>
              <w:t>未履行环评手续的煤棚为3#煤棚、4#煤棚，建筑面积</w:t>
            </w:r>
            <w:r>
              <w:rPr>
                <w:rFonts w:hint="eastAsia"/>
                <w:color w:val="000000" w:themeColor="text1"/>
                <w:kern w:val="0"/>
                <w:sz w:val="24"/>
                <w14:textFill>
                  <w14:solidFill>
                    <w14:schemeClr w14:val="tx1"/>
                  </w14:solidFill>
                </w14:textFill>
              </w:rPr>
              <w:t>18620.01m</w:t>
            </w:r>
            <w:r>
              <w:rPr>
                <w:rFonts w:hint="eastAsia"/>
                <w:color w:val="000000" w:themeColor="text1"/>
                <w:kern w:val="0"/>
                <w:sz w:val="24"/>
                <w:vertAlign w:val="superscript"/>
                <w14:textFill>
                  <w14:solidFill>
                    <w14:schemeClr w14:val="tx1"/>
                  </w14:solidFill>
                </w14:textFill>
              </w:rPr>
              <w:t>2</w:t>
            </w:r>
            <w:bookmarkEnd w:id="4"/>
            <w:r>
              <w:rPr>
                <w:rFonts w:hint="eastAsia"/>
                <w:color w:val="000000" w:themeColor="text1"/>
                <w:kern w:val="0"/>
                <w:sz w:val="24"/>
                <w14:textFill>
                  <w14:solidFill>
                    <w14:schemeClr w14:val="tx1"/>
                  </w14:solidFill>
                </w14:textFill>
              </w:rPr>
              <w:t>。</w:t>
            </w:r>
            <w:r>
              <w:rPr>
                <w:rFonts w:hint="eastAsia"/>
                <w:color w:val="000000" w:themeColor="text1"/>
                <w:sz w:val="24"/>
                <w14:textFill>
                  <w14:solidFill>
                    <w14:schemeClr w14:val="tx1"/>
                  </w14:solidFill>
                </w14:textFill>
              </w:rPr>
              <w:t>本项目为煤棚扩建项目，不涉及煤炭洗选规模。项目建设前后全厂煤炭洗选规模不变，仍为120万t/a。</w:t>
            </w:r>
          </w:p>
          <w:p w14:paraId="0AA86E26">
            <w:pPr>
              <w:pStyle w:val="5"/>
              <w:adjustRightInd w:val="0"/>
              <w:snapToGrid w:val="0"/>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项目煤棚建筑面积情况见下表如下。</w:t>
            </w:r>
          </w:p>
          <w:p w14:paraId="7A966E4F">
            <w:pPr>
              <w:pStyle w:val="5"/>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表2-1    项目全厂煤棚建筑面积情况一览表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138"/>
              <w:gridCol w:w="1727"/>
              <w:gridCol w:w="1585"/>
              <w:gridCol w:w="1152"/>
              <w:gridCol w:w="2274"/>
            </w:tblGrid>
            <w:tr w14:paraId="5C44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18" w:type="pct"/>
                  <w:vMerge w:val="restart"/>
                  <w:vAlign w:val="center"/>
                </w:tcPr>
                <w:p w14:paraId="7812C9F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tc>
              <w:tc>
                <w:tcPr>
                  <w:tcW w:w="662" w:type="pct"/>
                  <w:vMerge w:val="restart"/>
                  <w:vAlign w:val="center"/>
                </w:tcPr>
                <w:p w14:paraId="03DB70A3">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2597" w:type="pct"/>
                  <w:gridSpan w:val="3"/>
                  <w:vAlign w:val="center"/>
                </w:tcPr>
                <w:p w14:paraId="147CD79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建筑面积（</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2</w:t>
                  </w:r>
                  <w:r>
                    <w:rPr>
                      <w:rFonts w:hint="eastAsia"/>
                      <w:color w:val="000000" w:themeColor="text1"/>
                      <w:szCs w:val="21"/>
                      <w14:textFill>
                        <w14:solidFill>
                          <w14:schemeClr w14:val="tx1"/>
                        </w14:solidFill>
                      </w14:textFill>
                    </w:rPr>
                    <w:t>）</w:t>
                  </w:r>
                </w:p>
              </w:tc>
              <w:tc>
                <w:tcPr>
                  <w:tcW w:w="1323" w:type="pct"/>
                  <w:vMerge w:val="restart"/>
                  <w:vAlign w:val="center"/>
                </w:tcPr>
                <w:p w14:paraId="14675C1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备注</w:t>
                  </w:r>
                </w:p>
              </w:tc>
            </w:tr>
            <w:tr w14:paraId="19EA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18" w:type="pct"/>
                  <w:vMerge w:val="continue"/>
                  <w:vAlign w:val="center"/>
                </w:tcPr>
                <w:p w14:paraId="3CF769B6">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662" w:type="pct"/>
                  <w:vMerge w:val="continue"/>
                  <w:vAlign w:val="center"/>
                </w:tcPr>
                <w:p w14:paraId="7A9F4C25">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1005" w:type="pct"/>
                  <w:vAlign w:val="center"/>
                </w:tcPr>
                <w:p w14:paraId="4C393043">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原环评批复部分</w:t>
                  </w:r>
                </w:p>
              </w:tc>
              <w:tc>
                <w:tcPr>
                  <w:tcW w:w="922" w:type="pct"/>
                  <w:vAlign w:val="center"/>
                </w:tcPr>
                <w:p w14:paraId="48FD47E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未批先建部分</w:t>
                  </w:r>
                </w:p>
              </w:tc>
              <w:tc>
                <w:tcPr>
                  <w:tcW w:w="670" w:type="pct"/>
                  <w:vAlign w:val="center"/>
                </w:tcPr>
                <w:p w14:paraId="37BBCF9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1323" w:type="pct"/>
                  <w:vMerge w:val="continue"/>
                  <w:vAlign w:val="center"/>
                </w:tcPr>
                <w:p w14:paraId="3B17C4EC">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337D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18" w:type="pct"/>
                  <w:vAlign w:val="center"/>
                </w:tcPr>
                <w:p w14:paraId="2B90876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662" w:type="pct"/>
                  <w:vAlign w:val="center"/>
                </w:tcPr>
                <w:p w14:paraId="62A77FD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1#储煤棚</w:t>
                  </w:r>
                </w:p>
              </w:tc>
              <w:tc>
                <w:tcPr>
                  <w:tcW w:w="1005" w:type="pct"/>
                  <w:vAlign w:val="center"/>
                </w:tcPr>
                <w:p w14:paraId="4EE12E6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3400</w:t>
                  </w:r>
                </w:p>
              </w:tc>
              <w:tc>
                <w:tcPr>
                  <w:tcW w:w="922" w:type="pct"/>
                  <w:vAlign w:val="center"/>
                </w:tcPr>
                <w:p w14:paraId="2FBD2B1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670" w:type="pct"/>
                  <w:vAlign w:val="center"/>
                </w:tcPr>
                <w:p w14:paraId="0729C6E7">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3400</w:t>
                  </w:r>
                </w:p>
              </w:tc>
              <w:tc>
                <w:tcPr>
                  <w:tcW w:w="1323" w:type="pct"/>
                  <w:vMerge w:val="restart"/>
                  <w:vAlign w:val="center"/>
                </w:tcPr>
                <w:p w14:paraId="68C0475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原煤、产品煤等进行暂存</w:t>
                  </w:r>
                </w:p>
              </w:tc>
            </w:tr>
            <w:tr w14:paraId="0CD1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18" w:type="pct"/>
                  <w:vAlign w:val="center"/>
                </w:tcPr>
                <w:p w14:paraId="7A8B03F3">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662" w:type="pct"/>
                  <w:vAlign w:val="center"/>
                </w:tcPr>
                <w:p w14:paraId="42237B6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2#储煤棚</w:t>
                  </w:r>
                </w:p>
              </w:tc>
              <w:tc>
                <w:tcPr>
                  <w:tcW w:w="1005" w:type="pct"/>
                  <w:vAlign w:val="center"/>
                </w:tcPr>
                <w:p w14:paraId="664247F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1400</w:t>
                  </w:r>
                </w:p>
              </w:tc>
              <w:tc>
                <w:tcPr>
                  <w:tcW w:w="922" w:type="pct"/>
                  <w:vAlign w:val="center"/>
                </w:tcPr>
                <w:p w14:paraId="17D0440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670" w:type="pct"/>
                  <w:vAlign w:val="center"/>
                </w:tcPr>
                <w:p w14:paraId="2BCF4E5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1400</w:t>
                  </w:r>
                </w:p>
              </w:tc>
              <w:tc>
                <w:tcPr>
                  <w:tcW w:w="1323" w:type="pct"/>
                  <w:vMerge w:val="continue"/>
                  <w:vAlign w:val="center"/>
                </w:tcPr>
                <w:p w14:paraId="4AFDFCA2">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4765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18" w:type="pct"/>
                  <w:vAlign w:val="center"/>
                </w:tcPr>
                <w:p w14:paraId="39A2832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662" w:type="pct"/>
                  <w:vAlign w:val="center"/>
                </w:tcPr>
                <w:p w14:paraId="2A8D586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3#储煤棚</w:t>
                  </w:r>
                </w:p>
              </w:tc>
              <w:tc>
                <w:tcPr>
                  <w:tcW w:w="1005" w:type="pct"/>
                  <w:vAlign w:val="center"/>
                </w:tcPr>
                <w:p w14:paraId="0B85A2A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922" w:type="pct"/>
                  <w:vAlign w:val="center"/>
                </w:tcPr>
                <w:p w14:paraId="20BE2A87">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5366.21</w:t>
                  </w:r>
                </w:p>
              </w:tc>
              <w:tc>
                <w:tcPr>
                  <w:tcW w:w="670" w:type="pct"/>
                  <w:vAlign w:val="center"/>
                </w:tcPr>
                <w:p w14:paraId="3A723D8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5366.21</w:t>
                  </w:r>
                </w:p>
              </w:tc>
              <w:tc>
                <w:tcPr>
                  <w:tcW w:w="1323" w:type="pct"/>
                  <w:vMerge w:val="restart"/>
                  <w:vAlign w:val="center"/>
                </w:tcPr>
                <w:p w14:paraId="4BB0597C">
                  <w:pPr>
                    <w:pStyle w:val="5"/>
                    <w:adjustRightInd w:val="0"/>
                    <w:snapToGrid w:val="0"/>
                    <w:spacing w:line="440" w:lineRule="exact"/>
                    <w:ind w:firstLine="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原煤、产品煤等进行暂存，本次扩建煤棚</w:t>
                  </w:r>
                </w:p>
              </w:tc>
            </w:tr>
            <w:tr w14:paraId="00D4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18" w:type="pct"/>
                  <w:vAlign w:val="center"/>
                </w:tcPr>
                <w:p w14:paraId="3E7E908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662" w:type="pct"/>
                  <w:vAlign w:val="center"/>
                </w:tcPr>
                <w:p w14:paraId="187A8FB7">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4#储煤棚</w:t>
                  </w:r>
                </w:p>
              </w:tc>
              <w:tc>
                <w:tcPr>
                  <w:tcW w:w="1005" w:type="pct"/>
                  <w:vAlign w:val="center"/>
                </w:tcPr>
                <w:p w14:paraId="30E813B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922" w:type="pct"/>
                  <w:vAlign w:val="center"/>
                </w:tcPr>
                <w:p w14:paraId="5248D16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13253.8</w:t>
                  </w:r>
                </w:p>
              </w:tc>
              <w:tc>
                <w:tcPr>
                  <w:tcW w:w="670" w:type="pct"/>
                  <w:vAlign w:val="center"/>
                </w:tcPr>
                <w:p w14:paraId="4E95732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13253.8</w:t>
                  </w:r>
                </w:p>
              </w:tc>
              <w:tc>
                <w:tcPr>
                  <w:tcW w:w="1323" w:type="pct"/>
                  <w:vMerge w:val="continue"/>
                  <w:vAlign w:val="center"/>
                </w:tcPr>
                <w:p w14:paraId="566F2469">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0884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1079" w:type="pct"/>
                  <w:gridSpan w:val="2"/>
                  <w:vAlign w:val="center"/>
                </w:tcPr>
                <w:p w14:paraId="69F4F894">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合计</w:t>
                  </w:r>
                </w:p>
              </w:tc>
              <w:tc>
                <w:tcPr>
                  <w:tcW w:w="1005" w:type="pct"/>
                  <w:vAlign w:val="center"/>
                </w:tcPr>
                <w:p w14:paraId="75F1363B">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4800</w:t>
                  </w:r>
                </w:p>
              </w:tc>
              <w:tc>
                <w:tcPr>
                  <w:tcW w:w="922" w:type="pct"/>
                  <w:vAlign w:val="center"/>
                </w:tcPr>
                <w:p w14:paraId="41BA67ED">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18620.01</w:t>
                  </w:r>
                </w:p>
              </w:tc>
              <w:tc>
                <w:tcPr>
                  <w:tcW w:w="670" w:type="pct"/>
                  <w:vAlign w:val="center"/>
                </w:tcPr>
                <w:p w14:paraId="2731B78E">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23420.01</w:t>
                  </w:r>
                </w:p>
              </w:tc>
              <w:tc>
                <w:tcPr>
                  <w:tcW w:w="1323" w:type="pct"/>
                  <w:vAlign w:val="center"/>
                </w:tcPr>
                <w:p w14:paraId="395B8EDD">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p>
              </w:tc>
            </w:tr>
          </w:tbl>
          <w:p w14:paraId="31EB5DB6">
            <w:pPr>
              <w:adjustRightInd w:val="0"/>
              <w:snapToGrid w:val="0"/>
              <w:spacing w:line="380" w:lineRule="exact"/>
              <w:ind w:firstLine="480" w:firstLineChars="200"/>
              <w:outlineLvl w:val="2"/>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项目煤棚储存量与产能匹配性分析见下表。</w:t>
            </w:r>
          </w:p>
          <w:p w14:paraId="625A71B6">
            <w:pPr>
              <w:pStyle w:val="5"/>
              <w:adjustRightInd w:val="0"/>
              <w:snapToGrid w:val="0"/>
              <w:spacing w:line="440" w:lineRule="exact"/>
              <w:ind w:firstLine="482" w:firstLineChars="200"/>
              <w:rPr>
                <w:b/>
                <w:bCs/>
                <w:color w:val="000000" w:themeColor="text1"/>
                <w:sz w:val="24"/>
                <w14:textFill>
                  <w14:solidFill>
                    <w14:schemeClr w14:val="tx1"/>
                  </w14:solidFill>
                </w14:textFill>
              </w:rPr>
            </w:pPr>
          </w:p>
          <w:p w14:paraId="2D76E177">
            <w:pPr>
              <w:pStyle w:val="5"/>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表2-2    项目煤棚储存量与产能匹配性分析一览表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70"/>
              <w:gridCol w:w="859"/>
              <w:gridCol w:w="1251"/>
              <w:gridCol w:w="1354"/>
              <w:gridCol w:w="1360"/>
              <w:gridCol w:w="1549"/>
              <w:gridCol w:w="1551"/>
            </w:tblGrid>
            <w:tr w14:paraId="68E4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2" w:hRule="atLeast"/>
              </w:trPr>
              <w:tc>
                <w:tcPr>
                  <w:tcW w:w="390" w:type="pct"/>
                  <w:vMerge w:val="restart"/>
                  <w:vAlign w:val="center"/>
                </w:tcPr>
                <w:p w14:paraId="44B45D9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tc>
              <w:tc>
                <w:tcPr>
                  <w:tcW w:w="1228" w:type="pct"/>
                  <w:gridSpan w:val="2"/>
                  <w:vMerge w:val="restart"/>
                  <w:vAlign w:val="center"/>
                </w:tcPr>
                <w:p w14:paraId="5677F92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1579" w:type="pct"/>
                  <w:gridSpan w:val="2"/>
                  <w:vAlign w:val="center"/>
                </w:tcPr>
                <w:p w14:paraId="539EDC1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储存量（</w:t>
                  </w:r>
                  <w:r>
                    <w:rPr>
                      <w:rFonts w:hint="eastAsia"/>
                      <w:color w:val="000000" w:themeColor="text1"/>
                      <w:sz w:val="24"/>
                      <w14:textFill>
                        <w14:solidFill>
                          <w14:schemeClr w14:val="tx1"/>
                        </w14:solidFill>
                      </w14:textFill>
                    </w:rPr>
                    <w:t>万t/周期</w:t>
                  </w:r>
                  <w:r>
                    <w:rPr>
                      <w:rFonts w:hint="eastAsia"/>
                      <w:color w:val="000000" w:themeColor="text1"/>
                      <w:szCs w:val="21"/>
                      <w14:textFill>
                        <w14:solidFill>
                          <w14:schemeClr w14:val="tx1"/>
                        </w14:solidFill>
                      </w14:textFill>
                    </w:rPr>
                    <w:t>）</w:t>
                  </w:r>
                </w:p>
              </w:tc>
              <w:tc>
                <w:tcPr>
                  <w:tcW w:w="1803" w:type="pct"/>
                  <w:gridSpan w:val="2"/>
                  <w:vAlign w:val="center"/>
                </w:tcPr>
                <w:p w14:paraId="106EF0D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储存周期（d）</w:t>
                  </w:r>
                </w:p>
              </w:tc>
            </w:tr>
            <w:tr w14:paraId="7C02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 w:hRule="atLeast"/>
              </w:trPr>
              <w:tc>
                <w:tcPr>
                  <w:tcW w:w="390" w:type="pct"/>
                  <w:vMerge w:val="continue"/>
                  <w:vAlign w:val="center"/>
                </w:tcPr>
                <w:p w14:paraId="4228867E">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1228" w:type="pct"/>
                  <w:gridSpan w:val="2"/>
                  <w:vMerge w:val="continue"/>
                  <w:vAlign w:val="center"/>
                </w:tcPr>
                <w:p w14:paraId="27BC74DA">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788" w:type="pct"/>
                  <w:vAlign w:val="center"/>
                </w:tcPr>
                <w:p w14:paraId="431B8E7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w:t>
                  </w:r>
                </w:p>
              </w:tc>
              <w:tc>
                <w:tcPr>
                  <w:tcW w:w="790" w:type="pct"/>
                  <w:vAlign w:val="center"/>
                </w:tcPr>
                <w:p w14:paraId="03DBAA5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扩建后</w:t>
                  </w:r>
                </w:p>
              </w:tc>
              <w:tc>
                <w:tcPr>
                  <w:tcW w:w="901" w:type="pct"/>
                  <w:vAlign w:val="center"/>
                </w:tcPr>
                <w:p w14:paraId="46FD812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w:t>
                  </w:r>
                </w:p>
              </w:tc>
              <w:tc>
                <w:tcPr>
                  <w:tcW w:w="902" w:type="pct"/>
                  <w:vAlign w:val="center"/>
                </w:tcPr>
                <w:p w14:paraId="1D216DB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扩建后</w:t>
                  </w:r>
                </w:p>
              </w:tc>
            </w:tr>
            <w:tr w14:paraId="34D8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9" w:hRule="atLeast"/>
              </w:trPr>
              <w:tc>
                <w:tcPr>
                  <w:tcW w:w="390" w:type="pct"/>
                  <w:vMerge w:val="restart"/>
                  <w:vAlign w:val="center"/>
                </w:tcPr>
                <w:p w14:paraId="2BF5583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500" w:type="pct"/>
                  <w:vMerge w:val="restart"/>
                  <w:vAlign w:val="center"/>
                </w:tcPr>
                <w:p w14:paraId="46CBD2F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储煤棚</w:t>
                  </w:r>
                </w:p>
              </w:tc>
              <w:tc>
                <w:tcPr>
                  <w:tcW w:w="728" w:type="pct"/>
                  <w:vAlign w:val="center"/>
                </w:tcPr>
                <w:p w14:paraId="7E453AB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w:t>
                  </w:r>
                </w:p>
              </w:tc>
              <w:tc>
                <w:tcPr>
                  <w:tcW w:w="788" w:type="pct"/>
                  <w:vAlign w:val="center"/>
                </w:tcPr>
                <w:p w14:paraId="5D16049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1.82</w:t>
                  </w:r>
                </w:p>
              </w:tc>
              <w:tc>
                <w:tcPr>
                  <w:tcW w:w="790" w:type="pct"/>
                  <w:vAlign w:val="center"/>
                </w:tcPr>
                <w:p w14:paraId="40EAACC4">
                  <w:pPr>
                    <w:pStyle w:val="5"/>
                    <w:adjustRightInd w:val="0"/>
                    <w:snapToGrid w:val="0"/>
                    <w:spacing w:line="440" w:lineRule="exact"/>
                    <w:ind w:firstLine="0"/>
                    <w:jc w:val="cente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7.27</w:t>
                  </w:r>
                </w:p>
              </w:tc>
              <w:tc>
                <w:tcPr>
                  <w:tcW w:w="901" w:type="pct"/>
                  <w:vAlign w:val="center"/>
                </w:tcPr>
                <w:p w14:paraId="1957037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p>
              </w:tc>
              <w:tc>
                <w:tcPr>
                  <w:tcW w:w="902" w:type="pct"/>
                  <w:vAlign w:val="center"/>
                </w:tcPr>
                <w:p w14:paraId="05F2A1D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w:t>
                  </w:r>
                </w:p>
              </w:tc>
            </w:tr>
            <w:tr w14:paraId="6A86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90" w:type="pct"/>
                  <w:vMerge w:val="continue"/>
                  <w:vAlign w:val="center"/>
                </w:tcPr>
                <w:p w14:paraId="0E62B461">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500" w:type="pct"/>
                  <w:vMerge w:val="continue"/>
                  <w:vAlign w:val="center"/>
                </w:tcPr>
                <w:p w14:paraId="45CF3FDE">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728" w:type="pct"/>
                  <w:vAlign w:val="center"/>
                </w:tcPr>
                <w:p w14:paraId="7BAE93C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产品煤等</w:t>
                  </w:r>
                </w:p>
              </w:tc>
              <w:tc>
                <w:tcPr>
                  <w:tcW w:w="788" w:type="pct"/>
                  <w:vAlign w:val="center"/>
                </w:tcPr>
                <w:p w14:paraId="2B7B656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1.11</w:t>
                  </w:r>
                </w:p>
              </w:tc>
              <w:tc>
                <w:tcPr>
                  <w:tcW w:w="790" w:type="pct"/>
                  <w:vAlign w:val="center"/>
                </w:tcPr>
                <w:p w14:paraId="7367148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3.64</w:t>
                  </w:r>
                </w:p>
              </w:tc>
              <w:tc>
                <w:tcPr>
                  <w:tcW w:w="901" w:type="pct"/>
                  <w:vAlign w:val="center"/>
                </w:tcPr>
                <w:p w14:paraId="2C5090F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902" w:type="pct"/>
                  <w:vAlign w:val="center"/>
                </w:tcPr>
                <w:p w14:paraId="548B488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p>
              </w:tc>
            </w:tr>
          </w:tbl>
          <w:p w14:paraId="6337BC7C">
            <w:pPr>
              <w:adjustRightInd w:val="0"/>
              <w:snapToGrid w:val="0"/>
              <w:spacing w:line="380" w:lineRule="exact"/>
              <w:outlineLvl w:val="2"/>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注：（1）项目原煤和洗选后煤炭均在煤棚内储存。因此，分别核算原煤储存周期和洗选后产品煤（含煤矸石）储存周期。</w:t>
            </w:r>
          </w:p>
          <w:p w14:paraId="16F83AE1">
            <w:pPr>
              <w:adjustRightInd w:val="0"/>
              <w:snapToGrid w:val="0"/>
              <w:spacing w:line="380" w:lineRule="exact"/>
              <w:ind w:firstLine="480" w:firstLineChars="200"/>
              <w:outlineLvl w:val="2"/>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（2）现有工程年洗选煤炭120万吨，本次评价按全年煤炭洗选量及平均储存周期核算煤棚储存量与产能匹配性。</w:t>
            </w:r>
          </w:p>
          <w:p w14:paraId="7AA4EF9A">
            <w:pPr>
              <w:adjustRightInd w:val="0"/>
              <w:snapToGrid w:val="0"/>
              <w:spacing w:line="38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8、建设内容</w:t>
            </w:r>
          </w:p>
          <w:p w14:paraId="2488DA90">
            <w:pPr>
              <w:adjustRightInd w:val="0"/>
              <w:snapToGrid w:val="0"/>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表2-</w:t>
            </w:r>
            <w:r>
              <w:rPr>
                <w:rFonts w:hint="eastAsia"/>
                <w:b/>
                <w:color w:val="000000" w:themeColor="text1"/>
                <w:sz w:val="24"/>
                <w14:textFill>
                  <w14:solidFill>
                    <w14:schemeClr w14:val="tx1"/>
                  </w14:solidFill>
                </w14:textFill>
              </w:rPr>
              <w:t>2</w:t>
            </w:r>
            <w:r>
              <w:rPr>
                <w:b/>
                <w:color w:val="000000" w:themeColor="text1"/>
                <w:sz w:val="24"/>
                <w14:textFill>
                  <w14:solidFill>
                    <w14:schemeClr w14:val="tx1"/>
                  </w14:solidFill>
                </w14:textFill>
              </w:rPr>
              <w:t xml:space="preserve">    主要建设内容一览表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4"/>
              <w:gridCol w:w="584"/>
              <w:gridCol w:w="1024"/>
              <w:gridCol w:w="5839"/>
              <w:gridCol w:w="563"/>
            </w:tblGrid>
            <w:tr w14:paraId="3A98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1276" w:type="pct"/>
                  <w:gridSpan w:val="3"/>
                  <w:vAlign w:val="center"/>
                </w:tcPr>
                <w:p w14:paraId="31358448">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项目组成</w:t>
                  </w:r>
                </w:p>
              </w:tc>
              <w:tc>
                <w:tcPr>
                  <w:tcW w:w="3397" w:type="pct"/>
                  <w:vAlign w:val="center"/>
                </w:tcPr>
                <w:p w14:paraId="6D2079F2">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建设内容</w:t>
                  </w:r>
                </w:p>
              </w:tc>
              <w:tc>
                <w:tcPr>
                  <w:tcW w:w="327" w:type="pct"/>
                  <w:vAlign w:val="center"/>
                </w:tcPr>
                <w:p w14:paraId="11F3372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备注</w:t>
                  </w:r>
                </w:p>
              </w:tc>
            </w:tr>
            <w:tr w14:paraId="1D53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340" w:type="pct"/>
                  <w:vAlign w:val="center"/>
                </w:tcPr>
                <w:p w14:paraId="7F35AA23">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主体工程</w:t>
                  </w:r>
                </w:p>
              </w:tc>
              <w:tc>
                <w:tcPr>
                  <w:tcW w:w="936" w:type="pct"/>
                  <w:gridSpan w:val="2"/>
                  <w:tcBorders>
                    <w:tl2br w:val="nil"/>
                    <w:tr2bl w:val="nil"/>
                  </w:tcBorders>
                  <w:vAlign w:val="center"/>
                </w:tcPr>
                <w:p w14:paraId="48CD0DCE">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全封闭储煤棚</w:t>
                  </w:r>
                </w:p>
              </w:tc>
              <w:tc>
                <w:tcPr>
                  <w:tcW w:w="3397" w:type="pct"/>
                  <w:tcBorders>
                    <w:tl2br w:val="nil"/>
                    <w:tr2bl w:val="nil"/>
                  </w:tcBorders>
                  <w:vAlign w:val="center"/>
                </w:tcPr>
                <w:p w14:paraId="64AC9175">
                  <w:pPr>
                    <w:adjustRightInd w:val="0"/>
                    <w:snapToGrid w:val="0"/>
                    <w:spacing w:line="320" w:lineRule="exact"/>
                    <w:rPr>
                      <w:iCs/>
                      <w:color w:val="000000" w:themeColor="text1"/>
                      <w:lang w:bidi="ar"/>
                      <w14:textFill>
                        <w14:solidFill>
                          <w14:schemeClr w14:val="tx1"/>
                        </w14:solidFill>
                      </w14:textFill>
                    </w:rPr>
                  </w:pPr>
                  <w:r>
                    <w:rPr>
                      <w:rFonts w:hint="eastAsia"/>
                      <w:iCs/>
                      <w:color w:val="000000" w:themeColor="text1"/>
                      <w:lang w:bidi="ar"/>
                      <w14:textFill>
                        <w14:solidFill>
                          <w14:schemeClr w14:val="tx1"/>
                        </w14:solidFill>
                      </w14:textFill>
                    </w:rPr>
                    <w:t>本次扩建涉及煤棚总建筑面积</w:t>
                  </w:r>
                  <w:r>
                    <w:rPr>
                      <w:rFonts w:hint="eastAsia"/>
                      <w:color w:val="000000" w:themeColor="text1"/>
                      <w:szCs w:val="21"/>
                      <w14:textFill>
                        <w14:solidFill>
                          <w14:schemeClr w14:val="tx1"/>
                        </w14:solidFill>
                      </w14:textFill>
                    </w:rPr>
                    <w:t>18620.01m</w:t>
                  </w:r>
                  <w:r>
                    <w:rPr>
                      <w:rFonts w:hint="eastAsia"/>
                      <w:color w:val="000000" w:themeColor="text1"/>
                      <w:szCs w:val="21"/>
                      <w:vertAlign w:val="superscript"/>
                      <w14:textFill>
                        <w14:solidFill>
                          <w14:schemeClr w14:val="tx1"/>
                        </w14:solidFill>
                      </w14:textFill>
                    </w:rPr>
                    <w:t>2</w:t>
                  </w:r>
                  <w:r>
                    <w:rPr>
                      <w:rFonts w:hint="eastAsia"/>
                      <w:iCs/>
                      <w:color w:val="000000" w:themeColor="text1"/>
                      <w:lang w:bidi="ar"/>
                      <w14:textFill>
                        <w14:solidFill>
                          <w14:schemeClr w14:val="tx1"/>
                        </w14:solidFill>
                      </w14:textFill>
                    </w:rPr>
                    <w:t>，包括3#煤棚，建筑面积5366.21m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；4#煤棚，建筑面积13253.8m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p>
                <w:p w14:paraId="7D9772DF">
                  <w:pPr>
                    <w:adjustRightInd w:val="0"/>
                    <w:snapToGrid w:val="0"/>
                    <w:spacing w:line="320" w:lineRule="exact"/>
                    <w:rPr>
                      <w:iCs/>
                      <w:color w:val="000000" w:themeColor="text1"/>
                      <w:lang w:bidi="ar"/>
                      <w14:textFill>
                        <w14:solidFill>
                          <w14:schemeClr w14:val="tx1"/>
                        </w14:solidFill>
                      </w14:textFill>
                    </w:rPr>
                  </w:pPr>
                  <w:r>
                    <w:rPr>
                      <w:rFonts w:hint="eastAsia"/>
                      <w:iCs/>
                      <w:color w:val="000000" w:themeColor="text1"/>
                      <w:lang w:bidi="ar"/>
                      <w14:textFill>
                        <w14:solidFill>
                          <w14:schemeClr w14:val="tx1"/>
                        </w14:solidFill>
                      </w14:textFill>
                    </w:rPr>
                    <w:t>本次扩建完成后，企业全厂煤棚总建筑面积23420.01m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。煤棚内地面进行一般地面硬化处理，</w:t>
                  </w:r>
                  <w:r>
                    <w:rPr>
                      <w:rFonts w:hint="eastAsia"/>
                      <w:color w:val="000000" w:themeColor="text1"/>
                      <w:lang w:bidi="ar"/>
                      <w14:textFill>
                        <w14:solidFill>
                          <w14:schemeClr w14:val="tx1"/>
                        </w14:solidFill>
                      </w14:textFill>
                    </w:rPr>
                    <w:t>安装视频监控设施一套，并与环保部门平台联网。</w:t>
                  </w:r>
                </w:p>
              </w:tc>
              <w:tc>
                <w:tcPr>
                  <w:tcW w:w="327" w:type="pct"/>
                  <w:tcBorders>
                    <w:tl2br w:val="nil"/>
                    <w:tr2bl w:val="nil"/>
                  </w:tcBorders>
                  <w:vAlign w:val="center"/>
                </w:tcPr>
                <w:p w14:paraId="5623251B">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扩建</w:t>
                  </w:r>
                </w:p>
              </w:tc>
            </w:tr>
            <w:tr w14:paraId="699A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restart"/>
                  <w:vAlign w:val="center"/>
                </w:tcPr>
                <w:p w14:paraId="226F01A0">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辅助</w:t>
                  </w:r>
                </w:p>
                <w:p w14:paraId="179E0D13">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936" w:type="pct"/>
                  <w:gridSpan w:val="2"/>
                  <w:tcBorders>
                    <w:tl2br w:val="nil"/>
                    <w:tr2bl w:val="nil"/>
                  </w:tcBorders>
                  <w:vAlign w:val="center"/>
                </w:tcPr>
                <w:p w14:paraId="2568635A">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磅房</w:t>
                  </w:r>
                </w:p>
              </w:tc>
              <w:tc>
                <w:tcPr>
                  <w:tcW w:w="3397" w:type="pct"/>
                  <w:tcBorders>
                    <w:tl2br w:val="nil"/>
                    <w:tr2bl w:val="nil"/>
                  </w:tcBorders>
                  <w:vAlign w:val="center"/>
                </w:tcPr>
                <w:p w14:paraId="30B8382E">
                  <w:pPr>
                    <w:adjustRightInd w:val="0"/>
                    <w:snapToGrid w:val="0"/>
                    <w:spacing w:line="320" w:lineRule="exact"/>
                    <w:rPr>
                      <w:color w:val="000000" w:themeColor="text1"/>
                      <w:lang w:bidi="ar"/>
                      <w14:textFill>
                        <w14:solidFill>
                          <w14:schemeClr w14:val="tx1"/>
                        </w14:solidFill>
                      </w14:textFill>
                    </w:rPr>
                  </w:pPr>
                  <w:r>
                    <w:rPr>
                      <w:rFonts w:hint="eastAsia"/>
                      <w:color w:val="000000" w:themeColor="text1"/>
                      <w:szCs w:val="21"/>
                      <w14:textFill>
                        <w14:solidFill>
                          <w14:schemeClr w14:val="tx1"/>
                        </w14:solidFill>
                      </w14:textFill>
                    </w:rPr>
                    <w:t>建筑面积30.95</w:t>
                  </w:r>
                  <w:r>
                    <w:rPr>
                      <w:rFonts w:hint="eastAsia"/>
                      <w:iCs/>
                      <w:color w:val="000000" w:themeColor="text1"/>
                      <w:lang w:bidi="ar"/>
                      <w14:textFill>
                        <w14:solidFill>
                          <w14:schemeClr w14:val="tx1"/>
                        </w14:solidFill>
                      </w14:textFill>
                    </w:rPr>
                    <w:t xml:space="preserve"> 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r>
                    <w:rPr>
                      <w:rFonts w:hint="eastAsia"/>
                      <w:color w:val="000000" w:themeColor="text1"/>
                      <w:szCs w:val="21"/>
                      <w14:textFill>
                        <w14:solidFill>
                          <w14:schemeClr w14:val="tx1"/>
                        </w14:solidFill>
                      </w14:textFill>
                    </w:rPr>
                    <w:t>位于办公区西北，依托现有。</w:t>
                  </w:r>
                </w:p>
              </w:tc>
              <w:tc>
                <w:tcPr>
                  <w:tcW w:w="327" w:type="pct"/>
                  <w:tcBorders>
                    <w:tl2br w:val="nil"/>
                    <w:tr2bl w:val="nil"/>
                  </w:tcBorders>
                  <w:vAlign w:val="center"/>
                </w:tcPr>
                <w:p w14:paraId="2650174D">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7473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6E4F7D7C">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29ECD2B8">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办公生活区</w:t>
                  </w:r>
                </w:p>
                <w:p w14:paraId="7A8DF661">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（1-2厂房）</w:t>
                  </w:r>
                </w:p>
              </w:tc>
              <w:tc>
                <w:tcPr>
                  <w:tcW w:w="3397" w:type="pct"/>
                  <w:vAlign w:val="center"/>
                </w:tcPr>
                <w:p w14:paraId="3331DCA7">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建筑面积743.92</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r>
                    <w:rPr>
                      <w:rFonts w:hint="eastAsia"/>
                      <w:color w:val="000000" w:themeColor="text1"/>
                      <w:szCs w:val="21"/>
                      <w14:textFill>
                        <w14:solidFill>
                          <w14:schemeClr w14:val="tx1"/>
                        </w14:solidFill>
                      </w14:textFill>
                    </w:rPr>
                    <w:t>依托厂区现有办公生活区。</w:t>
                  </w:r>
                </w:p>
              </w:tc>
              <w:tc>
                <w:tcPr>
                  <w:tcW w:w="327" w:type="pct"/>
                  <w:vAlign w:val="center"/>
                </w:tcPr>
                <w:p w14:paraId="3A980136">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0D5D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28DA07B">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4E52793B">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消防水池及泵房</w:t>
                  </w:r>
                </w:p>
              </w:tc>
              <w:tc>
                <w:tcPr>
                  <w:tcW w:w="3397" w:type="pct"/>
                  <w:vAlign w:val="center"/>
                </w:tcPr>
                <w:p w14:paraId="4D01B183">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地上建筑面积72</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，地下</w:t>
                  </w:r>
                  <w:r>
                    <w:rPr>
                      <w:rFonts w:hint="eastAsia"/>
                      <w:color w:val="000000" w:themeColor="text1"/>
                      <w:szCs w:val="21"/>
                      <w14:textFill>
                        <w14:solidFill>
                          <w14:schemeClr w14:val="tx1"/>
                        </w14:solidFill>
                      </w14:textFill>
                    </w:rPr>
                    <w:t>建筑面积594.52</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p>
              </w:tc>
              <w:tc>
                <w:tcPr>
                  <w:tcW w:w="327" w:type="pct"/>
                  <w:vAlign w:val="center"/>
                </w:tcPr>
                <w:p w14:paraId="5503C9B4">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03DD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restart"/>
                  <w:vAlign w:val="center"/>
                </w:tcPr>
                <w:p w14:paraId="07A3E406">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公用</w:t>
                  </w:r>
                </w:p>
                <w:p w14:paraId="356F6976">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936" w:type="pct"/>
                  <w:gridSpan w:val="2"/>
                  <w:vAlign w:val="center"/>
                </w:tcPr>
                <w:p w14:paraId="0E2D9EF3">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供电</w:t>
                  </w:r>
                </w:p>
              </w:tc>
              <w:tc>
                <w:tcPr>
                  <w:tcW w:w="3397" w:type="pct"/>
                  <w:vAlign w:val="center"/>
                </w:tcPr>
                <w:p w14:paraId="073783E8">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引自札萨克镇供电网。</w:t>
                  </w:r>
                </w:p>
              </w:tc>
              <w:tc>
                <w:tcPr>
                  <w:tcW w:w="327" w:type="pct"/>
                  <w:vAlign w:val="center"/>
                </w:tcPr>
                <w:p w14:paraId="6B3C5030">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依拖</w:t>
                  </w:r>
                </w:p>
              </w:tc>
            </w:tr>
            <w:tr w14:paraId="28B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588E14F2">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5DC67A41">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供水</w:t>
                  </w:r>
                </w:p>
              </w:tc>
              <w:tc>
                <w:tcPr>
                  <w:tcW w:w="3397" w:type="pct"/>
                  <w:vAlign w:val="center"/>
                </w:tcPr>
                <w:p w14:paraId="224CF07F">
                  <w:pPr>
                    <w:adjustRightInd w:val="0"/>
                    <w:snapToGrid w:val="0"/>
                    <w:spacing w:line="320" w:lineRule="exact"/>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项目生产用水依托现有，为鄂尔多斯市圣圆水务集团有限责任公司提供的经处理达标后的矿井疏干水；生活用水依托现有，取用地下水，并已取得伊金霍洛旗农牧和水利局核发的取水证，年取水量0.17万</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3</w:t>
                  </w:r>
                  <w:r>
                    <w:rPr>
                      <w:rFonts w:hint="eastAsia"/>
                      <w:color w:val="000000" w:themeColor="text1"/>
                      <w:spacing w:val="-6"/>
                      <w:szCs w:val="21"/>
                      <w14:textFill>
                        <w14:solidFill>
                          <w14:schemeClr w14:val="tx1"/>
                        </w14:solidFill>
                      </w14:textFill>
                    </w:rPr>
                    <w:t>。</w:t>
                  </w:r>
                </w:p>
              </w:tc>
              <w:tc>
                <w:tcPr>
                  <w:tcW w:w="327" w:type="pct"/>
                  <w:vAlign w:val="center"/>
                </w:tcPr>
                <w:p w14:paraId="7BF95EA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5BD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4A9E8708">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3EAF205D">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w:t>
                  </w:r>
                  <w:r>
                    <w:rPr>
                      <w:rFonts w:hint="eastAsia"/>
                      <w:color w:val="000000" w:themeColor="text1"/>
                      <w:szCs w:val="21"/>
                      <w14:textFill>
                        <w14:solidFill>
                          <w14:schemeClr w14:val="tx1"/>
                        </w14:solidFill>
                      </w14:textFill>
                    </w:rPr>
                    <w:t>暖</w:t>
                  </w:r>
                </w:p>
              </w:tc>
              <w:tc>
                <w:tcPr>
                  <w:tcW w:w="3397" w:type="pct"/>
                  <w:vAlign w:val="center"/>
                </w:tcPr>
                <w:p w14:paraId="5F795D2F">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项目冬季生产厂房不采暖，办公宿舍区依托现有供暖设施。</w:t>
                  </w:r>
                </w:p>
              </w:tc>
              <w:tc>
                <w:tcPr>
                  <w:tcW w:w="327" w:type="pct"/>
                  <w:vAlign w:val="center"/>
                </w:tcPr>
                <w:p w14:paraId="4DF8C644">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589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79754A10">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23A74312">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初期雨水收集池</w:t>
                  </w:r>
                </w:p>
              </w:tc>
              <w:tc>
                <w:tcPr>
                  <w:tcW w:w="3397" w:type="pct"/>
                  <w:vAlign w:val="center"/>
                </w:tcPr>
                <w:p w14:paraId="62C4DBBC">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依托厂区现有1个50m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初期雨水池（混凝土结构），对初期雨水进行收集，经沉淀后，用于厂区洒水抑尘。</w:t>
                  </w:r>
                </w:p>
              </w:tc>
              <w:tc>
                <w:tcPr>
                  <w:tcW w:w="327" w:type="pct"/>
                  <w:vAlign w:val="center"/>
                </w:tcPr>
                <w:p w14:paraId="352E9F1A">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53C3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340" w:type="pct"/>
                  <w:vMerge w:val="restart"/>
                  <w:vAlign w:val="center"/>
                </w:tcPr>
                <w:p w14:paraId="3A347FD0">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环保</w:t>
                  </w:r>
                </w:p>
                <w:p w14:paraId="0B182841">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340" w:type="pct"/>
                  <w:vAlign w:val="center"/>
                </w:tcPr>
                <w:p w14:paraId="38CD0959">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废气</w:t>
                  </w:r>
                </w:p>
              </w:tc>
              <w:tc>
                <w:tcPr>
                  <w:tcW w:w="596" w:type="pct"/>
                  <w:vAlign w:val="center"/>
                </w:tcPr>
                <w:p w14:paraId="2CEC7CF7">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w:t>
                  </w:r>
                </w:p>
              </w:tc>
              <w:tc>
                <w:tcPr>
                  <w:tcW w:w="3397" w:type="pct"/>
                  <w:vAlign w:val="center"/>
                </w:tcPr>
                <w:p w14:paraId="0782DD36">
                  <w:pPr>
                    <w:adjustRightInd w:val="0"/>
                    <w:snapToGrid w:val="0"/>
                    <w:spacing w:line="32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煤炭储存及装载粉尘：煤棚全封闭，各个煤棚顶部设施喷淋抑尘系统；安装视频监控设施，并与环保部门平台联网。</w:t>
                  </w:r>
                </w:p>
                <w:p w14:paraId="6C9A7A8B">
                  <w:pPr>
                    <w:adjustRightInd w:val="0"/>
                    <w:snapToGrid w:val="0"/>
                    <w:spacing w:line="32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厂区运输扬尘： 场内道路绿化，封闭运输，配备洒水车，定期洒水，厂区地面及进出厂区道路硬化。</w:t>
                  </w:r>
                </w:p>
              </w:tc>
              <w:tc>
                <w:tcPr>
                  <w:tcW w:w="327" w:type="pct"/>
                  <w:vAlign w:val="center"/>
                </w:tcPr>
                <w:p w14:paraId="7D5C29FE">
                  <w:pPr>
                    <w:adjustRightInd w:val="0"/>
                    <w:snapToGrid w:val="0"/>
                    <w:spacing w:line="320" w:lineRule="exact"/>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w:t>
                  </w:r>
                </w:p>
              </w:tc>
            </w:tr>
            <w:tr w14:paraId="7EDB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0" w:type="pct"/>
                  <w:vMerge w:val="continue"/>
                  <w:vAlign w:val="center"/>
                </w:tcPr>
                <w:p w14:paraId="1E6B298E">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1025E7C8">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废水</w:t>
                  </w:r>
                </w:p>
              </w:tc>
              <w:tc>
                <w:tcPr>
                  <w:tcW w:w="3397" w:type="pct"/>
                  <w:vAlign w:val="center"/>
                </w:tcPr>
                <w:p w14:paraId="1939AA2B">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项目抑尘用水全部蒸发损耗；不新增劳动定员，无新增生活废水。</w:t>
                  </w:r>
                </w:p>
              </w:tc>
              <w:tc>
                <w:tcPr>
                  <w:tcW w:w="327" w:type="pct"/>
                  <w:vAlign w:val="center"/>
                </w:tcPr>
                <w:p w14:paraId="5441E42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p>
              </w:tc>
            </w:tr>
            <w:tr w14:paraId="3473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411D52C4">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1CFD0F55">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3397" w:type="pct"/>
                </w:tcPr>
                <w:p w14:paraId="3341F976">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合理规划项目场地道路交通， 加强管理，采用低噪声、低能耗设备。</w:t>
                  </w:r>
                </w:p>
              </w:tc>
              <w:tc>
                <w:tcPr>
                  <w:tcW w:w="327" w:type="pct"/>
                  <w:vAlign w:val="center"/>
                </w:tcPr>
                <w:p w14:paraId="050BE595">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p>
              </w:tc>
            </w:tr>
            <w:tr w14:paraId="32BA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5073032">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3FD0B6D8">
                  <w:pPr>
                    <w:adjustRightInd w:val="0"/>
                    <w:snapToGrid w:val="0"/>
                    <w:spacing w:line="320" w:lineRule="exact"/>
                    <w:jc w:val="center"/>
                    <w:rPr>
                      <w:bCs/>
                      <w:color w:val="000000" w:themeColor="text1"/>
                      <w:szCs w:val="21"/>
                      <w14:textFill>
                        <w14:solidFill>
                          <w14:schemeClr w14:val="tx1"/>
                        </w14:solidFill>
                      </w14:textFill>
                    </w:rPr>
                  </w:pPr>
                  <w:r>
                    <w:rPr>
                      <w:color w:val="000000" w:themeColor="text1"/>
                      <w:szCs w:val="21"/>
                      <w14:textFill>
                        <w14:solidFill>
                          <w14:schemeClr w14:val="tx1"/>
                        </w14:solidFill>
                      </w14:textFill>
                    </w:rPr>
                    <w:t>固废</w:t>
                  </w:r>
                </w:p>
              </w:tc>
              <w:tc>
                <w:tcPr>
                  <w:tcW w:w="3397" w:type="pct"/>
                  <w:vAlign w:val="center"/>
                </w:tcPr>
                <w:p w14:paraId="23488B4C">
                  <w:pPr>
                    <w:adjustRightInd w:val="0"/>
                    <w:snapToGrid w:val="0"/>
                    <w:spacing w:line="320" w:lineRule="exact"/>
                    <w:rPr>
                      <w:color w:val="000000" w:themeColor="text1"/>
                      <w:spacing w:val="-4"/>
                      <w14:textFill>
                        <w14:solidFill>
                          <w14:schemeClr w14:val="tx1"/>
                        </w14:solidFill>
                      </w14:textFill>
                    </w:rPr>
                  </w:pPr>
                  <w:bookmarkStart w:id="5" w:name="OLE_LINK2"/>
                  <w:r>
                    <w:rPr>
                      <w:rFonts w:hint="eastAsia"/>
                      <w:color w:val="000000" w:themeColor="text1"/>
                      <w:spacing w:val="-4"/>
                      <w14:textFill>
                        <w14:solidFill>
                          <w14:schemeClr w14:val="tx1"/>
                        </w14:solidFill>
                      </w14:textFill>
                    </w:rPr>
                    <w:t>本项目为煤棚扩建项目，不涉及生产设备，因此运营期无新增危废及一般固废产生。</w:t>
                  </w:r>
                  <w:bookmarkEnd w:id="5"/>
                </w:p>
                <w:p w14:paraId="23112D30">
                  <w:pPr>
                    <w:adjustRightInd w:val="0"/>
                    <w:snapToGrid w:val="0"/>
                    <w:spacing w:line="320" w:lineRule="exact"/>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生活垃圾：本次不新增劳动定员，无新增生活垃圾。</w:t>
                  </w:r>
                </w:p>
              </w:tc>
              <w:tc>
                <w:tcPr>
                  <w:tcW w:w="327" w:type="pct"/>
                  <w:vAlign w:val="center"/>
                </w:tcPr>
                <w:p w14:paraId="64FF5703">
                  <w:pPr>
                    <w:adjustRightInd w:val="0"/>
                    <w:snapToGrid w:val="0"/>
                    <w:spacing w:line="320" w:lineRule="exact"/>
                    <w:jc w:val="center"/>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w:t>
                  </w:r>
                  <w:r>
                    <w:rPr>
                      <w:color w:val="000000" w:themeColor="text1"/>
                      <w:spacing w:val="-4"/>
                      <w14:textFill>
                        <w14:solidFill>
                          <w14:schemeClr w14:val="tx1"/>
                        </w14:solidFill>
                      </w14:textFill>
                    </w:rPr>
                    <w:t>-</w:t>
                  </w:r>
                </w:p>
              </w:tc>
            </w:tr>
          </w:tbl>
          <w:p w14:paraId="24AC7CF9">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9、平面布置</w:t>
            </w:r>
          </w:p>
          <w:p w14:paraId="1558D55A">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厂区在东北角设置一个出入口，办公区位于厂区出入口南侧、紧邻厂区煤棚，磅房位于办公区西北，其余均为厂区道路及煤棚。项目厂区布局较为合理。</w:t>
            </w:r>
          </w:p>
          <w:p w14:paraId="0BFDAC4C">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10、原辅材料及能源消耗</w:t>
            </w:r>
          </w:p>
          <w:p w14:paraId="1DC7A7D8">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w:t>
            </w:r>
            <w:r>
              <w:rPr>
                <w:color w:val="000000" w:themeColor="text1"/>
                <w:sz w:val="24"/>
                <w:szCs w:val="22"/>
                <w14:textFill>
                  <w14:solidFill>
                    <w14:schemeClr w14:val="tx1"/>
                  </w14:solidFill>
                </w14:textFill>
              </w:rPr>
              <w:t>项目</w:t>
            </w:r>
            <w:bookmarkStart w:id="6" w:name="_Ref365271514"/>
            <w:r>
              <w:rPr>
                <w:color w:val="000000" w:themeColor="text1"/>
                <w:sz w:val="24"/>
                <w:szCs w:val="22"/>
                <w14:textFill>
                  <w14:solidFill>
                    <w14:schemeClr w14:val="tx1"/>
                  </w14:solidFill>
                </w14:textFill>
              </w:rPr>
              <w:t>能源消耗情况见表2-</w:t>
            </w:r>
            <w:r>
              <w:rPr>
                <w:rFonts w:hint="eastAsia"/>
                <w:color w:val="000000" w:themeColor="text1"/>
                <w:sz w:val="24"/>
                <w:szCs w:val="22"/>
                <w14:textFill>
                  <w14:solidFill>
                    <w14:schemeClr w14:val="tx1"/>
                  </w14:solidFill>
                </w14:textFill>
              </w:rPr>
              <w:t>3。</w:t>
            </w:r>
          </w:p>
          <w:bookmarkEnd w:id="6"/>
          <w:p w14:paraId="0F7EC0D8">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r>
              <w:rPr>
                <w:b/>
                <w:color w:val="000000" w:themeColor="text1"/>
                <w:sz w:val="24"/>
                <w:szCs w:val="20"/>
                <w:lang w:bidi="ar"/>
                <w14:textFill>
                  <w14:solidFill>
                    <w14:schemeClr w14:val="tx1"/>
                  </w14:solidFill>
                </w14:textFill>
              </w:rPr>
              <w:t>表</w:t>
            </w:r>
            <w:r>
              <w:rPr>
                <w:rFonts w:hint="eastAsia"/>
                <w:b/>
                <w:color w:val="000000" w:themeColor="text1"/>
                <w:sz w:val="24"/>
                <w:szCs w:val="20"/>
                <w:lang w:bidi="ar"/>
                <w14:textFill>
                  <w14:solidFill>
                    <w14:schemeClr w14:val="tx1"/>
                  </w14:solidFill>
                </w14:textFill>
              </w:rPr>
              <w:t>2-3</w:t>
            </w:r>
            <w:r>
              <w:rPr>
                <w:b/>
                <w:color w:val="000000" w:themeColor="text1"/>
                <w:sz w:val="24"/>
                <w:szCs w:val="20"/>
                <w:lang w:bidi="ar"/>
                <w14:textFill>
                  <w14:solidFill>
                    <w14:schemeClr w14:val="tx1"/>
                  </w14:solidFill>
                </w14:textFill>
              </w:rPr>
              <w:t xml:space="preserve">  </w:t>
            </w:r>
            <w:r>
              <w:rPr>
                <w:rFonts w:hint="eastAsia"/>
                <w:b/>
                <w:color w:val="000000" w:themeColor="text1"/>
                <w:sz w:val="24"/>
                <w:szCs w:val="20"/>
                <w:lang w:bidi="ar"/>
                <w14:textFill>
                  <w14:solidFill>
                    <w14:schemeClr w14:val="tx1"/>
                  </w14:solidFill>
                </w14:textFill>
              </w:rPr>
              <w:t xml:space="preserve">    </w:t>
            </w:r>
            <w:r>
              <w:rPr>
                <w:b/>
                <w:color w:val="000000" w:themeColor="text1"/>
                <w:sz w:val="24"/>
                <w:szCs w:val="20"/>
                <w:lang w:bidi="ar"/>
                <w14:textFill>
                  <w14:solidFill>
                    <w14:schemeClr w14:val="tx1"/>
                  </w14:solidFill>
                </w14:textFill>
              </w:rPr>
              <w:t>项目能源消耗一览表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1"/>
              <w:gridCol w:w="1755"/>
              <w:gridCol w:w="1296"/>
              <w:gridCol w:w="1583"/>
              <w:gridCol w:w="3136"/>
            </w:tblGrid>
            <w:tr w14:paraId="5BB4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809" w:type="dxa"/>
                  <w:vMerge w:val="restart"/>
                  <w:tcBorders>
                    <w:top w:val="single" w:color="auto" w:sz="4" w:space="0"/>
                    <w:left w:val="single" w:color="auto" w:sz="4" w:space="0"/>
                    <w:right w:val="single" w:color="auto" w:sz="4" w:space="0"/>
                  </w:tcBorders>
                  <w:tcMar>
                    <w:left w:w="0" w:type="dxa"/>
                    <w:right w:w="0" w:type="dxa"/>
                  </w:tcMar>
                  <w:vAlign w:val="center"/>
                </w:tcPr>
                <w:p w14:paraId="0CB8DADD">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能源</w:t>
                  </w:r>
                </w:p>
                <w:p w14:paraId="2AB11333">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种类</w:t>
                  </w:r>
                </w:p>
              </w:tc>
              <w:tc>
                <w:tcPr>
                  <w:tcW w:w="4563"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63A46DE">
                  <w:pPr>
                    <w:spacing w:line="34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年用</w:t>
                  </w:r>
                  <w:r>
                    <w:rPr>
                      <w:rFonts w:hint="eastAsia"/>
                      <w:color w:val="000000" w:themeColor="text1"/>
                      <w:szCs w:val="21"/>
                      <w14:textFill>
                        <w14:solidFill>
                          <w14:schemeClr w14:val="tx1"/>
                        </w14:solidFill>
                      </w14:textFill>
                    </w:rPr>
                    <w:t>量</w:t>
                  </w:r>
                </w:p>
              </w:tc>
              <w:tc>
                <w:tcPr>
                  <w:tcW w:w="3088" w:type="dxa"/>
                  <w:vMerge w:val="restart"/>
                  <w:tcBorders>
                    <w:top w:val="single" w:color="auto" w:sz="4" w:space="0"/>
                    <w:left w:val="single" w:color="auto" w:sz="4" w:space="0"/>
                    <w:right w:val="single" w:color="auto" w:sz="4" w:space="0"/>
                  </w:tcBorders>
                  <w:tcMar>
                    <w:left w:w="0" w:type="dxa"/>
                    <w:right w:w="0" w:type="dxa"/>
                  </w:tcMar>
                  <w:vAlign w:val="center"/>
                </w:tcPr>
                <w:p w14:paraId="64BDAD74">
                  <w:pPr>
                    <w:spacing w:line="34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r>
            <w:tr w14:paraId="624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809" w:type="dxa"/>
                  <w:vMerge w:val="continue"/>
                  <w:tcBorders>
                    <w:left w:val="single" w:color="auto" w:sz="4" w:space="0"/>
                    <w:bottom w:val="single" w:color="auto" w:sz="4" w:space="0"/>
                    <w:right w:val="single" w:color="auto" w:sz="4" w:space="0"/>
                  </w:tcBorders>
                  <w:tcMar>
                    <w:left w:w="0" w:type="dxa"/>
                    <w:right w:w="0" w:type="dxa"/>
                  </w:tcMar>
                  <w:vAlign w:val="center"/>
                </w:tcPr>
                <w:p w14:paraId="2AA923E9">
                  <w:pPr>
                    <w:spacing w:line="340" w:lineRule="exact"/>
                    <w:jc w:val="center"/>
                    <w:rPr>
                      <w:color w:val="000000" w:themeColor="text1"/>
                      <w:szCs w:val="21"/>
                      <w14:textFill>
                        <w14:solidFill>
                          <w14:schemeClr w14:val="tx1"/>
                        </w14:solidFill>
                      </w14:textFill>
                    </w:rPr>
                  </w:pPr>
                </w:p>
              </w:tc>
              <w:tc>
                <w:tcPr>
                  <w:tcW w:w="1728"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5D37B42">
                  <w:pPr>
                    <w:spacing w:line="340" w:lineRule="exact"/>
                    <w:jc w:val="center"/>
                    <w:rPr>
                      <w:color w:val="000000" w:themeColor="text1"/>
                      <w:szCs w:val="21"/>
                      <w14:textFill>
                        <w14:solidFill>
                          <w14:schemeClr w14:val="tx1"/>
                        </w14:solidFill>
                      </w14:textFill>
                    </w:rPr>
                  </w:pPr>
                  <w:r>
                    <w:rPr>
                      <w:rFonts w:hint="eastAsia"/>
                      <w:color w:val="000000" w:themeColor="text1"/>
                      <w:spacing w:val="-6"/>
                      <w:szCs w:val="21"/>
                      <w14:textFill>
                        <w14:solidFill>
                          <w14:schemeClr w14:val="tx1"/>
                        </w14:solidFill>
                      </w14:textFill>
                    </w:rPr>
                    <w:t>现有工</w:t>
                  </w:r>
                  <w:r>
                    <w:rPr>
                      <w:rFonts w:hint="eastAsia"/>
                      <w:color w:val="000000" w:themeColor="text1"/>
                      <w:szCs w:val="21"/>
                      <w14:textFill>
                        <w14:solidFill>
                          <w14:schemeClr w14:val="tx1"/>
                        </w14:solidFill>
                      </w14:textFill>
                    </w:rPr>
                    <w:t>程</w:t>
                  </w:r>
                </w:p>
              </w:tc>
              <w:tc>
                <w:tcPr>
                  <w:tcW w:w="127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D2C761C">
                  <w:pPr>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本项目</w:t>
                  </w:r>
                </w:p>
              </w:tc>
              <w:tc>
                <w:tcPr>
                  <w:tcW w:w="1559"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DBBCF8F">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完成后全厂</w:t>
                  </w:r>
                </w:p>
              </w:tc>
              <w:tc>
                <w:tcPr>
                  <w:tcW w:w="3088" w:type="dxa"/>
                  <w:vMerge w:val="continue"/>
                  <w:tcBorders>
                    <w:left w:val="single" w:color="auto" w:sz="4" w:space="0"/>
                    <w:bottom w:val="single" w:color="auto" w:sz="4" w:space="0"/>
                    <w:right w:val="single" w:color="auto" w:sz="4" w:space="0"/>
                  </w:tcBorders>
                  <w:tcMar>
                    <w:left w:w="0" w:type="dxa"/>
                    <w:right w:w="0" w:type="dxa"/>
                  </w:tcMar>
                  <w:vAlign w:val="center"/>
                </w:tcPr>
                <w:p w14:paraId="2916946A">
                  <w:pPr>
                    <w:spacing w:line="340" w:lineRule="exact"/>
                    <w:jc w:val="center"/>
                    <w:rPr>
                      <w:color w:val="000000" w:themeColor="text1"/>
                      <w:szCs w:val="21"/>
                      <w14:textFill>
                        <w14:solidFill>
                          <w14:schemeClr w14:val="tx1"/>
                        </w14:solidFill>
                      </w14:textFill>
                    </w:rPr>
                  </w:pPr>
                </w:p>
              </w:tc>
            </w:tr>
            <w:tr w14:paraId="29B2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8" w:hRule="exact"/>
                <w:jc w:val="center"/>
              </w:trPr>
              <w:tc>
                <w:tcPr>
                  <w:tcW w:w="809"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1EC6DF5">
                  <w:pPr>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疏干水/新鲜水</w:t>
                  </w:r>
                </w:p>
              </w:tc>
              <w:tc>
                <w:tcPr>
                  <w:tcW w:w="1728" w:type="dxa"/>
                  <w:tcMar>
                    <w:left w:w="0" w:type="dxa"/>
                    <w:right w:w="0" w:type="dxa"/>
                  </w:tcMar>
                  <w:vAlign w:val="center"/>
                </w:tcPr>
                <w:p w14:paraId="364300C8">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212.3m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1276" w:type="dxa"/>
                  <w:tcMar>
                    <w:left w:w="0" w:type="dxa"/>
                    <w:right w:w="0" w:type="dxa"/>
                  </w:tcMar>
                  <w:vAlign w:val="center"/>
                </w:tcPr>
                <w:p w14:paraId="4381DC03">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37.2m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1559" w:type="dxa"/>
                  <w:tcMar>
                    <w:left w:w="0" w:type="dxa"/>
                    <w:right w:w="0" w:type="dxa"/>
                  </w:tcMar>
                  <w:vAlign w:val="center"/>
                </w:tcPr>
                <w:p w14:paraId="67E23362">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249.5m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3088" w:type="dxa"/>
                  <w:tcMar>
                    <w:left w:w="0" w:type="dxa"/>
                    <w:right w:w="0" w:type="dxa"/>
                  </w:tcMar>
                  <w:vAlign w:val="center"/>
                </w:tcPr>
                <w:p w14:paraId="6BDA1DB3">
                  <w:pPr>
                    <w:spacing w:line="340" w:lineRule="exact"/>
                    <w:rPr>
                      <w:bCs/>
                      <w:color w:val="000000" w:themeColor="text1"/>
                      <w:spacing w:val="-8"/>
                      <w:szCs w:val="21"/>
                      <w14:textFill>
                        <w14:solidFill>
                          <w14:schemeClr w14:val="tx1"/>
                        </w14:solidFill>
                      </w14:textFill>
                    </w:rPr>
                  </w:pPr>
                  <w:r>
                    <w:rPr>
                      <w:rFonts w:hint="eastAsia"/>
                      <w:color w:val="000000" w:themeColor="text1"/>
                      <w:szCs w:val="21"/>
                      <w14:textFill>
                        <w14:solidFill>
                          <w14:schemeClr w14:val="tx1"/>
                        </w14:solidFill>
                      </w14:textFill>
                    </w:rPr>
                    <w:t>项目生产用水依托现有，为鄂尔多斯市圣圆水务集团有限责任公司提供经处理达标后的矿井疏干水；</w:t>
                  </w:r>
                  <w:r>
                    <w:rPr>
                      <w:rFonts w:hint="eastAsia"/>
                      <w:color w:val="000000" w:themeColor="text1"/>
                      <w:spacing w:val="-6"/>
                      <w:szCs w:val="21"/>
                      <w14:textFill>
                        <w14:solidFill>
                          <w14:schemeClr w14:val="tx1"/>
                        </w14:solidFill>
                      </w14:textFill>
                    </w:rPr>
                    <w:t>生活用水依托现有，取用地下水，并已取得伊金霍洛旗农牧和水利局核发的取水证，年取水量0.17万</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3</w:t>
                  </w:r>
                  <w:r>
                    <w:rPr>
                      <w:rFonts w:hint="eastAsia"/>
                      <w:color w:val="000000" w:themeColor="text1"/>
                      <w:spacing w:val="-6"/>
                      <w:szCs w:val="21"/>
                      <w14:textFill>
                        <w14:solidFill>
                          <w14:schemeClr w14:val="tx1"/>
                        </w14:solidFill>
                      </w14:textFill>
                    </w:rPr>
                    <w:t>。</w:t>
                  </w:r>
                </w:p>
              </w:tc>
            </w:tr>
            <w:tr w14:paraId="6BE9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809"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A2D1952">
                  <w:pPr>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电</w:t>
                  </w:r>
                </w:p>
              </w:tc>
              <w:tc>
                <w:tcPr>
                  <w:tcW w:w="1728" w:type="dxa"/>
                  <w:tcMar>
                    <w:left w:w="0" w:type="dxa"/>
                    <w:right w:w="0" w:type="dxa"/>
                  </w:tcMar>
                  <w:vAlign w:val="center"/>
                </w:tcPr>
                <w:p w14:paraId="6F312991">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243.48</w:t>
                  </w:r>
                  <w:r>
                    <w:rPr>
                      <w:color w:val="000000" w:themeColor="text1"/>
                      <w:szCs w:val="21"/>
                      <w14:textFill>
                        <w14:solidFill>
                          <w14:schemeClr w14:val="tx1"/>
                        </w14:solidFill>
                      </w14:textFill>
                    </w:rPr>
                    <w:t>万kW·h/a</w:t>
                  </w:r>
                </w:p>
              </w:tc>
              <w:tc>
                <w:tcPr>
                  <w:tcW w:w="1276" w:type="dxa"/>
                  <w:tcMar>
                    <w:left w:w="0" w:type="dxa"/>
                    <w:right w:w="0" w:type="dxa"/>
                  </w:tcMar>
                  <w:vAlign w:val="center"/>
                </w:tcPr>
                <w:p w14:paraId="4C148427">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万kW·h/a</w:t>
                  </w:r>
                </w:p>
              </w:tc>
              <w:tc>
                <w:tcPr>
                  <w:tcW w:w="1559" w:type="dxa"/>
                  <w:tcMar>
                    <w:left w:w="0" w:type="dxa"/>
                    <w:right w:w="0" w:type="dxa"/>
                  </w:tcMar>
                  <w:vAlign w:val="center"/>
                </w:tcPr>
                <w:p w14:paraId="4A1EBC56">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245.48</w:t>
                  </w:r>
                  <w:r>
                    <w:rPr>
                      <w:color w:val="000000" w:themeColor="text1"/>
                      <w:szCs w:val="21"/>
                      <w14:textFill>
                        <w14:solidFill>
                          <w14:schemeClr w14:val="tx1"/>
                        </w14:solidFill>
                      </w14:textFill>
                    </w:rPr>
                    <w:t>万kW·h/a</w:t>
                  </w:r>
                </w:p>
              </w:tc>
              <w:tc>
                <w:tcPr>
                  <w:tcW w:w="3088" w:type="dxa"/>
                  <w:tcMar>
                    <w:left w:w="0" w:type="dxa"/>
                    <w:right w:w="0" w:type="dxa"/>
                  </w:tcMar>
                  <w:vAlign w:val="center"/>
                </w:tcPr>
                <w:p w14:paraId="182C05DD">
                  <w:pPr>
                    <w:spacing w:line="340" w:lineRule="exact"/>
                    <w:jc w:val="center"/>
                    <w:rPr>
                      <w:bCs/>
                      <w:color w:val="000000" w:themeColor="text1"/>
                      <w:spacing w:val="-8"/>
                      <w:szCs w:val="21"/>
                      <w14:textFill>
                        <w14:solidFill>
                          <w14:schemeClr w14:val="tx1"/>
                        </w14:solidFill>
                      </w14:textFill>
                    </w:rPr>
                  </w:pPr>
                  <w:r>
                    <w:rPr>
                      <w:rFonts w:hint="eastAsia"/>
                      <w:color w:val="000000" w:themeColor="text1"/>
                      <w:szCs w:val="21"/>
                      <w14:textFill>
                        <w14:solidFill>
                          <w14:schemeClr w14:val="tx1"/>
                        </w14:solidFill>
                      </w14:textFill>
                    </w:rPr>
                    <w:t>引自札萨克镇供电网</w:t>
                  </w:r>
                </w:p>
              </w:tc>
            </w:tr>
          </w:tbl>
          <w:p w14:paraId="7CF3660F">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11、主要设备</w:t>
            </w:r>
          </w:p>
          <w:p w14:paraId="209F5872">
            <w:pPr>
              <w:keepNext/>
              <w:widowControl/>
              <w:spacing w:line="440" w:lineRule="exact"/>
              <w:ind w:firstLine="482"/>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本次不新增生产设备，煤棚内煤炭装载、转运主要依托现有五台装载机，厂区抑尘采用现有1台洒水车。</w:t>
            </w:r>
          </w:p>
          <w:p w14:paraId="48CEF97B">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w:t>
            </w:r>
            <w:r>
              <w:rPr>
                <w:rFonts w:hint="eastAsia"/>
                <w:b/>
                <w:bCs/>
                <w:color w:val="000000" w:themeColor="text1"/>
                <w:sz w:val="24"/>
                <w:szCs w:val="22"/>
                <w14:textFill>
                  <w14:solidFill>
                    <w14:schemeClr w14:val="tx1"/>
                  </w14:solidFill>
                </w14:textFill>
              </w:rPr>
              <w:t>2</w:t>
            </w:r>
            <w:r>
              <w:rPr>
                <w:b/>
                <w:bCs/>
                <w:color w:val="000000" w:themeColor="text1"/>
                <w:sz w:val="24"/>
                <w:szCs w:val="22"/>
                <w14:textFill>
                  <w14:solidFill>
                    <w14:schemeClr w14:val="tx1"/>
                  </w14:solidFill>
                </w14:textFill>
              </w:rPr>
              <w:t>、公用工程</w:t>
            </w:r>
          </w:p>
          <w:p w14:paraId="4745B056">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（1）给水</w:t>
            </w:r>
          </w:p>
          <w:p w14:paraId="578AA61D">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①</w:t>
            </w:r>
            <w:r>
              <w:rPr>
                <w:color w:val="000000" w:themeColor="text1"/>
                <w:sz w:val="24"/>
                <w:szCs w:val="22"/>
                <w14:textFill>
                  <w14:solidFill>
                    <w14:schemeClr w14:val="tx1"/>
                  </w14:solidFill>
                </w14:textFill>
              </w:rPr>
              <w:t>给水</w:t>
            </w:r>
          </w:p>
          <w:p w14:paraId="7D137C53">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bookmarkStart w:id="7" w:name="_Hlk163495136"/>
            <w:r>
              <w:rPr>
                <w:rFonts w:hint="eastAsia"/>
                <w:bCs/>
                <w:color w:val="000000" w:themeColor="text1"/>
                <w:sz w:val="24"/>
                <w:szCs w:val="22"/>
                <w:lang w:val="en-GB"/>
                <w14:textFill>
                  <w14:solidFill>
                    <w14:schemeClr w14:val="tx1"/>
                  </w14:solidFill>
                </w14:textFill>
              </w:rPr>
              <w:t>项目生产用水依托现有，为鄂尔多斯市圣圆水务集团有限责任公司提供经处理达标后的矿井疏干水；生活用水依托现有，</w:t>
            </w:r>
            <w:r>
              <w:rPr>
                <w:rFonts w:hint="eastAsia"/>
                <w:color w:val="000000" w:themeColor="text1"/>
                <w:spacing w:val="-6"/>
                <w:sz w:val="24"/>
                <w14:textFill>
                  <w14:solidFill>
                    <w14:schemeClr w14:val="tx1"/>
                  </w14:solidFill>
                </w14:textFill>
              </w:rPr>
              <w:t>取用地下水，并已取得伊金霍洛旗农牧和水利局核发的取水证，年取水量0.17万</w:t>
            </w:r>
            <w:r>
              <w:rPr>
                <w:rFonts w:hint="eastAsia"/>
                <w:iCs/>
                <w:color w:val="000000" w:themeColor="text1"/>
                <w:sz w:val="24"/>
                <w:szCs w:val="32"/>
                <w:lang w:bidi="ar"/>
                <w14:textFill>
                  <w14:solidFill>
                    <w14:schemeClr w14:val="tx1"/>
                  </w14:solidFill>
                </w14:textFill>
              </w:rPr>
              <w:t>m</w:t>
            </w:r>
            <w:r>
              <w:rPr>
                <w:rFonts w:hint="eastAsia"/>
                <w:iCs/>
                <w:color w:val="000000" w:themeColor="text1"/>
                <w:sz w:val="24"/>
                <w:szCs w:val="32"/>
                <w:vertAlign w:val="superscript"/>
                <w:lang w:bidi="ar"/>
                <w14:textFill>
                  <w14:solidFill>
                    <w14:schemeClr w14:val="tx1"/>
                  </w14:solidFill>
                </w14:textFill>
              </w:rPr>
              <w:t>3</w:t>
            </w:r>
            <w:r>
              <w:rPr>
                <w:rFonts w:hint="eastAsia"/>
                <w:color w:val="000000" w:themeColor="text1"/>
                <w:spacing w:val="-6"/>
                <w:sz w:val="24"/>
                <w14:textFill>
                  <w14:solidFill>
                    <w14:schemeClr w14:val="tx1"/>
                  </w14:solidFill>
                </w14:textFill>
              </w:rPr>
              <w:t>。</w:t>
            </w:r>
          </w:p>
          <w:p w14:paraId="031310AC">
            <w:pPr>
              <w:adjustRightInd w:val="0"/>
              <w:snapToGrid w:val="0"/>
              <w:spacing w:line="440" w:lineRule="exact"/>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本项目用水主要为本次未批先建煤棚内洒水抑尘用水，煤棚总面积为18620.01m</w:t>
            </w:r>
            <w:r>
              <w:rPr>
                <w:rFonts w:hint="eastAsia"/>
                <w:bCs/>
                <w:color w:val="000000" w:themeColor="text1"/>
                <w:sz w:val="24"/>
                <w:szCs w:val="22"/>
                <w:vertAlign w:val="superscript"/>
                <w14:textFill>
                  <w14:solidFill>
                    <w14:schemeClr w14:val="tx1"/>
                  </w14:solidFill>
                </w14:textFill>
              </w:rPr>
              <w:t>2</w:t>
            </w:r>
            <w:r>
              <w:rPr>
                <w:rFonts w:hint="eastAsia"/>
                <w:bCs/>
                <w:color w:val="000000" w:themeColor="text1"/>
                <w:sz w:val="24"/>
                <w:szCs w:val="22"/>
                <w14:textFill>
                  <w14:solidFill>
                    <w14:schemeClr w14:val="tx1"/>
                  </w14:solidFill>
                </w14:textFill>
              </w:rPr>
              <w:t>，用水量按 1.0L/m</w:t>
            </w:r>
            <w:r>
              <w:rPr>
                <w:rFonts w:hint="eastAsia"/>
                <w:bCs/>
                <w:color w:val="000000" w:themeColor="text1"/>
                <w:sz w:val="24"/>
                <w:szCs w:val="22"/>
                <w:vertAlign w:val="superscript"/>
                <w14:textFill>
                  <w14:solidFill>
                    <w14:schemeClr w14:val="tx1"/>
                  </w14:solidFill>
                </w14:textFill>
              </w:rPr>
              <w:t>2</w:t>
            </w:r>
            <w:r>
              <w:rPr>
                <w:rFonts w:hint="eastAsia"/>
                <w:bCs/>
                <w:color w:val="000000" w:themeColor="text1"/>
                <w:sz w:val="24"/>
                <w:szCs w:val="22"/>
                <w14:textFill>
                  <w14:solidFill>
                    <w14:schemeClr w14:val="tx1"/>
                  </w14:solidFill>
                </w14:textFill>
              </w:rPr>
              <w:t>·次核算，每天2次，每年330d，抑尘用水全部蒸发损耗，用水量为37.2m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/d(12289m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/a)。</w:t>
            </w:r>
            <w:bookmarkEnd w:id="7"/>
          </w:p>
          <w:p w14:paraId="20E0D29A">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r>
              <w:rPr>
                <w:rFonts w:hint="eastAsia"/>
                <w:bCs/>
                <w:color w:val="000000" w:themeColor="text1"/>
                <w:sz w:val="24"/>
                <w:lang w:val="en-GB"/>
                <w14:textFill>
                  <w14:solidFill>
                    <w14:schemeClr w14:val="tx1"/>
                  </w14:solidFill>
                </w14:textFill>
              </w:rPr>
              <w:t>本次扩建不新增劳动定员，无新增生活用水量。</w:t>
            </w:r>
          </w:p>
          <w:p w14:paraId="6BFC2F04">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r>
              <w:rPr>
                <w:rFonts w:hint="eastAsia" w:ascii="宋体" w:hAnsi="宋体" w:cs="宋体"/>
                <w:bCs/>
                <w:color w:val="000000" w:themeColor="text1"/>
                <w:sz w:val="24"/>
                <w:szCs w:val="22"/>
                <w:lang w:val="en-GB"/>
                <w14:textFill>
                  <w14:solidFill>
                    <w14:schemeClr w14:val="tx1"/>
                  </w14:solidFill>
                </w14:textFill>
              </w:rPr>
              <w:t>②</w:t>
            </w:r>
            <w:r>
              <w:rPr>
                <w:bCs/>
                <w:color w:val="000000" w:themeColor="text1"/>
                <w:sz w:val="24"/>
                <w:szCs w:val="22"/>
                <w:lang w:val="en-GB"/>
                <w14:textFill>
                  <w14:solidFill>
                    <w14:schemeClr w14:val="tx1"/>
                  </w14:solidFill>
                </w14:textFill>
              </w:rPr>
              <w:t>排水</w:t>
            </w:r>
          </w:p>
          <w:p w14:paraId="44A49AD3">
            <w:pPr>
              <w:spacing w:line="440" w:lineRule="exact"/>
              <w:ind w:firstLine="480" w:firstLineChars="200"/>
              <w:rPr>
                <w:color w:val="000000" w:themeColor="text1"/>
                <w:sz w:val="24"/>
                <w:szCs w:val="22"/>
                <w14:textFill>
                  <w14:solidFill>
                    <w14:schemeClr w14:val="tx1"/>
                  </w14:solidFill>
                </w14:textFill>
              </w:rPr>
            </w:pPr>
            <w:bookmarkStart w:id="8" w:name="_Hlk163495164"/>
            <w:r>
              <w:rPr>
                <w:rFonts w:hint="eastAsia"/>
                <w:color w:val="000000" w:themeColor="text1"/>
                <w:sz w:val="24"/>
                <w14:textFill>
                  <w14:solidFill>
                    <w14:schemeClr w14:val="tx1"/>
                  </w14:solidFill>
                </w14:textFill>
              </w:rPr>
              <w:t>项目无废水外排；</w:t>
            </w:r>
            <w:r>
              <w:rPr>
                <w:rFonts w:hint="eastAsia"/>
                <w:color w:val="000000" w:themeColor="text1"/>
                <w:sz w:val="24"/>
                <w:szCs w:val="22"/>
                <w14:textFill>
                  <w14:solidFill>
                    <w14:schemeClr w14:val="tx1"/>
                  </w14:solidFill>
                </w14:textFill>
              </w:rPr>
              <w:t>不新增劳动定员，无新增生活废水。</w:t>
            </w:r>
            <w:bookmarkEnd w:id="8"/>
          </w:p>
          <w:p w14:paraId="79D4598E">
            <w:pPr>
              <w:spacing w:line="440" w:lineRule="exact"/>
              <w:ind w:firstLine="482" w:firstLineChars="200"/>
              <w:rPr>
                <w:bCs/>
                <w:color w:val="000000" w:themeColor="text1"/>
                <w:sz w:val="24"/>
                <w14:textFill>
                  <w14:solidFill>
                    <w14:schemeClr w14:val="tx1"/>
                  </w14:solidFill>
                </w14:textFill>
              </w:rPr>
            </w:pPr>
            <w:r>
              <w:rPr>
                <w:b/>
                <w:color w:val="000000" w:themeColor="text1"/>
                <w:sz w:val="24"/>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502285</wp:posOffset>
                      </wp:positionH>
                      <wp:positionV relativeFrom="paragraph">
                        <wp:posOffset>59690</wp:posOffset>
                      </wp:positionV>
                      <wp:extent cx="962025" cy="302260"/>
                      <wp:effectExtent l="0" t="0" r="0" b="2540"/>
                      <wp:wrapNone/>
                      <wp:docPr id="1619740220" name="文本框 1619740220"/>
                      <wp:cNvGraphicFramePr/>
                      <a:graphic xmlns:a="http://schemas.openxmlformats.org/drawingml/2006/main">
                        <a:graphicData uri="http://schemas.microsoft.com/office/word/2010/wordprocessingShape">
                          <wps:wsp>
                            <wps:cNvSpPr txBox="1"/>
                            <wps:spPr>
                              <a:xfrm>
                                <a:off x="0" y="0"/>
                                <a:ext cx="962025" cy="302260"/>
                              </a:xfrm>
                              <a:prstGeom prst="rect">
                                <a:avLst/>
                              </a:prstGeom>
                              <a:noFill/>
                              <a:ln>
                                <a:noFill/>
                              </a:ln>
                            </wps:spPr>
                            <wps:txbx>
                              <w:txbxContent>
                                <w:p w14:paraId="1259D02D">
                                  <w:r>
                                    <w:rPr>
                                      <w:rFonts w:hint="eastAsia"/>
                                    </w:rPr>
                                    <w:t>疏干水37.2</w:t>
                                  </w:r>
                                </w:p>
                              </w:txbxContent>
                            </wps:txbx>
                            <wps:bodyPr wrap="square" upright="1"/>
                          </wps:wsp>
                        </a:graphicData>
                      </a:graphic>
                    </wp:anchor>
                  </w:drawing>
                </mc:Choice>
                <mc:Fallback>
                  <w:pict>
                    <v:shape id="_x0000_s1026" o:spid="_x0000_s1026" o:spt="202" type="#_x0000_t202" style="position:absolute;left:0pt;margin-left:39.55pt;margin-top:4.7pt;height:23.8pt;width:75.75pt;z-index:251665408;mso-width-relative:page;mso-height-relative:page;" filled="f" stroked="f" coordsize="21600,21600" o:gfxdata="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KzxL41QAAAAcBAAAPAAAAAAAAAAEAIAAAACIAAABkcnMvZG93bnJldi54bWxQSwEC&#10;FAAUAAAACACHTuJATdcWRr4BAABtAwAADgAAAAAAAAABACAAAAAkAQAAZHJzL2Uyb0RvYy54bWxQ&#10;SwUGAAAAAAYABgBZAQAAVAUAAAAA&#10;">
                      <v:fill on="f" focussize="0,0"/>
                      <v:stroke on="f"/>
                      <v:imagedata o:title=""/>
                      <o:lock v:ext="edit" aspectratio="f"/>
                      <v:textbox>
                        <w:txbxContent>
                          <w:p w14:paraId="1259D02D">
                            <w:r>
                              <w:rPr>
                                <w:rFonts w:hint="eastAsia"/>
                              </w:rPr>
                              <w:t>疏干水37.2</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64384;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1A9402E0">
            <w:pPr>
              <w:tabs>
                <w:tab w:val="left" w:pos="3052"/>
              </w:tabs>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2214245</wp:posOffset>
                      </wp:positionH>
                      <wp:positionV relativeFrom="paragraph">
                        <wp:posOffset>167640</wp:posOffset>
                      </wp:positionV>
                      <wp:extent cx="1313180" cy="302260"/>
                      <wp:effectExtent l="0" t="0" r="20320" b="21590"/>
                      <wp:wrapNone/>
                      <wp:docPr id="1132375026" name="文本框 1132375026"/>
                      <wp:cNvGraphicFramePr/>
                      <a:graphic xmlns:a="http://schemas.openxmlformats.org/drawingml/2006/main">
                        <a:graphicData uri="http://schemas.microsoft.com/office/word/2010/wordprocessingShape">
                          <wps:wsp>
                            <wps:cNvSpPr txBox="1"/>
                            <wps:spPr>
                              <a:xfrm>
                                <a:off x="0" y="0"/>
                                <a:ext cx="1313180"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10FBCC">
                                  <w:r>
                                    <w:rPr>
                                      <w:rFonts w:hint="eastAsia"/>
                                    </w:rPr>
                                    <w:t>储棚抑尘（-37.2）</w:t>
                                  </w:r>
                                </w:p>
                              </w:txbxContent>
                            </wps:txbx>
                            <wps:bodyPr wrap="square" upright="1"/>
                          </wps:wsp>
                        </a:graphicData>
                      </a:graphic>
                    </wp:anchor>
                  </w:drawing>
                </mc:Choice>
                <mc:Fallback>
                  <w:pict>
                    <v:shape id="_x0000_s1026" o:spid="_x0000_s1026" o:spt="202" type="#_x0000_t202" style="position:absolute;left:0pt;margin-left:174.35pt;margin-top:13.2pt;height:23.8pt;width:103.4pt;z-index:251662336;mso-width-relative:page;mso-height-relative:page;" fillcolor="#FFFFFF" filled="t" stroked="t" coordsize="21600,21600" o:gfxdata="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5GwU5dgA&#10;AAAJAQAADwAAAAAAAAABACAAAAAiAAAAZHJzL2Rvd25yZXYueG1sUEsBAhQAFAAAAAgAh07iQGUY&#10;AzYfAgAAVgQAAA4AAAAAAAAAAQAgAAAAJwEAAGRycy9lMm9Eb2MueG1sUEsFBgAAAAAGAAYAWQEA&#10;ALgFAAAAAA==&#10;">
                      <v:fill on="t" focussize="0,0"/>
                      <v:stroke color="#000000" joinstyle="miter"/>
                      <v:imagedata o:title=""/>
                      <o:lock v:ext="edit" aspectratio="f"/>
                      <v:textbox>
                        <w:txbxContent>
                          <w:p w14:paraId="3410FBCC">
                            <w:r>
                              <w:rPr>
                                <w:rFonts w:hint="eastAsia"/>
                              </w:rPr>
                              <w:t>储棚抑尘（-37.2）</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921385</wp:posOffset>
                      </wp:positionH>
                      <wp:positionV relativeFrom="paragraph">
                        <wp:posOffset>8890</wp:posOffset>
                      </wp:positionV>
                      <wp:extent cx="9525" cy="342900"/>
                      <wp:effectExtent l="0" t="0" r="28575" b="1905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66432;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1186815</wp:posOffset>
                      </wp:positionH>
                      <wp:positionV relativeFrom="paragraph">
                        <wp:posOffset>121285</wp:posOffset>
                      </wp:positionV>
                      <wp:extent cx="580390" cy="30226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580390" cy="302260"/>
                              </a:xfrm>
                              <a:prstGeom prst="rect">
                                <a:avLst/>
                              </a:prstGeom>
                              <a:noFill/>
                              <a:ln>
                                <a:noFill/>
                              </a:ln>
                            </wps:spPr>
                            <wps:txbx>
                              <w:txbxContent>
                                <w:p w14:paraId="0F937F90">
                                  <w:r>
                                    <w:rPr>
                                      <w:rFonts w:hint="eastAsia"/>
                                    </w:rPr>
                                    <w:t>37.2</w:t>
                                  </w:r>
                                </w:p>
                              </w:txbxContent>
                            </wps:txbx>
                            <wps:bodyPr upright="1"/>
                          </wps:wsp>
                        </a:graphicData>
                      </a:graphic>
                    </wp:anchor>
                  </w:drawing>
                </mc:Choice>
                <mc:Fallback>
                  <w:pict>
                    <v:shape id="_x0000_s1026" o:spid="_x0000_s1026" o:spt="202" type="#_x0000_t202" style="position:absolute;left:0pt;margin-left:93.45pt;margin-top:9.55pt;height:23.8pt;width:45.7pt;z-index:251663360;mso-width-relative:page;mso-height-relative:page;" filled="f" stroked="f" coordsize="21600,21600" o:gfxdata="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1sxUFtcA&#10;AAAJAQAADwAAAAAAAAABACAAAAAiAAAAZHJzL2Rvd25yZXYueG1sUEsBAhQAFAAAAAgAh07iQI7C&#10;EwGuAQAATwMAAA4AAAAAAAAAAQAgAAAAJgEAAGRycy9lMm9Eb2MueG1sUEsFBgAAAAAGAAYAWQEA&#10;AEYFAAAAAA==&#10;">
                      <v:fill on="f" focussize="0,0"/>
                      <v:stroke on="f"/>
                      <v:imagedata o:title=""/>
                      <o:lock v:ext="edit" aspectratio="f"/>
                      <v:textbox>
                        <w:txbxContent>
                          <w:p w14:paraId="0F937F90">
                            <w:r>
                              <w:rPr>
                                <w:rFonts w:hint="eastAsia"/>
                              </w:rPr>
                              <w:t>37.2</w:t>
                            </w:r>
                          </w:p>
                        </w:txbxContent>
                      </v:textbox>
                    </v:shape>
                  </w:pict>
                </mc:Fallback>
              </mc:AlternateContent>
            </w:r>
          </w:p>
          <w:p w14:paraId="0A98861F">
            <w:pPr>
              <w:tabs>
                <w:tab w:val="left" w:pos="3052"/>
              </w:tabs>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61312;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993775</wp:posOffset>
                      </wp:positionH>
                      <wp:positionV relativeFrom="paragraph">
                        <wp:posOffset>202565</wp:posOffset>
                      </wp:positionV>
                      <wp:extent cx="3305175" cy="392430"/>
                      <wp:effectExtent l="0" t="0" r="4445" b="254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60288;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1A78B3A8">
            <w:pPr>
              <w:adjustRightInd w:val="0"/>
              <w:snapToGrid w:val="0"/>
              <w:spacing w:line="440" w:lineRule="exact"/>
              <w:jc w:val="center"/>
              <w:rPr>
                <w:color w:val="000000" w:themeColor="text1"/>
                <w:sz w:val="24"/>
                <w:szCs w:val="22"/>
                <w14:textFill>
                  <w14:solidFill>
                    <w14:schemeClr w14:val="tx1"/>
                  </w14:solidFill>
                </w14:textFill>
              </w:rPr>
            </w:pPr>
          </w:p>
          <w:p w14:paraId="2390F3B9">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（2）供电</w:t>
            </w:r>
          </w:p>
          <w:p w14:paraId="0AE2C2D2">
            <w:pPr>
              <w:adjustRightInd w:val="0"/>
              <w:snapToGrid w:val="0"/>
              <w:spacing w:line="440" w:lineRule="exact"/>
              <w:ind w:firstLine="480" w:firstLineChars="200"/>
              <w:rPr>
                <w:color w:val="000000" w:themeColor="text1"/>
                <w:sz w:val="24"/>
                <w14:textFill>
                  <w14:solidFill>
                    <w14:schemeClr w14:val="tx1"/>
                  </w14:solidFill>
                </w14:textFill>
              </w:rPr>
            </w:pPr>
            <w:bookmarkStart w:id="9" w:name="_Hlk163495180"/>
            <w:r>
              <w:rPr>
                <w:color w:val="000000" w:themeColor="text1"/>
                <w:sz w:val="24"/>
                <w14:textFill>
                  <w14:solidFill>
                    <w14:schemeClr w14:val="tx1"/>
                  </w14:solidFill>
                </w14:textFill>
              </w:rPr>
              <w:t>项目</w:t>
            </w:r>
            <w:r>
              <w:rPr>
                <w:rFonts w:hint="eastAsia"/>
                <w:color w:val="000000" w:themeColor="text1"/>
                <w:sz w:val="24"/>
                <w14:textFill>
                  <w14:solidFill>
                    <w14:schemeClr w14:val="tx1"/>
                  </w14:solidFill>
                </w14:textFill>
              </w:rPr>
              <w:t>用电引自札萨克镇供电网</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本次新增年用电量为2</w:t>
            </w:r>
            <w:r>
              <w:rPr>
                <w:color w:val="000000" w:themeColor="text1"/>
                <w:sz w:val="24"/>
                <w14:textFill>
                  <w14:solidFill>
                    <w14:schemeClr w14:val="tx1"/>
                  </w14:solidFill>
                </w14:textFill>
              </w:rPr>
              <w:t>万kW·h。</w:t>
            </w:r>
            <w:bookmarkEnd w:id="9"/>
          </w:p>
          <w:p w14:paraId="3858B81F">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（3）供热</w:t>
            </w:r>
            <w:r>
              <w:rPr>
                <w:rFonts w:hint="eastAsia"/>
                <w:color w:val="000000" w:themeColor="text1"/>
                <w:sz w:val="24"/>
                <w14:textFill>
                  <w14:solidFill>
                    <w14:schemeClr w14:val="tx1"/>
                  </w14:solidFill>
                </w14:textFill>
              </w:rPr>
              <w:t xml:space="preserve"> </w:t>
            </w:r>
          </w:p>
          <w:p w14:paraId="3E9C6231">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项目冬季生产厂房不采暖，办公宿舍区依托现有供暖设施。</w:t>
            </w:r>
          </w:p>
          <w:p w14:paraId="106FBEFB">
            <w:pPr>
              <w:adjustRightInd w:val="0"/>
              <w:snapToGrid w:val="0"/>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13、劳动定员及工作制度</w:t>
            </w:r>
          </w:p>
          <w:p w14:paraId="29FE5A1C">
            <w:pPr>
              <w:adjustRightInd w:val="0"/>
              <w:snapToGrid w:val="0"/>
              <w:spacing w:line="440" w:lineRule="exact"/>
              <w:ind w:firstLine="480" w:firstLineChars="200"/>
              <w:rPr>
                <w:color w:val="000000" w:themeColor="text1"/>
                <w:sz w:val="24"/>
                <w:szCs w:val="22"/>
                <w14:textFill>
                  <w14:solidFill>
                    <w14:schemeClr w14:val="tx1"/>
                  </w14:solidFill>
                </w14:textFill>
              </w:rPr>
            </w:pPr>
            <w:bookmarkStart w:id="10" w:name="_Hlk163495020"/>
            <w:r>
              <w:rPr>
                <w:rFonts w:hint="eastAsia"/>
                <w:color w:val="000000" w:themeColor="text1"/>
                <w:sz w:val="24"/>
                <w:szCs w:val="22"/>
                <w14:textFill>
                  <w14:solidFill>
                    <w14:schemeClr w14:val="tx1"/>
                  </w14:solidFill>
                </w14:textFill>
              </w:rPr>
              <w:t>本次不新增劳动定员，现有</w:t>
            </w:r>
            <w:r>
              <w:rPr>
                <w:color w:val="000000" w:themeColor="text1"/>
                <w:sz w:val="24"/>
                <w:szCs w:val="22"/>
                <w14:textFill>
                  <w14:solidFill>
                    <w14:schemeClr w14:val="tx1"/>
                  </w14:solidFill>
                </w14:textFill>
              </w:rPr>
              <w:t>劳动定员</w:t>
            </w:r>
            <w:r>
              <w:rPr>
                <w:rFonts w:hint="eastAsia"/>
                <w:color w:val="000000" w:themeColor="text1"/>
                <w:sz w:val="24"/>
                <w:szCs w:val="22"/>
                <w14:textFill>
                  <w14:solidFill>
                    <w14:schemeClr w14:val="tx1"/>
                  </w14:solidFill>
                </w14:textFill>
              </w:rPr>
              <w:t>15</w:t>
            </w:r>
            <w:r>
              <w:rPr>
                <w:color w:val="000000" w:themeColor="text1"/>
                <w:sz w:val="24"/>
                <w:szCs w:val="22"/>
                <w14:textFill>
                  <w14:solidFill>
                    <w14:schemeClr w14:val="tx1"/>
                  </w14:solidFill>
                </w14:textFill>
              </w:rPr>
              <w:t>人，年工作日</w:t>
            </w:r>
            <w:r>
              <w:rPr>
                <w:rFonts w:hint="eastAsia"/>
                <w:color w:val="000000" w:themeColor="text1"/>
                <w:sz w:val="24"/>
                <w:szCs w:val="22"/>
                <w14:textFill>
                  <w14:solidFill>
                    <w14:schemeClr w14:val="tx1"/>
                  </w14:solidFill>
                </w14:textFill>
              </w:rPr>
              <w:t>33</w:t>
            </w:r>
            <w:r>
              <w:rPr>
                <w:color w:val="000000" w:themeColor="text1"/>
                <w:sz w:val="24"/>
                <w:szCs w:val="22"/>
                <w14:textFill>
                  <w14:solidFill>
                    <w14:schemeClr w14:val="tx1"/>
                  </w14:solidFill>
                </w14:textFill>
              </w:rPr>
              <w:t>0天，</w:t>
            </w:r>
            <w:r>
              <w:rPr>
                <w:rFonts w:hint="eastAsia"/>
                <w:color w:val="000000" w:themeColor="text1"/>
                <w:sz w:val="24"/>
                <w:szCs w:val="22"/>
                <w14:textFill>
                  <w14:solidFill>
                    <w14:schemeClr w14:val="tx1"/>
                  </w14:solidFill>
                </w14:textFill>
              </w:rPr>
              <w:t>二</w:t>
            </w:r>
            <w:r>
              <w:rPr>
                <w:color w:val="000000" w:themeColor="text1"/>
                <w:sz w:val="24"/>
                <w:szCs w:val="22"/>
                <w14:textFill>
                  <w14:solidFill>
                    <w14:schemeClr w14:val="tx1"/>
                  </w14:solidFill>
                </w14:textFill>
              </w:rPr>
              <w:t>班工作制，每班8</w:t>
            </w:r>
            <w:r>
              <w:rPr>
                <w:rFonts w:hint="eastAsia"/>
                <w:color w:val="000000" w:themeColor="text1"/>
                <w:sz w:val="24"/>
                <w:szCs w:val="22"/>
                <w14:textFill>
                  <w14:solidFill>
                    <w14:schemeClr w14:val="tx1"/>
                  </w14:solidFill>
                </w14:textFill>
              </w:rPr>
              <w:t>h</w:t>
            </w:r>
            <w:r>
              <w:rPr>
                <w:color w:val="000000" w:themeColor="text1"/>
                <w:sz w:val="24"/>
                <w:szCs w:val="22"/>
                <w14:textFill>
                  <w14:solidFill>
                    <w14:schemeClr w14:val="tx1"/>
                  </w14:solidFill>
                </w14:textFill>
              </w:rPr>
              <w:t>。</w:t>
            </w:r>
            <w:bookmarkEnd w:id="10"/>
          </w:p>
          <w:p w14:paraId="1DD39D1F">
            <w:pPr>
              <w:adjustRightInd w:val="0"/>
              <w:snapToGrid w:val="0"/>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14、施工进度</w:t>
            </w:r>
          </w:p>
          <w:p w14:paraId="5A3F6389">
            <w:pPr>
              <w:adjustRightInd w:val="0"/>
              <w:snapToGrid w:val="0"/>
              <w:spacing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项目</w:t>
            </w:r>
            <w:r>
              <w:rPr>
                <w:rFonts w:hint="eastAsia"/>
                <w:color w:val="000000" w:themeColor="text1"/>
                <w:sz w:val="24"/>
                <w:szCs w:val="22"/>
                <w14:textFill>
                  <w14:solidFill>
                    <w14:schemeClr w14:val="tx1"/>
                  </w14:solidFill>
                </w14:textFill>
              </w:rPr>
              <w:t>已</w:t>
            </w:r>
            <w:r>
              <w:rPr>
                <w:color w:val="000000" w:themeColor="text1"/>
                <w:sz w:val="24"/>
                <w:szCs w:val="22"/>
                <w14:textFill>
                  <w14:solidFill>
                    <w14:schemeClr w14:val="tx1"/>
                  </w14:solidFill>
                </w14:textFill>
              </w:rPr>
              <w:t>建成投产。</w:t>
            </w:r>
          </w:p>
        </w:tc>
      </w:tr>
      <w:tr w14:paraId="2B079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207" w:type="pct"/>
            <w:vAlign w:val="center"/>
          </w:tcPr>
          <w:p w14:paraId="705DC0A4">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 xml:space="preserve"> 工艺流程和产排污环节</w:t>
            </w:r>
          </w:p>
        </w:tc>
        <w:tc>
          <w:tcPr>
            <w:tcW w:w="4793" w:type="pct"/>
          </w:tcPr>
          <w:p w14:paraId="57B45128">
            <w:pPr>
              <w:adjustRightInd w:val="0"/>
              <w:snapToGrid w:val="0"/>
              <w:spacing w:line="440" w:lineRule="exact"/>
              <w:jc w:val="left"/>
              <w:rPr>
                <w:b/>
                <w:color w:val="000000" w:themeColor="text1"/>
                <w:sz w:val="24"/>
                <w14:textFill>
                  <w14:solidFill>
                    <w14:schemeClr w14:val="tx1"/>
                  </w14:solidFill>
                </w14:textFill>
              </w:rPr>
            </w:pPr>
            <w:r>
              <w:rPr>
                <w:b/>
                <w:bCs/>
                <w:color w:val="000000" w:themeColor="text1"/>
                <w:sz w:val="24"/>
                <w:szCs w:val="32"/>
                <w14:textFill>
                  <w14:solidFill>
                    <w14:schemeClr w14:val="tx1"/>
                  </w14:solidFill>
                </w14:textFill>
              </w:rPr>
              <w:t>工艺流程简述（图示）：</w:t>
            </w:r>
          </w:p>
          <w:p w14:paraId="48F4919A">
            <w:pPr>
              <w:spacing w:line="430" w:lineRule="exact"/>
              <w:rPr>
                <w:color w:val="000000" w:themeColor="text1"/>
                <w:sz w:val="24"/>
                <w:szCs w:val="22"/>
                <w14:textFill>
                  <w14:solidFill>
                    <w14:schemeClr w14:val="tx1"/>
                  </w14:solidFill>
                </w14:textFill>
              </w:rPr>
            </w:pPr>
            <w:r>
              <w:rPr>
                <w:rFonts w:hint="eastAsia"/>
                <w:b/>
                <w:color w:val="000000" w:themeColor="text1"/>
                <w:kern w:val="0"/>
                <w:sz w:val="24"/>
                <w14:textFill>
                  <w14:solidFill>
                    <w14:schemeClr w14:val="tx1"/>
                  </w14:solidFill>
                </w14:textFill>
              </w:rPr>
              <w:t>一</w:t>
            </w:r>
            <w:r>
              <w:rPr>
                <w:b/>
                <w:color w:val="000000" w:themeColor="text1"/>
                <w:kern w:val="0"/>
                <w:sz w:val="24"/>
                <w14:textFill>
                  <w14:solidFill>
                    <w14:schemeClr w14:val="tx1"/>
                  </w14:solidFill>
                </w14:textFill>
              </w:rPr>
              <w:t>、</w:t>
            </w:r>
            <w:r>
              <w:rPr>
                <w:rFonts w:hint="eastAsia"/>
                <w:b/>
                <w:color w:val="000000" w:themeColor="text1"/>
                <w:kern w:val="0"/>
                <w:sz w:val="24"/>
                <w14:textFill>
                  <w14:solidFill>
                    <w14:schemeClr w14:val="tx1"/>
                  </w14:solidFill>
                </w14:textFill>
              </w:rPr>
              <w:t>施工期</w:t>
            </w:r>
            <w:r>
              <w:rPr>
                <w:b/>
                <w:color w:val="000000" w:themeColor="text1"/>
                <w:kern w:val="0"/>
                <w:sz w:val="24"/>
                <w14:textFill>
                  <w14:solidFill>
                    <w14:schemeClr w14:val="tx1"/>
                  </w14:solidFill>
                </w14:textFill>
              </w:rPr>
              <w:t>工艺流程及产污节点</w:t>
            </w:r>
          </w:p>
          <w:p w14:paraId="2D022424">
            <w:pPr>
              <w:spacing w:line="430" w:lineRule="exact"/>
              <w:ind w:firstLine="480" w:firstLineChars="200"/>
              <w:rPr>
                <w:bCs/>
                <w:color w:val="000000" w:themeColor="text1"/>
                <w:kern w:val="0"/>
                <w:sz w:val="24"/>
                <w14:textFill>
                  <w14:solidFill>
                    <w14:schemeClr w14:val="tx1"/>
                  </w14:solidFill>
                </w14:textFill>
              </w:rPr>
            </w:pPr>
            <w:r>
              <w:rPr>
                <w:rFonts w:hint="eastAsia"/>
                <w:sz w:val="24"/>
              </w:rPr>
              <w:t>由于项目已建成投产，施工期已落实了各项环保措施，未对周围环境影响造成较大影响，施工期影响已结束。本次仅对施工期进行回顾性评价。</w:t>
            </w:r>
          </w:p>
          <w:p w14:paraId="46315265">
            <w:pPr>
              <w:spacing w:line="430" w:lineRule="exact"/>
              <w:rPr>
                <w:color w:val="000000" w:themeColor="text1"/>
                <w:sz w:val="24"/>
                <w:szCs w:val="22"/>
                <w14:textFill>
                  <w14:solidFill>
                    <w14:schemeClr w14:val="tx1"/>
                  </w14:solidFill>
                </w14:textFill>
              </w:rPr>
            </w:pPr>
            <w:r>
              <w:rPr>
                <w:rFonts w:hint="eastAsia"/>
                <w:b/>
                <w:color w:val="000000" w:themeColor="text1"/>
                <w:kern w:val="0"/>
                <w:sz w:val="24"/>
                <w14:textFill>
                  <w14:solidFill>
                    <w14:schemeClr w14:val="tx1"/>
                  </w14:solidFill>
                </w14:textFill>
              </w:rPr>
              <w:t>二</w:t>
            </w:r>
            <w:r>
              <w:rPr>
                <w:b/>
                <w:color w:val="000000" w:themeColor="text1"/>
                <w:kern w:val="0"/>
                <w:sz w:val="24"/>
                <w14:textFill>
                  <w14:solidFill>
                    <w14:schemeClr w14:val="tx1"/>
                  </w14:solidFill>
                </w14:textFill>
              </w:rPr>
              <w:t>、</w:t>
            </w:r>
            <w:r>
              <w:rPr>
                <w:rFonts w:hint="eastAsia"/>
                <w:b/>
                <w:color w:val="000000" w:themeColor="text1"/>
                <w:kern w:val="0"/>
                <w:sz w:val="24"/>
                <w14:textFill>
                  <w14:solidFill>
                    <w14:schemeClr w14:val="tx1"/>
                  </w14:solidFill>
                </w14:textFill>
              </w:rPr>
              <w:t>运营</w:t>
            </w:r>
            <w:r>
              <w:rPr>
                <w:b/>
                <w:color w:val="000000" w:themeColor="text1"/>
                <w:kern w:val="0"/>
                <w:sz w:val="24"/>
                <w14:textFill>
                  <w14:solidFill>
                    <w14:schemeClr w14:val="tx1"/>
                  </w14:solidFill>
                </w14:textFill>
              </w:rPr>
              <w:t>期工艺流程及产污节点</w:t>
            </w:r>
          </w:p>
          <w:p w14:paraId="6D32B3F2">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项目运营期为钢架全封闭环保煤棚。原煤运输到煤棚后，在煤棚内储存，然后精煤从洗选工序中产出后，在煤棚中储存，后经过煤棚装载设施装到运输车后，经电子地磅进行称重后出售。</w:t>
            </w:r>
          </w:p>
          <w:p w14:paraId="4D2E4127">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运营期主要污染工序：</w:t>
            </w:r>
          </w:p>
          <w:p w14:paraId="028640ED">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（1）废气：煤炭储存及装载粉尘、运输过程产生的粉尘。</w:t>
            </w:r>
          </w:p>
          <w:p w14:paraId="737569B5">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（2）废水：项目抑尘用水全部蒸发损耗，无生产废水排放；</w:t>
            </w:r>
            <w:r>
              <w:rPr>
                <w:rFonts w:hint="eastAsia"/>
                <w:color w:val="000000" w:themeColor="text1"/>
                <w:sz w:val="24"/>
                <w14:textFill>
                  <w14:solidFill>
                    <w14:schemeClr w14:val="tx1"/>
                  </w14:solidFill>
                </w14:textFill>
              </w:rPr>
              <w:t>不新增劳动定员，无新增</w:t>
            </w:r>
            <w:r>
              <w:rPr>
                <w:rFonts w:hint="eastAsia"/>
                <w:color w:val="000000" w:themeColor="text1"/>
                <w:sz w:val="24"/>
                <w:lang w:eastAsia="zh-CN"/>
                <w14:textFill>
                  <w14:solidFill>
                    <w14:schemeClr w14:val="tx1"/>
                  </w14:solidFill>
                </w14:textFill>
              </w:rPr>
              <w:t>生活污水</w:t>
            </w:r>
            <w:r>
              <w:rPr>
                <w:rFonts w:hint="eastAsia"/>
                <w:color w:val="000000" w:themeColor="text1"/>
                <w:sz w:val="24"/>
                <w14:textFill>
                  <w14:solidFill>
                    <w14:schemeClr w14:val="tx1"/>
                  </w14:solidFill>
                </w14:textFill>
              </w:rPr>
              <w:t>。</w:t>
            </w:r>
          </w:p>
          <w:p w14:paraId="7A654C00">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（3）噪声：主要为煤炭进出厂装卸时产生的噪声，声压级为80～90dB(A)。</w:t>
            </w:r>
          </w:p>
          <w:p w14:paraId="1B218786">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（4）固废：本项目为煤棚扩建项目，不涉及生产设备，因此运营期无新增危废及一般固废产生。</w:t>
            </w:r>
          </w:p>
          <w:p w14:paraId="2EB9DAB2">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本次不新增劳动定员，无新增生活垃圾。</w:t>
            </w:r>
          </w:p>
        </w:tc>
      </w:tr>
    </w:tbl>
    <w:p w14:paraId="5E754A1E">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389E9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19" w:hRule="atLeast"/>
          <w:jc w:val="center"/>
        </w:trPr>
        <w:tc>
          <w:tcPr>
            <w:tcW w:w="210" w:type="pct"/>
            <w:vAlign w:val="center"/>
          </w:tcPr>
          <w:p w14:paraId="54A94201">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bCs/>
                <w:color w:val="000000" w:themeColor="text1"/>
                <w:kern w:val="2"/>
                <w:szCs w:val="24"/>
                <w14:textFill>
                  <w14:solidFill>
                    <w14:schemeClr w14:val="tx1"/>
                  </w14:solidFill>
                </w14:textFill>
              </w:rPr>
              <w:t>与项目有关的原有环境污染问题</w:t>
            </w:r>
          </w:p>
        </w:tc>
        <w:tc>
          <w:tcPr>
            <w:tcW w:w="4790" w:type="pct"/>
          </w:tcPr>
          <w:p w14:paraId="7C5609C9">
            <w:pPr>
              <w:spacing w:line="440" w:lineRule="exact"/>
              <w:ind w:firstLine="482" w:firstLineChars="200"/>
              <w:rPr>
                <w:b/>
                <w:bCs/>
                <w:iCs/>
                <w:color w:val="000000" w:themeColor="text1"/>
                <w:kern w:val="0"/>
                <w:sz w:val="24"/>
                <w:szCs w:val="22"/>
                <w14:textFill>
                  <w14:solidFill>
                    <w14:schemeClr w14:val="tx1"/>
                  </w14:solidFill>
                </w14:textFill>
              </w:rPr>
            </w:pPr>
            <w:r>
              <w:rPr>
                <w:b/>
                <w:bCs/>
                <w:iCs/>
                <w:color w:val="000000" w:themeColor="text1"/>
                <w:kern w:val="0"/>
                <w:sz w:val="24"/>
                <w:szCs w:val="22"/>
                <w14:textFill>
                  <w14:solidFill>
                    <w14:schemeClr w14:val="tx1"/>
                  </w14:solidFill>
                </w14:textFill>
              </w:rPr>
              <w:t>1、</w:t>
            </w:r>
            <w:r>
              <w:rPr>
                <w:rFonts w:hint="eastAsia"/>
                <w:b/>
                <w:bCs/>
                <w:iCs/>
                <w:color w:val="000000" w:themeColor="text1"/>
                <w:kern w:val="0"/>
                <w:sz w:val="24"/>
                <w:szCs w:val="22"/>
                <w14:textFill>
                  <w14:solidFill>
                    <w14:schemeClr w14:val="tx1"/>
                  </w14:solidFill>
                </w14:textFill>
              </w:rPr>
              <w:t>伊金霍洛旗新街马秦壕鑫源洗煤厂基本</w:t>
            </w:r>
            <w:r>
              <w:rPr>
                <w:b/>
                <w:bCs/>
                <w:iCs/>
                <w:color w:val="000000" w:themeColor="text1"/>
                <w:kern w:val="0"/>
                <w:sz w:val="24"/>
                <w:szCs w:val="22"/>
                <w14:textFill>
                  <w14:solidFill>
                    <w14:schemeClr w14:val="tx1"/>
                  </w14:solidFill>
                </w14:textFill>
              </w:rPr>
              <w:t>情况</w:t>
            </w:r>
          </w:p>
          <w:p w14:paraId="39106D1C">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color w:val="000000" w:themeColor="text1"/>
                <w:sz w:val="24"/>
                <w14:textFill>
                  <w14:solidFill>
                    <w14:schemeClr w14:val="tx1"/>
                  </w14:solidFill>
                </w14:textFill>
              </w:rPr>
              <w:t>伊金霍洛旗新街马秦壕鑫源洗煤厂</w:t>
            </w:r>
            <w:r>
              <w:rPr>
                <w:color w:val="000000" w:themeColor="text1"/>
                <w:sz w:val="24"/>
                <w14:textFill>
                  <w14:solidFill>
                    <w14:schemeClr w14:val="tx1"/>
                  </w14:solidFill>
                </w14:textFill>
              </w:rPr>
              <w:t>成立于 20</w:t>
            </w:r>
            <w:r>
              <w:rPr>
                <w:rFonts w:hint="eastAsia"/>
                <w:color w:val="000000" w:themeColor="text1"/>
                <w:sz w:val="24"/>
                <w14:textFill>
                  <w14:solidFill>
                    <w14:schemeClr w14:val="tx1"/>
                  </w14:solidFill>
                </w14:textFill>
              </w:rPr>
              <w:t>06</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12</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11</w:t>
            </w:r>
            <w:r>
              <w:rPr>
                <w:color w:val="000000" w:themeColor="text1"/>
                <w:sz w:val="24"/>
                <w14:textFill>
                  <w14:solidFill>
                    <w14:schemeClr w14:val="tx1"/>
                  </w14:solidFill>
                </w14:textFill>
              </w:rPr>
              <w:t>日，位于</w:t>
            </w:r>
            <w:r>
              <w:rPr>
                <w:rFonts w:hint="eastAsia"/>
                <w:color w:val="000000" w:themeColor="text1"/>
                <w:sz w:val="24"/>
                <w14:textFill>
                  <w14:solidFill>
                    <w14:schemeClr w14:val="tx1"/>
                  </w14:solidFill>
                </w14:textFill>
              </w:rPr>
              <w:t>伊金霍洛旗札萨克镇玛勒庆壕赖村一社。</w:t>
            </w:r>
            <w:r>
              <w:rPr>
                <w:rFonts w:hint="eastAsia"/>
                <w:iCs/>
                <w:color w:val="000000" w:themeColor="text1"/>
                <w:kern w:val="0"/>
                <w:sz w:val="24"/>
                <w:szCs w:val="22"/>
                <w14:textFill>
                  <w14:solidFill>
                    <w14:schemeClr w14:val="tx1"/>
                  </w14:solidFill>
                </w14:textFill>
              </w:rPr>
              <w:t>2017年7月， 委托中南金尚环境工程有限公司编制完成了《伊金霍洛旗新街马秦壕鑫源洗煤厂改扩建项目环境影响报告表》， 于</w:t>
            </w:r>
            <w:r>
              <w:rPr>
                <w:rFonts w:hint="eastAsia"/>
                <w:iCs/>
                <w:color w:val="000000" w:themeColor="text1"/>
                <w:kern w:val="0"/>
                <w:sz w:val="24"/>
                <w:szCs w:val="22"/>
                <w:lang w:eastAsia="zh-CN"/>
                <w14:textFill>
                  <w14:solidFill>
                    <w14:schemeClr w14:val="tx1"/>
                  </w14:solidFill>
                </w14:textFill>
              </w:rPr>
              <w:t>2017年8月18日</w:t>
            </w:r>
            <w:r>
              <w:rPr>
                <w:rFonts w:hint="eastAsia"/>
                <w:iCs/>
                <w:color w:val="000000" w:themeColor="text1"/>
                <w:kern w:val="0"/>
                <w:sz w:val="24"/>
                <w:szCs w:val="22"/>
                <w14:textFill>
                  <w14:solidFill>
                    <w14:schemeClr w14:val="tx1"/>
                  </w14:solidFill>
                </w14:textFill>
              </w:rPr>
              <w:t>通过了原鄂尔多斯市环境保护局审批（鄂环评字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105号）；2017年9月30日，通过原鄂尔多斯市环境保护局的竣工环境保护验收（鄂环监字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185号）。</w:t>
            </w:r>
          </w:p>
          <w:p w14:paraId="4636A888">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iCs/>
                <w:color w:val="000000" w:themeColor="text1"/>
                <w:kern w:val="0"/>
                <w:sz w:val="24"/>
                <w:szCs w:val="22"/>
                <w14:textFill>
                  <w14:solidFill>
                    <w14:schemeClr w14:val="tx1"/>
                  </w14:solidFill>
                </w14:textFill>
              </w:rPr>
              <w:t>2020年6月18日，企业首次进行排污许可登记，有效期为2</w:t>
            </w:r>
            <w:r>
              <w:rPr>
                <w:iCs/>
                <w:color w:val="000000" w:themeColor="text1"/>
                <w:kern w:val="0"/>
                <w:sz w:val="24"/>
                <w:szCs w:val="22"/>
                <w14:textFill>
                  <w14:solidFill>
                    <w14:schemeClr w14:val="tx1"/>
                  </w14:solidFill>
                </w14:textFill>
              </w:rPr>
              <w:t>02</w:t>
            </w:r>
            <w:r>
              <w:rPr>
                <w:rFonts w:hint="eastAsia"/>
                <w:iCs/>
                <w:color w:val="000000" w:themeColor="text1"/>
                <w:kern w:val="0"/>
                <w:sz w:val="24"/>
                <w:szCs w:val="22"/>
                <w14:textFill>
                  <w14:solidFill>
                    <w14:schemeClr w14:val="tx1"/>
                  </w14:solidFill>
                </w14:textFill>
              </w:rPr>
              <w:t>0年6月18日至2</w:t>
            </w:r>
            <w:r>
              <w:rPr>
                <w:iCs/>
                <w:color w:val="000000" w:themeColor="text1"/>
                <w:kern w:val="0"/>
                <w:sz w:val="24"/>
                <w:szCs w:val="22"/>
                <w14:textFill>
                  <w14:solidFill>
                    <w14:schemeClr w14:val="tx1"/>
                  </w14:solidFill>
                </w14:textFill>
              </w:rPr>
              <w:t>02</w:t>
            </w:r>
            <w:r>
              <w:rPr>
                <w:rFonts w:hint="eastAsia"/>
                <w:iCs/>
                <w:color w:val="000000" w:themeColor="text1"/>
                <w:kern w:val="0"/>
                <w:sz w:val="24"/>
                <w:szCs w:val="22"/>
                <w14:textFill>
                  <w14:solidFill>
                    <w14:schemeClr w14:val="tx1"/>
                  </w14:solidFill>
                </w14:textFill>
              </w:rPr>
              <w:t>5年6月17日。企业一直处于停产整改状态，因此在排污许可登记到期后未及时延续。目前，企业已重新对排污许可进行了登记，编号：</w:t>
            </w:r>
            <w:r>
              <w:rPr>
                <w:iCs/>
                <w:color w:val="000000" w:themeColor="text1"/>
                <w:kern w:val="0"/>
                <w:sz w:val="24"/>
                <w:szCs w:val="22"/>
                <w14:textFill>
                  <w14:solidFill>
                    <w14:schemeClr w14:val="tx1"/>
                  </w14:solidFill>
                </w14:textFill>
              </w:rPr>
              <w:t>9115062779364864XY001Z</w:t>
            </w:r>
            <w:r>
              <w:rPr>
                <w:rFonts w:hint="eastAsia"/>
                <w:iCs/>
                <w:color w:val="000000" w:themeColor="text1"/>
                <w:kern w:val="0"/>
                <w:sz w:val="24"/>
                <w:szCs w:val="22"/>
                <w14:textFill>
                  <w14:solidFill>
                    <w14:schemeClr w14:val="tx1"/>
                  </w14:solidFill>
                </w14:textFill>
              </w:rPr>
              <w:t>，有效期为2</w:t>
            </w:r>
            <w:r>
              <w:rPr>
                <w:iCs/>
                <w:color w:val="000000" w:themeColor="text1"/>
                <w:kern w:val="0"/>
                <w:sz w:val="24"/>
                <w:szCs w:val="22"/>
                <w14:textFill>
                  <w14:solidFill>
                    <w14:schemeClr w14:val="tx1"/>
                  </w14:solidFill>
                </w14:textFill>
              </w:rPr>
              <w:t>02</w:t>
            </w:r>
            <w:r>
              <w:rPr>
                <w:rFonts w:hint="eastAsia"/>
                <w:iCs/>
                <w:color w:val="000000" w:themeColor="text1"/>
                <w:kern w:val="0"/>
                <w:sz w:val="24"/>
                <w:szCs w:val="22"/>
                <w14:textFill>
                  <w14:solidFill>
                    <w14:schemeClr w14:val="tx1"/>
                  </w14:solidFill>
                </w14:textFill>
              </w:rPr>
              <w:t>5年7月19日至2</w:t>
            </w:r>
            <w:r>
              <w:rPr>
                <w:iCs/>
                <w:color w:val="000000" w:themeColor="text1"/>
                <w:kern w:val="0"/>
                <w:sz w:val="24"/>
                <w:szCs w:val="22"/>
                <w14:textFill>
                  <w14:solidFill>
                    <w14:schemeClr w14:val="tx1"/>
                  </w14:solidFill>
                </w14:textFill>
              </w:rPr>
              <w:t>0</w:t>
            </w:r>
            <w:r>
              <w:rPr>
                <w:rFonts w:hint="eastAsia"/>
                <w:iCs/>
                <w:color w:val="000000" w:themeColor="text1"/>
                <w:kern w:val="0"/>
                <w:sz w:val="24"/>
                <w:szCs w:val="22"/>
                <w14:textFill>
                  <w14:solidFill>
                    <w14:schemeClr w14:val="tx1"/>
                  </w14:solidFill>
                </w14:textFill>
              </w:rPr>
              <w:t>30年7月18日。</w:t>
            </w:r>
          </w:p>
          <w:p w14:paraId="39B9C417">
            <w:pPr>
              <w:spacing w:line="440" w:lineRule="exact"/>
              <w:ind w:firstLine="482" w:firstLineChars="200"/>
              <w:rPr>
                <w:b/>
                <w:color w:val="000000" w:themeColor="text1"/>
                <w:sz w:val="24"/>
                <w14:textFill>
                  <w14:solidFill>
                    <w14:schemeClr w14:val="tx1"/>
                  </w14:solidFill>
                </w14:textFill>
              </w:rPr>
            </w:pPr>
            <w:r>
              <w:rPr>
                <w:b/>
                <w:color w:val="000000" w:themeColor="text1"/>
                <w:kern w:val="0"/>
                <w:sz w:val="24"/>
                <w:szCs w:val="22"/>
                <w14:textFill>
                  <w14:solidFill>
                    <w14:schemeClr w14:val="tx1"/>
                  </w14:solidFill>
                </w14:textFill>
              </w:rPr>
              <w:t>2</w:t>
            </w:r>
            <w:r>
              <w:rPr>
                <w:rFonts w:hint="eastAsia"/>
                <w:b/>
                <w:color w:val="000000" w:themeColor="text1"/>
                <w:kern w:val="0"/>
                <w:sz w:val="24"/>
                <w:szCs w:val="22"/>
                <w14:textFill>
                  <w14:solidFill>
                    <w14:schemeClr w14:val="tx1"/>
                  </w14:solidFill>
                </w14:textFill>
              </w:rPr>
              <w:t>、</w:t>
            </w:r>
            <w:r>
              <w:rPr>
                <w:rFonts w:hint="eastAsia"/>
                <w:b/>
                <w:snapToGrid w:val="0"/>
                <w:color w:val="000000" w:themeColor="text1"/>
                <w:sz w:val="24"/>
                <w14:textFill>
                  <w14:solidFill>
                    <w14:schemeClr w14:val="tx1"/>
                  </w14:solidFill>
                </w14:textFill>
              </w:rPr>
              <w:t>现有工程污染防治措施及污染物排放量</w:t>
            </w:r>
          </w:p>
          <w:p w14:paraId="407A8F20">
            <w:pPr>
              <w:spacing w:line="420" w:lineRule="exact"/>
              <w:ind w:firstLine="480" w:firstLineChars="200"/>
              <w:rPr>
                <w:color w:val="000000" w:themeColor="text1"/>
                <w:kern w:val="0"/>
                <w:sz w:val="24"/>
                <w:szCs w:val="22"/>
                <w14:textFill>
                  <w14:solidFill>
                    <w14:schemeClr w14:val="tx1"/>
                  </w14:solidFill>
                </w14:textFill>
              </w:rPr>
            </w:pPr>
            <w:r>
              <w:rPr>
                <w:rFonts w:hint="eastAsia"/>
                <w:iCs/>
                <w:color w:val="000000" w:themeColor="text1"/>
                <w:kern w:val="0"/>
                <w:sz w:val="24"/>
                <w:szCs w:val="22"/>
                <w14:textFill>
                  <w14:solidFill>
                    <w14:schemeClr w14:val="tx1"/>
                  </w14:solidFill>
                </w14:textFill>
              </w:rPr>
              <w:t>企业自2022年下半年开始，处于停产整改状态，因此现有工程采用验收检测数据</w:t>
            </w:r>
            <w:r>
              <w:rPr>
                <w:rFonts w:hint="eastAsia"/>
                <w:color w:val="000000" w:themeColor="text1"/>
                <w:kern w:val="0"/>
                <w:sz w:val="24"/>
                <w:szCs w:val="22"/>
                <w14:textFill>
                  <w14:solidFill>
                    <w14:schemeClr w14:val="tx1"/>
                  </w14:solidFill>
                </w14:textFill>
              </w:rPr>
              <w:t>（编号：</w:t>
            </w:r>
            <w:r>
              <w:rPr>
                <w:color w:val="000000" w:themeColor="text1"/>
                <w:kern w:val="0"/>
                <w:sz w:val="24"/>
                <w:szCs w:val="22"/>
                <w14:textFill>
                  <w14:solidFill>
                    <w14:schemeClr w14:val="tx1"/>
                  </w14:solidFill>
                </w14:textFill>
              </w:rPr>
              <w:t>BL JYSQ-2017-053</w:t>
            </w:r>
            <w:r>
              <w:rPr>
                <w:rFonts w:hint="eastAsia"/>
                <w:color w:val="000000" w:themeColor="text1"/>
                <w:kern w:val="0"/>
                <w:sz w:val="24"/>
                <w:szCs w:val="22"/>
                <w14:textFill>
                  <w14:solidFill>
                    <w14:schemeClr w14:val="tx1"/>
                  </w14:solidFill>
                </w14:textFill>
              </w:rPr>
              <w:t>）进行达标可行性分析。</w:t>
            </w:r>
          </w:p>
          <w:p w14:paraId="26A48631">
            <w:pPr>
              <w:spacing w:line="420" w:lineRule="exact"/>
              <w:ind w:firstLine="480" w:firstLineChars="200"/>
              <w:rPr>
                <w:color w:val="000000" w:themeColor="text1"/>
                <w:kern w:val="0"/>
                <w:sz w:val="24"/>
                <w:szCs w:val="22"/>
                <w:u w:val="single"/>
                <w14:textFill>
                  <w14:solidFill>
                    <w14:schemeClr w14:val="tx1"/>
                  </w14:solidFill>
                </w14:textFill>
              </w:rPr>
            </w:pPr>
            <w:r>
              <w:rPr>
                <w:rFonts w:hint="eastAsia"/>
                <w:color w:val="000000" w:themeColor="text1"/>
                <w:kern w:val="0"/>
                <w:sz w:val="24"/>
                <w:szCs w:val="22"/>
                <w14:textFill>
                  <w14:solidFill>
                    <w14:schemeClr w14:val="tx1"/>
                  </w14:solidFill>
                </w14:textFill>
              </w:rPr>
              <w:t>项目现有工程各污染防治措施及达标排放情况一览见下表。</w:t>
            </w:r>
          </w:p>
          <w:p w14:paraId="10BCC57E">
            <w:pPr>
              <w:spacing w:line="420" w:lineRule="exact"/>
              <w:ind w:firstLine="48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（1）</w:t>
            </w:r>
            <w:r>
              <w:rPr>
                <w:color w:val="000000" w:themeColor="text1"/>
                <w:kern w:val="0"/>
                <w:sz w:val="24"/>
                <w:szCs w:val="22"/>
                <w14:textFill>
                  <w14:solidFill>
                    <w14:schemeClr w14:val="tx1"/>
                  </w14:solidFill>
                </w14:textFill>
              </w:rPr>
              <w:t>废气污染物</w:t>
            </w:r>
          </w:p>
          <w:p w14:paraId="34F13563">
            <w:pPr>
              <w:spacing w:line="42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现有工程废气污染物治理措施及排放情况见表2-</w:t>
            </w:r>
            <w:r>
              <w:rPr>
                <w:rFonts w:hint="eastAsia"/>
                <w:color w:val="000000" w:themeColor="text1"/>
                <w:kern w:val="0"/>
                <w:sz w:val="24"/>
                <w:szCs w:val="22"/>
                <w14:textFill>
                  <w14:solidFill>
                    <w14:schemeClr w14:val="tx1"/>
                  </w14:solidFill>
                </w14:textFill>
              </w:rPr>
              <w:t>4</w:t>
            </w:r>
            <w:r>
              <w:rPr>
                <w:color w:val="000000" w:themeColor="text1"/>
                <w:kern w:val="0"/>
                <w:sz w:val="24"/>
                <w:szCs w:val="22"/>
                <w14:textFill>
                  <w14:solidFill>
                    <w14:schemeClr w14:val="tx1"/>
                  </w14:solidFill>
                </w14:textFill>
              </w:rPr>
              <w:t>。</w:t>
            </w:r>
          </w:p>
          <w:p w14:paraId="2499DCCD">
            <w:pPr>
              <w:spacing w:line="440" w:lineRule="exact"/>
              <w:ind w:firstLine="482" w:firstLineChars="200"/>
              <w:rPr>
                <w:b/>
                <w:color w:val="000000" w:themeColor="text1"/>
                <w:kern w:val="0"/>
                <w:sz w:val="24"/>
                <w:szCs w:val="22"/>
                <w14:textFill>
                  <w14:solidFill>
                    <w14:schemeClr w14:val="tx1"/>
                  </w14:solidFill>
                </w14:textFill>
              </w:rPr>
            </w:pPr>
            <w:r>
              <w:rPr>
                <w:b/>
                <w:color w:val="000000" w:themeColor="text1"/>
                <w:kern w:val="0"/>
                <w:sz w:val="24"/>
                <w:szCs w:val="22"/>
                <w14:textFill>
                  <w14:solidFill>
                    <w14:schemeClr w14:val="tx1"/>
                  </w14:solidFill>
                </w14:textFill>
              </w:rPr>
              <w:t>表2-</w:t>
            </w:r>
            <w:r>
              <w:rPr>
                <w:rFonts w:hint="eastAsia"/>
                <w:b/>
                <w:color w:val="000000" w:themeColor="text1"/>
                <w:kern w:val="0"/>
                <w:sz w:val="24"/>
                <w:szCs w:val="22"/>
                <w14:textFill>
                  <w14:solidFill>
                    <w14:schemeClr w14:val="tx1"/>
                  </w14:solidFill>
                </w14:textFill>
              </w:rPr>
              <w:t>4</w:t>
            </w:r>
            <w:r>
              <w:rPr>
                <w:b/>
                <w:color w:val="000000" w:themeColor="text1"/>
                <w:kern w:val="0"/>
                <w:sz w:val="24"/>
                <w:szCs w:val="22"/>
                <w14:textFill>
                  <w14:solidFill>
                    <w14:schemeClr w14:val="tx1"/>
                  </w14:solidFill>
                </w14:textFill>
              </w:rPr>
              <w:t xml:space="preserve">   </w:t>
            </w:r>
            <w:r>
              <w:rPr>
                <w:rFonts w:hint="eastAsia"/>
                <w:b/>
                <w:color w:val="000000" w:themeColor="text1"/>
                <w:kern w:val="0"/>
                <w:sz w:val="24"/>
                <w:szCs w:val="22"/>
                <w14:textFill>
                  <w14:solidFill>
                    <w14:schemeClr w14:val="tx1"/>
                  </w14:solidFill>
                </w14:textFill>
              </w:rPr>
              <w:t xml:space="preserve"> </w:t>
            </w:r>
            <w:r>
              <w:rPr>
                <w:b/>
                <w:color w:val="000000" w:themeColor="text1"/>
                <w:kern w:val="0"/>
                <w:sz w:val="24"/>
                <w:szCs w:val="22"/>
                <w14:textFill>
                  <w14:solidFill>
                    <w14:schemeClr w14:val="tx1"/>
                  </w14:solidFill>
                </w14:textFill>
              </w:rPr>
              <w:t xml:space="preserve"> 现有工程废气污染物治理措施及排放一览表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6"/>
              <w:gridCol w:w="1152"/>
              <w:gridCol w:w="1871"/>
              <w:gridCol w:w="3079"/>
              <w:gridCol w:w="1220"/>
            </w:tblGrid>
            <w:tr w14:paraId="36E4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2" w:type="pct"/>
                  <w:tcBorders>
                    <w:top w:val="single" w:color="auto" w:sz="4" w:space="0"/>
                    <w:left w:val="single" w:color="auto" w:sz="4" w:space="0"/>
                    <w:bottom w:val="single" w:color="auto" w:sz="4" w:space="0"/>
                    <w:right w:val="single" w:color="auto" w:sz="4" w:space="0"/>
                  </w:tcBorders>
                  <w:vAlign w:val="center"/>
                </w:tcPr>
                <w:p w14:paraId="3DB8630A">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65BC43CF">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w:t>
                  </w:r>
                </w:p>
              </w:tc>
              <w:tc>
                <w:tcPr>
                  <w:tcW w:w="1106" w:type="pct"/>
                  <w:tcBorders>
                    <w:top w:val="single" w:color="auto" w:sz="4" w:space="0"/>
                    <w:left w:val="single" w:color="auto" w:sz="4" w:space="0"/>
                    <w:bottom w:val="single" w:color="auto" w:sz="4" w:space="0"/>
                    <w:right w:val="single" w:color="auto" w:sz="4" w:space="0"/>
                  </w:tcBorders>
                  <w:vAlign w:val="center"/>
                </w:tcPr>
                <w:p w14:paraId="0282397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排放浓度</w:t>
                  </w:r>
                  <w:r>
                    <w:rPr>
                      <w:rFonts w:hint="eastAsia"/>
                      <w:color w:val="000000" w:themeColor="text1"/>
                      <w:kern w:val="0"/>
                      <w:szCs w:val="21"/>
                      <w14:textFill>
                        <w14:solidFill>
                          <w14:schemeClr w14:val="tx1"/>
                        </w14:solidFill>
                      </w14:textFill>
                    </w:rPr>
                    <w:t>mg</w:t>
                  </w:r>
                  <w:r>
                    <w:rPr>
                      <w:rFonts w:hint="eastAsia"/>
                      <w:snapToGrid w:val="0"/>
                      <w:color w:val="000000" w:themeColor="text1"/>
                      <w:kern w:val="0"/>
                      <w:sz w:val="24"/>
                      <w14:textFill>
                        <w14:solidFill>
                          <w14:schemeClr w14:val="tx1"/>
                        </w14:solidFill>
                      </w14:textFill>
                    </w:rPr>
                    <w:t>/m</w:t>
                  </w:r>
                  <w:r>
                    <w:rPr>
                      <w:rFonts w:hint="eastAsia"/>
                      <w:snapToGrid w:val="0"/>
                      <w:color w:val="000000" w:themeColor="text1"/>
                      <w:kern w:val="0"/>
                      <w:sz w:val="24"/>
                      <w:vertAlign w:val="superscript"/>
                      <w14:textFill>
                        <w14:solidFill>
                          <w14:schemeClr w14:val="tx1"/>
                        </w14:solidFill>
                      </w14:textFill>
                    </w:rPr>
                    <w:t>3</w:t>
                  </w:r>
                </w:p>
              </w:tc>
              <w:tc>
                <w:tcPr>
                  <w:tcW w:w="1820" w:type="pct"/>
                  <w:tcBorders>
                    <w:top w:val="single" w:color="auto" w:sz="4" w:space="0"/>
                    <w:left w:val="single" w:color="auto" w:sz="4" w:space="0"/>
                    <w:bottom w:val="single" w:color="auto" w:sz="4" w:space="0"/>
                    <w:right w:val="single" w:color="auto" w:sz="4" w:space="0"/>
                  </w:tcBorders>
                  <w:vAlign w:val="center"/>
                </w:tcPr>
                <w:p w14:paraId="58E4295B">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措施及排放去向</w:t>
                  </w:r>
                </w:p>
              </w:tc>
              <w:tc>
                <w:tcPr>
                  <w:tcW w:w="721" w:type="pct"/>
                  <w:tcBorders>
                    <w:top w:val="single" w:color="auto" w:sz="4" w:space="0"/>
                    <w:left w:val="single" w:color="auto" w:sz="4" w:space="0"/>
                    <w:bottom w:val="single" w:color="auto" w:sz="4" w:space="0"/>
                    <w:right w:val="single" w:color="auto" w:sz="4" w:space="0"/>
                  </w:tcBorders>
                  <w:vAlign w:val="center"/>
                </w:tcPr>
                <w:p w14:paraId="441363B3">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标准限值</w:t>
                  </w:r>
                </w:p>
              </w:tc>
            </w:tr>
            <w:tr w14:paraId="5A64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9" w:hRule="exact"/>
                <w:jc w:val="center"/>
              </w:trPr>
              <w:tc>
                <w:tcPr>
                  <w:tcW w:w="672" w:type="pct"/>
                  <w:tcBorders>
                    <w:left w:val="single" w:color="auto" w:sz="4" w:space="0"/>
                    <w:right w:val="single" w:color="auto" w:sz="4" w:space="0"/>
                  </w:tcBorders>
                  <w:vAlign w:val="center"/>
                </w:tcPr>
                <w:p w14:paraId="7AF99E21">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55345664">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106" w:type="pct"/>
                  <w:tcBorders>
                    <w:top w:val="single" w:color="auto" w:sz="4" w:space="0"/>
                    <w:left w:val="single" w:color="auto" w:sz="4" w:space="0"/>
                    <w:bottom w:val="single" w:color="auto" w:sz="4" w:space="0"/>
                    <w:right w:val="single" w:color="auto" w:sz="4" w:space="0"/>
                  </w:tcBorders>
                  <w:vAlign w:val="center"/>
                </w:tcPr>
                <w:p w14:paraId="53E324A7">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0.607</w:t>
                  </w:r>
                </w:p>
              </w:tc>
              <w:tc>
                <w:tcPr>
                  <w:tcW w:w="1820" w:type="pct"/>
                  <w:tcBorders>
                    <w:left w:val="single" w:color="auto" w:sz="4" w:space="0"/>
                    <w:right w:val="single" w:color="auto" w:sz="4" w:space="0"/>
                  </w:tcBorders>
                  <w:vAlign w:val="center"/>
                </w:tcPr>
                <w:p w14:paraId="4C01EAD7">
                  <w:pPr>
                    <w:widowControl/>
                    <w:adjustRightInd w:val="0"/>
                    <w:snapToGrid w:val="0"/>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煤棚全封闭，车间内均配备喷雾抑尘装置。场内道路绿化，封闭运输，定期洒水，厂区地面及进出厂区道路硬化。</w:t>
                  </w:r>
                </w:p>
              </w:tc>
              <w:tc>
                <w:tcPr>
                  <w:tcW w:w="721" w:type="pct"/>
                  <w:tcBorders>
                    <w:top w:val="single" w:color="auto" w:sz="4" w:space="0"/>
                    <w:left w:val="single" w:color="auto" w:sz="4" w:space="0"/>
                    <w:bottom w:val="single" w:color="auto" w:sz="4" w:space="0"/>
                    <w:right w:val="single" w:color="auto" w:sz="4" w:space="0"/>
                  </w:tcBorders>
                  <w:vAlign w:val="center"/>
                </w:tcPr>
                <w:p w14:paraId="009B2196">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r>
                    <w:rPr>
                      <w:color w:val="000000" w:themeColor="text1"/>
                      <w:kern w:val="0"/>
                      <w:szCs w:val="21"/>
                      <w14:textFill>
                        <w14:solidFill>
                          <w14:schemeClr w14:val="tx1"/>
                        </w14:solidFill>
                      </w14:textFill>
                    </w:rPr>
                    <w:t>mg/m</w:t>
                  </w:r>
                  <w:r>
                    <w:rPr>
                      <w:color w:val="000000" w:themeColor="text1"/>
                      <w:kern w:val="0"/>
                      <w:szCs w:val="21"/>
                      <w:vertAlign w:val="superscript"/>
                      <w14:textFill>
                        <w14:solidFill>
                          <w14:schemeClr w14:val="tx1"/>
                        </w14:solidFill>
                      </w14:textFill>
                    </w:rPr>
                    <w:t>3</w:t>
                  </w:r>
                </w:p>
              </w:tc>
            </w:tr>
          </w:tbl>
          <w:p w14:paraId="4EEE27FC">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（2）废水</w:t>
            </w:r>
          </w:p>
          <w:p w14:paraId="2180BFB2">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①</w:t>
            </w:r>
            <w:r>
              <w:rPr>
                <w:rFonts w:hint="eastAsia"/>
                <w:bCs/>
                <w:color w:val="000000" w:themeColor="text1"/>
                <w:sz w:val="24"/>
                <w14:textFill>
                  <w14:solidFill>
                    <w14:schemeClr w14:val="tx1"/>
                  </w14:solidFill>
                </w14:textFill>
              </w:rPr>
              <w:t>生活污水</w:t>
            </w:r>
          </w:p>
          <w:p w14:paraId="6346DEA3">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生活污水经化粪池预处理后，进入厂区地埋式一体化污水处理设备处理，处理后用于厂区绿化、泼洒抑尘。</w:t>
            </w:r>
          </w:p>
          <w:p w14:paraId="30D7FE4A">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②</w:t>
            </w:r>
            <w:r>
              <w:rPr>
                <w:rFonts w:hint="eastAsia"/>
                <w:bCs/>
                <w:color w:val="000000" w:themeColor="text1"/>
                <w:sz w:val="24"/>
                <w14:textFill>
                  <w14:solidFill>
                    <w14:schemeClr w14:val="tx1"/>
                  </w14:solidFill>
                </w14:textFill>
              </w:rPr>
              <w:t xml:space="preserve"> 生产废水</w:t>
            </w:r>
          </w:p>
          <w:p w14:paraId="69432603">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煤泥水闭路循环，不外排。</w:t>
            </w:r>
          </w:p>
          <w:p w14:paraId="501625B8">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③</w:t>
            </w:r>
            <w:r>
              <w:rPr>
                <w:rFonts w:hint="eastAsia"/>
                <w:bCs/>
                <w:color w:val="000000" w:themeColor="text1"/>
                <w:sz w:val="24"/>
                <w14:textFill>
                  <w14:solidFill>
                    <w14:schemeClr w14:val="tx1"/>
                  </w14:solidFill>
                </w14:textFill>
              </w:rPr>
              <w:t xml:space="preserve"> 初期雨水</w:t>
            </w:r>
          </w:p>
          <w:p w14:paraId="7CB1DB82">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厂区地势低处设 1个 50m</w:t>
            </w:r>
            <w:r>
              <w:rPr>
                <w:rFonts w:hint="eastAsia"/>
                <w:bCs/>
                <w:color w:val="000000" w:themeColor="text1"/>
                <w:sz w:val="24"/>
                <w:vertAlign w:val="superscript"/>
                <w14:textFill>
                  <w14:solidFill>
                    <w14:schemeClr w14:val="tx1"/>
                  </w14:solidFill>
                </w14:textFill>
              </w:rPr>
              <w:t>3</w:t>
            </w:r>
            <w:r>
              <w:rPr>
                <w:rFonts w:hint="eastAsia"/>
                <w:bCs/>
                <w:color w:val="000000" w:themeColor="text1"/>
                <w:sz w:val="24"/>
                <w14:textFill>
                  <w14:solidFill>
                    <w14:schemeClr w14:val="tx1"/>
                  </w14:solidFill>
                </w14:textFill>
              </w:rPr>
              <w:t>初期雨水池（混凝土结构），对初期雨水进行收</w:t>
            </w:r>
            <w:r>
              <w:rPr>
                <w:rFonts w:hint="eastAsia"/>
                <w:bCs/>
                <w:color w:val="000000" w:themeColor="text1"/>
                <w:sz w:val="24"/>
                <w14:textFill>
                  <w14:solidFill>
                    <w14:schemeClr w14:val="tx1"/>
                  </w14:solidFill>
                </w14:textFill>
              </w:rPr>
              <w:cr/>
            </w:r>
            <w:r>
              <w:rPr>
                <w:rFonts w:hint="eastAsia"/>
                <w:bCs/>
                <w:color w:val="000000" w:themeColor="text1"/>
                <w:sz w:val="24"/>
                <w14:textFill>
                  <w14:solidFill>
                    <w14:schemeClr w14:val="tx1"/>
                  </w14:solidFill>
                </w14:textFill>
              </w:rPr>
              <w:t>集，经沉淀后，用于厂区洒水抑尘。</w:t>
            </w:r>
          </w:p>
          <w:p w14:paraId="4E3EF7FF">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（3）噪声污染源及防治措施</w:t>
            </w:r>
          </w:p>
          <w:p w14:paraId="60BCCF85">
            <w:pPr>
              <w:spacing w:line="440" w:lineRule="exact"/>
              <w:ind w:firstLine="525" w:firstLineChars="218"/>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表</w:t>
            </w:r>
            <w:r>
              <w:rPr>
                <w:b/>
                <w:color w:val="000000" w:themeColor="text1"/>
                <w:kern w:val="0"/>
                <w:sz w:val="24"/>
                <w14:textFill>
                  <w14:solidFill>
                    <w14:schemeClr w14:val="tx1"/>
                  </w14:solidFill>
                </w14:textFill>
              </w:rPr>
              <w:t>2-</w:t>
            </w:r>
            <w:r>
              <w:rPr>
                <w:rFonts w:hint="eastAsia"/>
                <w:b/>
                <w:color w:val="000000" w:themeColor="text1"/>
                <w:kern w:val="0"/>
                <w:sz w:val="24"/>
                <w14:textFill>
                  <w14:solidFill>
                    <w14:schemeClr w14:val="tx1"/>
                  </w14:solidFill>
                </w14:textFill>
              </w:rPr>
              <w:t>5    现有工程噪声污染源治理措施及排放情况一览表</w:t>
            </w:r>
          </w:p>
          <w:tbl>
            <w:tblPr>
              <w:tblStyle w:val="27"/>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2"/>
              <w:gridCol w:w="1612"/>
              <w:gridCol w:w="1842"/>
              <w:gridCol w:w="993"/>
              <w:gridCol w:w="992"/>
              <w:gridCol w:w="1134"/>
              <w:gridCol w:w="1114"/>
            </w:tblGrid>
            <w:tr w14:paraId="377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2" w:type="dxa"/>
                  <w:vMerge w:val="restart"/>
                  <w:vAlign w:val="center"/>
                </w:tcPr>
                <w:p w14:paraId="4672120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1612" w:type="dxa"/>
                  <w:vMerge w:val="restart"/>
                  <w:vAlign w:val="center"/>
                </w:tcPr>
                <w:p w14:paraId="2129B7C3">
                  <w:pPr>
                    <w:kinsoku w:val="0"/>
                    <w:overflowPunct w:val="0"/>
                    <w:autoSpaceDE w:val="0"/>
                    <w:autoSpaceDN w:val="0"/>
                    <w:snapToGrid w:val="0"/>
                    <w:spacing w:line="360" w:lineRule="exact"/>
                    <w:jc w:val="center"/>
                    <w:rPr>
                      <w:color w:val="000000" w:themeColor="text1"/>
                      <w:spacing w:val="-2"/>
                      <w:kern w:val="0"/>
                      <w:szCs w:val="21"/>
                      <w14:textFill>
                        <w14:solidFill>
                          <w14:schemeClr w14:val="tx1"/>
                        </w14:solidFill>
                      </w14:textFill>
                    </w:rPr>
                  </w:pPr>
                  <w:r>
                    <w:rPr>
                      <w:color w:val="000000" w:themeColor="text1"/>
                      <w:spacing w:val="-2"/>
                      <w:kern w:val="0"/>
                      <w:szCs w:val="21"/>
                      <w14:textFill>
                        <w14:solidFill>
                          <w14:schemeClr w14:val="tx1"/>
                        </w14:solidFill>
                      </w14:textFill>
                    </w:rPr>
                    <w:t>环保措施</w:t>
                  </w:r>
                </w:p>
              </w:tc>
              <w:tc>
                <w:tcPr>
                  <w:tcW w:w="1842" w:type="dxa"/>
                  <w:vMerge w:val="restart"/>
                  <w:vAlign w:val="center"/>
                </w:tcPr>
                <w:p w14:paraId="587B6FEE">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标准来源</w:t>
                  </w:r>
                </w:p>
              </w:tc>
              <w:tc>
                <w:tcPr>
                  <w:tcW w:w="993" w:type="dxa"/>
                  <w:vMerge w:val="restart"/>
                  <w:vAlign w:val="center"/>
                </w:tcPr>
                <w:p w14:paraId="1281F13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标准值</w:t>
                  </w:r>
                </w:p>
                <w:p w14:paraId="1E1009E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dB（A）</w:t>
                  </w:r>
                </w:p>
              </w:tc>
              <w:tc>
                <w:tcPr>
                  <w:tcW w:w="992" w:type="dxa"/>
                  <w:vMerge w:val="restart"/>
                  <w:vAlign w:val="center"/>
                </w:tcPr>
                <w:p w14:paraId="68588F80">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位置</w:t>
                  </w:r>
                </w:p>
              </w:tc>
              <w:tc>
                <w:tcPr>
                  <w:tcW w:w="2248" w:type="dxa"/>
                  <w:gridSpan w:val="2"/>
                  <w:vAlign w:val="center"/>
                </w:tcPr>
                <w:p w14:paraId="2885FE43">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监测数据</w:t>
                  </w:r>
                  <w:r>
                    <w:rPr>
                      <w:rFonts w:hint="eastAsia"/>
                      <w:color w:val="000000" w:themeColor="text1"/>
                      <w:kern w:val="0"/>
                      <w:szCs w:val="21"/>
                      <w14:textFill>
                        <w14:solidFill>
                          <w14:schemeClr w14:val="tx1"/>
                        </w14:solidFill>
                      </w14:textFill>
                    </w:rPr>
                    <w:t>（dB（A））</w:t>
                  </w:r>
                </w:p>
              </w:tc>
            </w:tr>
            <w:tr w14:paraId="283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642" w:type="dxa"/>
                  <w:vMerge w:val="continue"/>
                  <w:vAlign w:val="center"/>
                </w:tcPr>
                <w:p w14:paraId="173940E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0A7C5436">
                  <w:pPr>
                    <w:kinsoku w:val="0"/>
                    <w:overflowPunct w:val="0"/>
                    <w:autoSpaceDE w:val="0"/>
                    <w:autoSpaceDN w:val="0"/>
                    <w:snapToGrid w:val="0"/>
                    <w:spacing w:line="360" w:lineRule="exact"/>
                    <w:jc w:val="center"/>
                    <w:rPr>
                      <w:color w:val="000000" w:themeColor="text1"/>
                      <w:spacing w:val="-2"/>
                      <w:kern w:val="0"/>
                      <w:szCs w:val="21"/>
                      <w14:textFill>
                        <w14:solidFill>
                          <w14:schemeClr w14:val="tx1"/>
                        </w14:solidFill>
                      </w14:textFill>
                    </w:rPr>
                  </w:pPr>
                </w:p>
              </w:tc>
              <w:tc>
                <w:tcPr>
                  <w:tcW w:w="1842" w:type="dxa"/>
                  <w:vMerge w:val="continue"/>
                  <w:vAlign w:val="center"/>
                </w:tcPr>
                <w:p w14:paraId="5EB7511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39AFB9E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2" w:type="dxa"/>
                  <w:vMerge w:val="continue"/>
                  <w:vAlign w:val="center"/>
                </w:tcPr>
                <w:p w14:paraId="257B89C4">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134" w:type="dxa"/>
                  <w:vAlign w:val="center"/>
                </w:tcPr>
                <w:p w14:paraId="0F60FC8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昼间</w:t>
                  </w:r>
                </w:p>
              </w:tc>
              <w:tc>
                <w:tcPr>
                  <w:tcW w:w="1114" w:type="dxa"/>
                  <w:vAlign w:val="center"/>
                </w:tcPr>
                <w:p w14:paraId="16C5404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夜间</w:t>
                  </w:r>
                </w:p>
              </w:tc>
            </w:tr>
            <w:tr w14:paraId="1EE3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42" w:type="dxa"/>
                  <w:vMerge w:val="restart"/>
                  <w:vAlign w:val="center"/>
                </w:tcPr>
                <w:p w14:paraId="0EA585C3">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生产设备</w:t>
                  </w:r>
                  <w:r>
                    <w:rPr>
                      <w:rFonts w:hint="eastAsia"/>
                      <w:color w:val="000000" w:themeColor="text1"/>
                      <w:kern w:val="0"/>
                      <w:szCs w:val="21"/>
                      <w14:textFill>
                        <w14:solidFill>
                          <w14:schemeClr w14:val="tx1"/>
                        </w14:solidFill>
                      </w14:textFill>
                    </w:rPr>
                    <w:t>、风机</w:t>
                  </w:r>
                </w:p>
              </w:tc>
              <w:tc>
                <w:tcPr>
                  <w:tcW w:w="1612" w:type="dxa"/>
                  <w:vMerge w:val="restart"/>
                  <w:vAlign w:val="center"/>
                </w:tcPr>
                <w:p w14:paraId="7F094F4B">
                  <w:pPr>
                    <w:kinsoku w:val="0"/>
                    <w:overflowPunct w:val="0"/>
                    <w:autoSpaceDE w:val="0"/>
                    <w:autoSpaceDN w:val="0"/>
                    <w:snapToGrid w:val="0"/>
                    <w:spacing w:line="360" w:lineRule="exact"/>
                    <w:rPr>
                      <w:color w:val="000000" w:themeColor="text1"/>
                      <w:spacing w:val="-2"/>
                      <w:kern w:val="0"/>
                      <w:szCs w:val="21"/>
                      <w14:textFill>
                        <w14:solidFill>
                          <w14:schemeClr w14:val="tx1"/>
                        </w14:solidFill>
                      </w14:textFill>
                    </w:rPr>
                  </w:pPr>
                  <w:r>
                    <w:rPr>
                      <w:rFonts w:hint="eastAsia"/>
                      <w:color w:val="000000" w:themeColor="text1"/>
                      <w:spacing w:val="-2"/>
                      <w:kern w:val="0"/>
                      <w:szCs w:val="21"/>
                      <w14:textFill>
                        <w14:solidFill>
                          <w14:schemeClr w14:val="tx1"/>
                        </w14:solidFill>
                      </w14:textFill>
                    </w:rPr>
                    <w:t>选用低噪声设备，基础减振，厂房隔声等措施</w:t>
                  </w:r>
                </w:p>
              </w:tc>
              <w:tc>
                <w:tcPr>
                  <w:tcW w:w="1842" w:type="dxa"/>
                  <w:vMerge w:val="restart"/>
                  <w:vAlign w:val="center"/>
                </w:tcPr>
                <w:p w14:paraId="2333FF10">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《工业企业厂界环境噪声排放标准》（GB12348-2008）</w:t>
                  </w:r>
                  <w:r>
                    <w:rPr>
                      <w:rFonts w:hint="eastAsia"/>
                      <w:color w:val="000000" w:themeColor="text1"/>
                      <w:kern w:val="0"/>
                      <w:szCs w:val="21"/>
                      <w14:textFill>
                        <w14:solidFill>
                          <w14:schemeClr w14:val="tx1"/>
                        </w14:solidFill>
                      </w14:textFill>
                    </w:rPr>
                    <w:t>2类</w:t>
                  </w:r>
                  <w:r>
                    <w:rPr>
                      <w:color w:val="000000" w:themeColor="text1"/>
                      <w:kern w:val="0"/>
                      <w:szCs w:val="21"/>
                      <w14:textFill>
                        <w14:solidFill>
                          <w14:schemeClr w14:val="tx1"/>
                        </w14:solidFill>
                      </w14:textFill>
                    </w:rPr>
                    <w:t>标准</w:t>
                  </w:r>
                </w:p>
              </w:tc>
              <w:tc>
                <w:tcPr>
                  <w:tcW w:w="993" w:type="dxa"/>
                  <w:vMerge w:val="restart"/>
                  <w:vAlign w:val="center"/>
                </w:tcPr>
                <w:p w14:paraId="1CCCC46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昼间≤</w:t>
                  </w:r>
                  <w:r>
                    <w:rPr>
                      <w:rFonts w:hint="eastAsia"/>
                      <w:color w:val="000000" w:themeColor="text1"/>
                      <w:kern w:val="0"/>
                      <w:szCs w:val="21"/>
                      <w14:textFill>
                        <w14:solidFill>
                          <w14:schemeClr w14:val="tx1"/>
                        </w14:solidFill>
                      </w14:textFill>
                    </w:rPr>
                    <w:t>60</w:t>
                  </w:r>
                </w:p>
                <w:p w14:paraId="7696A69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夜间≤</w:t>
                  </w:r>
                  <w:r>
                    <w:rPr>
                      <w:rFonts w:hint="eastAsia"/>
                      <w:color w:val="000000" w:themeColor="text1"/>
                      <w:kern w:val="0"/>
                      <w:szCs w:val="21"/>
                      <w14:textFill>
                        <w14:solidFill>
                          <w14:schemeClr w14:val="tx1"/>
                        </w14:solidFill>
                      </w14:textFill>
                    </w:rPr>
                    <w:t>50</w:t>
                  </w:r>
                </w:p>
              </w:tc>
              <w:tc>
                <w:tcPr>
                  <w:tcW w:w="992" w:type="dxa"/>
                  <w:vAlign w:val="center"/>
                </w:tcPr>
                <w:p w14:paraId="0C81B12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东厂界</w:t>
                  </w:r>
                </w:p>
              </w:tc>
              <w:tc>
                <w:tcPr>
                  <w:tcW w:w="1134" w:type="dxa"/>
                  <w:vAlign w:val="center"/>
                </w:tcPr>
                <w:p w14:paraId="66768F04">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52.9</w:t>
                  </w:r>
                </w:p>
              </w:tc>
              <w:tc>
                <w:tcPr>
                  <w:tcW w:w="1114" w:type="dxa"/>
                  <w:tcBorders>
                    <w:left w:val="single" w:color="auto" w:sz="4" w:space="0"/>
                    <w:bottom w:val="single" w:color="auto" w:sz="4" w:space="0"/>
                    <w:right w:val="single" w:color="auto" w:sz="4" w:space="0"/>
                  </w:tcBorders>
                  <w:vAlign w:val="center"/>
                </w:tcPr>
                <w:p w14:paraId="6D5988D5">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42.4</w:t>
                  </w:r>
                </w:p>
              </w:tc>
            </w:tr>
            <w:tr w14:paraId="55D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42" w:type="dxa"/>
                  <w:vMerge w:val="continue"/>
                  <w:vAlign w:val="center"/>
                </w:tcPr>
                <w:p w14:paraId="0F4CEC6F">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1517206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33433DE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35AB8883">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10A0D42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西厂界</w:t>
                  </w:r>
                </w:p>
              </w:tc>
              <w:tc>
                <w:tcPr>
                  <w:tcW w:w="1134" w:type="dxa"/>
                  <w:vAlign w:val="center"/>
                </w:tcPr>
                <w:p w14:paraId="04F75F05">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52.6</w:t>
                  </w:r>
                </w:p>
              </w:tc>
              <w:tc>
                <w:tcPr>
                  <w:tcW w:w="1114" w:type="dxa"/>
                  <w:tcBorders>
                    <w:left w:val="single" w:color="auto" w:sz="4" w:space="0"/>
                    <w:bottom w:val="single" w:color="auto" w:sz="4" w:space="0"/>
                    <w:right w:val="single" w:color="auto" w:sz="4" w:space="0"/>
                  </w:tcBorders>
                  <w:vAlign w:val="center"/>
                </w:tcPr>
                <w:p w14:paraId="2104F28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42.6</w:t>
                  </w:r>
                </w:p>
              </w:tc>
            </w:tr>
            <w:tr w14:paraId="3F52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642" w:type="dxa"/>
                  <w:vMerge w:val="continue"/>
                  <w:vAlign w:val="center"/>
                </w:tcPr>
                <w:p w14:paraId="1BC39E3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3A99F8E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3FEF7E7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61D3FB1D">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1C557DD9">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南厂界</w:t>
                  </w:r>
                </w:p>
              </w:tc>
              <w:tc>
                <w:tcPr>
                  <w:tcW w:w="1134" w:type="dxa"/>
                  <w:vAlign w:val="center"/>
                </w:tcPr>
                <w:p w14:paraId="16C9C068">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53.7</w:t>
                  </w:r>
                </w:p>
              </w:tc>
              <w:tc>
                <w:tcPr>
                  <w:tcW w:w="1114" w:type="dxa"/>
                  <w:tcBorders>
                    <w:left w:val="single" w:color="auto" w:sz="4" w:space="0"/>
                    <w:bottom w:val="single" w:color="auto" w:sz="4" w:space="0"/>
                    <w:right w:val="single" w:color="auto" w:sz="4" w:space="0"/>
                  </w:tcBorders>
                  <w:vAlign w:val="center"/>
                </w:tcPr>
                <w:p w14:paraId="54E70FB3">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42.3</w:t>
                  </w:r>
                </w:p>
              </w:tc>
            </w:tr>
            <w:tr w14:paraId="675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42" w:type="dxa"/>
                  <w:vMerge w:val="continue"/>
                  <w:vAlign w:val="center"/>
                </w:tcPr>
                <w:p w14:paraId="4EF61E4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52F4EB54">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18F4C551">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01427910">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6E2B1CF9">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北厂界</w:t>
                  </w:r>
                </w:p>
              </w:tc>
              <w:tc>
                <w:tcPr>
                  <w:tcW w:w="1134" w:type="dxa"/>
                  <w:vAlign w:val="center"/>
                </w:tcPr>
                <w:p w14:paraId="0703653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54.1</w:t>
                  </w:r>
                </w:p>
              </w:tc>
              <w:tc>
                <w:tcPr>
                  <w:tcW w:w="1114" w:type="dxa"/>
                  <w:tcBorders>
                    <w:left w:val="single" w:color="auto" w:sz="4" w:space="0"/>
                    <w:right w:val="single" w:color="auto" w:sz="4" w:space="0"/>
                  </w:tcBorders>
                  <w:vAlign w:val="center"/>
                </w:tcPr>
                <w:p w14:paraId="284E851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42.1</w:t>
                  </w:r>
                </w:p>
              </w:tc>
            </w:tr>
          </w:tbl>
          <w:p w14:paraId="2BFB5699">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根据监测结果，厂界噪声满足《工业企业厂界环境噪声排放标准》（GB12348-2008）2类标准。</w:t>
            </w:r>
          </w:p>
          <w:p w14:paraId="64360066">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固体废物</w:t>
            </w:r>
          </w:p>
          <w:p w14:paraId="06BA3A93">
            <w:pPr>
              <w:spacing w:line="440" w:lineRule="exact"/>
              <w:ind w:firstLine="482" w:firstLineChars="200"/>
              <w:jc w:val="left"/>
              <w:textAlignment w:val="baseline"/>
              <w:rPr>
                <w:b/>
                <w:color w:val="000000" w:themeColor="text1"/>
                <w:sz w:val="24"/>
                <w14:textFill>
                  <w14:solidFill>
                    <w14:schemeClr w14:val="tx1"/>
                  </w14:solidFill>
                </w14:textFill>
              </w:rPr>
            </w:pPr>
            <w:r>
              <w:rPr>
                <w:b/>
                <w:color w:val="000000" w:themeColor="text1"/>
                <w:sz w:val="24"/>
                <w14:textFill>
                  <w14:solidFill>
                    <w14:schemeClr w14:val="tx1"/>
                  </w14:solidFill>
                </w14:textFill>
              </w:rPr>
              <w:t>表2-</w:t>
            </w:r>
            <w:r>
              <w:rPr>
                <w:rFonts w:hint="eastAsia"/>
                <w:b/>
                <w:color w:val="000000" w:themeColor="text1"/>
                <w:sz w:val="24"/>
                <w14:textFill>
                  <w14:solidFill>
                    <w14:schemeClr w14:val="tx1"/>
                  </w14:solidFill>
                </w14:textFill>
              </w:rPr>
              <w:t>6</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项目</w:t>
            </w:r>
            <w:r>
              <w:rPr>
                <w:b/>
                <w:color w:val="000000" w:themeColor="text1"/>
                <w:sz w:val="24"/>
                <w14:textFill>
                  <w14:solidFill>
                    <w14:schemeClr w14:val="tx1"/>
                  </w14:solidFill>
                </w14:textFill>
              </w:rPr>
              <w:t>现有工程固废产生及处置情况</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4"/>
              <w:gridCol w:w="1382"/>
              <w:gridCol w:w="1546"/>
              <w:gridCol w:w="3113"/>
              <w:gridCol w:w="1223"/>
            </w:tblGrid>
            <w:tr w14:paraId="1AF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right"/>
              </w:trPr>
              <w:tc>
                <w:tcPr>
                  <w:tcW w:w="706" w:type="pct"/>
                  <w:vAlign w:val="center"/>
                </w:tcPr>
                <w:p w14:paraId="3165D3FF">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817" w:type="pct"/>
                  <w:vAlign w:val="center"/>
                </w:tcPr>
                <w:p w14:paraId="2A82B920">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污染因子</w:t>
                  </w:r>
                </w:p>
              </w:tc>
              <w:tc>
                <w:tcPr>
                  <w:tcW w:w="914" w:type="pct"/>
                  <w:vAlign w:val="center"/>
                </w:tcPr>
                <w:p w14:paraId="7404D225">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产生量</w:t>
                  </w:r>
                  <w:r>
                    <w:rPr>
                      <w:rFonts w:hint="eastAsia"/>
                      <w:color w:val="000000" w:themeColor="text1"/>
                      <w:kern w:val="0"/>
                      <w:szCs w:val="21"/>
                      <w14:textFill>
                        <w14:solidFill>
                          <w14:schemeClr w14:val="tx1"/>
                        </w14:solidFill>
                      </w14:textFill>
                    </w:rPr>
                    <w:t>（t</w:t>
                  </w:r>
                  <w:r>
                    <w:rPr>
                      <w:color w:val="000000" w:themeColor="text1"/>
                      <w:kern w:val="0"/>
                      <w:szCs w:val="21"/>
                      <w14:textFill>
                        <w14:solidFill>
                          <w14:schemeClr w14:val="tx1"/>
                        </w14:solidFill>
                      </w14:textFill>
                    </w:rPr>
                    <w:t>/a</w:t>
                  </w:r>
                  <w:r>
                    <w:rPr>
                      <w:rFonts w:hint="eastAsia"/>
                      <w:color w:val="000000" w:themeColor="text1"/>
                      <w:kern w:val="0"/>
                      <w:szCs w:val="21"/>
                      <w14:textFill>
                        <w14:solidFill>
                          <w14:schemeClr w14:val="tx1"/>
                        </w14:solidFill>
                      </w14:textFill>
                    </w:rPr>
                    <w:t>）</w:t>
                  </w:r>
                </w:p>
              </w:tc>
              <w:tc>
                <w:tcPr>
                  <w:tcW w:w="1840" w:type="pct"/>
                  <w:vAlign w:val="center"/>
                </w:tcPr>
                <w:p w14:paraId="77FEC741">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环保措施</w:t>
                  </w:r>
                </w:p>
              </w:tc>
              <w:tc>
                <w:tcPr>
                  <w:tcW w:w="723" w:type="pct"/>
                  <w:vAlign w:val="center"/>
                </w:tcPr>
                <w:p w14:paraId="042F0586">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固废类别</w:t>
                  </w:r>
                </w:p>
              </w:tc>
            </w:tr>
            <w:tr w14:paraId="2B6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right"/>
              </w:trPr>
              <w:tc>
                <w:tcPr>
                  <w:tcW w:w="706" w:type="pct"/>
                  <w:tcBorders>
                    <w:bottom w:val="single" w:color="auto" w:sz="4" w:space="0"/>
                  </w:tcBorders>
                  <w:vAlign w:val="center"/>
                </w:tcPr>
                <w:p w14:paraId="0D1C72A8">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初期雨水沉淀池</w:t>
                  </w:r>
                </w:p>
              </w:tc>
              <w:tc>
                <w:tcPr>
                  <w:tcW w:w="817" w:type="pct"/>
                  <w:tcBorders>
                    <w:bottom w:val="single" w:color="auto" w:sz="4" w:space="0"/>
                  </w:tcBorders>
                  <w:vAlign w:val="center"/>
                </w:tcPr>
                <w:p w14:paraId="176750A7">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初期雨水沉淀池底泥</w:t>
                  </w:r>
                </w:p>
              </w:tc>
              <w:tc>
                <w:tcPr>
                  <w:tcW w:w="914" w:type="pct"/>
                  <w:tcBorders>
                    <w:bottom w:val="single" w:color="auto" w:sz="4" w:space="0"/>
                  </w:tcBorders>
                  <w:vAlign w:val="center"/>
                </w:tcPr>
                <w:p w14:paraId="718DE44A">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0.5</w:t>
                  </w:r>
                </w:p>
              </w:tc>
              <w:tc>
                <w:tcPr>
                  <w:tcW w:w="1840" w:type="pct"/>
                  <w:vMerge w:val="restart"/>
                  <w:vAlign w:val="center"/>
                </w:tcPr>
                <w:p w14:paraId="6B7BF1FA">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掺入产品煤外售</w:t>
                  </w:r>
                </w:p>
              </w:tc>
              <w:tc>
                <w:tcPr>
                  <w:tcW w:w="723" w:type="pct"/>
                  <w:vMerge w:val="restart"/>
                  <w:tcBorders>
                    <w:bottom w:val="single" w:color="auto" w:sz="4" w:space="0"/>
                  </w:tcBorders>
                  <w:vAlign w:val="center"/>
                </w:tcPr>
                <w:p w14:paraId="0CFEF0D8">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一般固废</w:t>
                  </w:r>
                </w:p>
              </w:tc>
            </w:tr>
            <w:tr w14:paraId="1796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right"/>
              </w:trPr>
              <w:tc>
                <w:tcPr>
                  <w:tcW w:w="706" w:type="pct"/>
                  <w:vAlign w:val="center"/>
                </w:tcPr>
                <w:p w14:paraId="54113CE0">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循环水池沉淀池</w:t>
                  </w:r>
                </w:p>
              </w:tc>
              <w:tc>
                <w:tcPr>
                  <w:tcW w:w="817" w:type="pct"/>
                  <w:vAlign w:val="center"/>
                </w:tcPr>
                <w:p w14:paraId="345947B3">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循环水池沉淀池底泥</w:t>
                  </w:r>
                </w:p>
              </w:tc>
              <w:tc>
                <w:tcPr>
                  <w:tcW w:w="914" w:type="pct"/>
                  <w:vAlign w:val="center"/>
                </w:tcPr>
                <w:p w14:paraId="602079AA">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1.5</w:t>
                  </w:r>
                </w:p>
              </w:tc>
              <w:tc>
                <w:tcPr>
                  <w:tcW w:w="1840" w:type="pct"/>
                  <w:vMerge w:val="continue"/>
                  <w:vAlign w:val="center"/>
                </w:tcPr>
                <w:p w14:paraId="58E84E37">
                  <w:pPr>
                    <w:widowControl/>
                    <w:spacing w:line="360" w:lineRule="exact"/>
                    <w:rPr>
                      <w:color w:val="000000" w:themeColor="text1"/>
                      <w:kern w:val="0"/>
                      <w:szCs w:val="21"/>
                      <w14:textFill>
                        <w14:solidFill>
                          <w14:schemeClr w14:val="tx1"/>
                        </w14:solidFill>
                      </w14:textFill>
                    </w:rPr>
                  </w:pPr>
                </w:p>
              </w:tc>
              <w:tc>
                <w:tcPr>
                  <w:tcW w:w="723" w:type="pct"/>
                  <w:vMerge w:val="continue"/>
                  <w:vAlign w:val="center"/>
                </w:tcPr>
                <w:p w14:paraId="630D7D8D">
                  <w:pPr>
                    <w:widowControl/>
                    <w:spacing w:line="360" w:lineRule="exact"/>
                    <w:jc w:val="center"/>
                    <w:rPr>
                      <w:color w:val="000000" w:themeColor="text1"/>
                      <w:kern w:val="0"/>
                      <w:szCs w:val="21"/>
                      <w14:textFill>
                        <w14:solidFill>
                          <w14:schemeClr w14:val="tx1"/>
                        </w14:solidFill>
                      </w14:textFill>
                    </w:rPr>
                  </w:pPr>
                </w:p>
              </w:tc>
            </w:tr>
            <w:tr w14:paraId="3C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6" w:type="pct"/>
                  <w:vAlign w:val="center"/>
                </w:tcPr>
                <w:p w14:paraId="04E4ADCD">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生产工序</w:t>
                  </w:r>
                </w:p>
              </w:tc>
              <w:tc>
                <w:tcPr>
                  <w:tcW w:w="817" w:type="pct"/>
                  <w:vAlign w:val="center"/>
                </w:tcPr>
                <w:p w14:paraId="53EC3B48">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煤泥</w:t>
                  </w:r>
                </w:p>
              </w:tc>
              <w:tc>
                <w:tcPr>
                  <w:tcW w:w="914" w:type="pct"/>
                  <w:vAlign w:val="center"/>
                </w:tcPr>
                <w:p w14:paraId="28AB20A2">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12</w:t>
                  </w:r>
                  <w:r>
                    <w:rPr>
                      <w:rFonts w:hint="eastAsia"/>
                      <w:bCs/>
                      <w:color w:val="000000" w:themeColor="text1"/>
                      <w:kern w:val="0"/>
                      <w:szCs w:val="21"/>
                      <w14:textFill>
                        <w14:solidFill>
                          <w14:schemeClr w14:val="tx1"/>
                        </w14:solidFill>
                      </w14:textFill>
                    </w:rPr>
                    <w:t>万</w:t>
                  </w:r>
                </w:p>
              </w:tc>
              <w:tc>
                <w:tcPr>
                  <w:tcW w:w="1840" w:type="pct"/>
                  <w:vMerge w:val="continue"/>
                  <w:vAlign w:val="center"/>
                </w:tcPr>
                <w:p w14:paraId="480FBAC5">
                  <w:pPr>
                    <w:widowControl/>
                    <w:spacing w:line="360" w:lineRule="exact"/>
                    <w:rPr>
                      <w:color w:val="000000" w:themeColor="text1"/>
                      <w:kern w:val="0"/>
                      <w:szCs w:val="21"/>
                      <w14:textFill>
                        <w14:solidFill>
                          <w14:schemeClr w14:val="tx1"/>
                        </w14:solidFill>
                      </w14:textFill>
                    </w:rPr>
                  </w:pPr>
                </w:p>
              </w:tc>
              <w:tc>
                <w:tcPr>
                  <w:tcW w:w="723" w:type="pct"/>
                  <w:vMerge w:val="continue"/>
                  <w:vAlign w:val="center"/>
                </w:tcPr>
                <w:p w14:paraId="1E7D0231">
                  <w:pPr>
                    <w:widowControl/>
                    <w:spacing w:line="360" w:lineRule="exact"/>
                    <w:jc w:val="center"/>
                    <w:rPr>
                      <w:color w:val="000000" w:themeColor="text1"/>
                      <w:kern w:val="0"/>
                      <w:szCs w:val="21"/>
                      <w14:textFill>
                        <w14:solidFill>
                          <w14:schemeClr w14:val="tx1"/>
                        </w14:solidFill>
                      </w14:textFill>
                    </w:rPr>
                  </w:pPr>
                </w:p>
              </w:tc>
            </w:tr>
            <w:tr w14:paraId="7266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6" w:type="pct"/>
                  <w:vAlign w:val="center"/>
                </w:tcPr>
                <w:p w14:paraId="265C870A">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办公区</w:t>
                  </w:r>
                </w:p>
              </w:tc>
              <w:tc>
                <w:tcPr>
                  <w:tcW w:w="817" w:type="pct"/>
                  <w:vAlign w:val="center"/>
                </w:tcPr>
                <w:p w14:paraId="46B5600D">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生活垃圾</w:t>
                  </w:r>
                </w:p>
              </w:tc>
              <w:tc>
                <w:tcPr>
                  <w:tcW w:w="914" w:type="pct"/>
                  <w:vAlign w:val="center"/>
                </w:tcPr>
                <w:p w14:paraId="3732AF43">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2.5</w:t>
                  </w:r>
                </w:p>
              </w:tc>
              <w:tc>
                <w:tcPr>
                  <w:tcW w:w="1840" w:type="pct"/>
                  <w:vAlign w:val="center"/>
                </w:tcPr>
                <w:p w14:paraId="2E7A5D54">
                  <w:pPr>
                    <w:widowControl/>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收集后，由鄂尔多斯市新开源物业管理服务有限公司统一清运。</w:t>
                  </w:r>
                </w:p>
              </w:tc>
              <w:tc>
                <w:tcPr>
                  <w:tcW w:w="723" w:type="pct"/>
                  <w:vAlign w:val="center"/>
                </w:tcPr>
                <w:p w14:paraId="275B3E01">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bl>
          <w:p w14:paraId="3640DF06">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4、现有工程主要污染物排放情况</w:t>
            </w:r>
          </w:p>
          <w:p w14:paraId="71B8C7BD">
            <w:pPr>
              <w:spacing w:line="440" w:lineRule="exact"/>
              <w:ind w:firstLine="480" w:firstLineChars="200"/>
              <w:rPr>
                <w:bCs/>
                <w:color w:val="000000" w:themeColor="text1"/>
                <w:kern w:val="0"/>
                <w:sz w:val="24"/>
                <w14:textFill>
                  <w14:solidFill>
                    <w14:schemeClr w14:val="tx1"/>
                  </w14:solidFill>
                </w14:textFill>
              </w:rPr>
            </w:pPr>
            <w:bookmarkStart w:id="11" w:name="_Ref365390277"/>
            <w:r>
              <w:rPr>
                <w:rFonts w:hint="eastAsia"/>
                <w:bCs/>
                <w:color w:val="000000" w:themeColor="text1"/>
                <w:kern w:val="0"/>
                <w:sz w:val="24"/>
                <w14:textFill>
                  <w14:solidFill>
                    <w14:schemeClr w14:val="tx1"/>
                  </w14:solidFill>
                </w14:textFill>
              </w:rPr>
              <w:t>项目现有工程全厂主要污染物排放情况一览表见表</w:t>
            </w:r>
            <w:r>
              <w:rPr>
                <w:bCs/>
                <w:color w:val="000000" w:themeColor="text1"/>
                <w:kern w:val="0"/>
                <w:sz w:val="24"/>
                <w14:textFill>
                  <w14:solidFill>
                    <w14:schemeClr w14:val="tx1"/>
                  </w14:solidFill>
                </w14:textFill>
              </w:rPr>
              <w:t>2-</w:t>
            </w:r>
            <w:r>
              <w:rPr>
                <w:rFonts w:hint="eastAsia"/>
                <w:bCs/>
                <w:color w:val="000000" w:themeColor="text1"/>
                <w:kern w:val="0"/>
                <w:sz w:val="24"/>
                <w14:textFill>
                  <w14:solidFill>
                    <w14:schemeClr w14:val="tx1"/>
                  </w14:solidFill>
                </w14:textFill>
              </w:rPr>
              <w:t>7。</w:t>
            </w:r>
          </w:p>
          <w:p w14:paraId="58D38057">
            <w:pPr>
              <w:spacing w:line="440" w:lineRule="exact"/>
              <w:ind w:firstLine="482" w:firstLineChars="200"/>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表2-</w:t>
            </w:r>
            <w:r>
              <w:rPr>
                <w:rFonts w:hint="eastAsia"/>
                <w:b/>
                <w:color w:val="000000" w:themeColor="text1"/>
                <w:kern w:val="0"/>
                <w:sz w:val="24"/>
                <w14:textFill>
                  <w14:solidFill>
                    <w14:schemeClr w14:val="tx1"/>
                  </w14:solidFill>
                </w14:textFill>
              </w:rPr>
              <w:t>7</w:t>
            </w:r>
            <w:r>
              <w:rPr>
                <w:b/>
                <w:color w:val="000000" w:themeColor="text1"/>
                <w:kern w:val="0"/>
                <w:sz w:val="24"/>
                <w14:textFill>
                  <w14:solidFill>
                    <w14:schemeClr w14:val="tx1"/>
                  </w14:solidFill>
                </w14:textFill>
              </w:rPr>
              <w:t xml:space="preserve">  </w:t>
            </w:r>
            <w:r>
              <w:rPr>
                <w:rFonts w:hint="eastAsia"/>
                <w:b/>
                <w:color w:val="000000" w:themeColor="text1"/>
                <w:kern w:val="0"/>
                <w:sz w:val="24"/>
                <w14:textFill>
                  <w14:solidFill>
                    <w14:schemeClr w14:val="tx1"/>
                  </w14:solidFill>
                </w14:textFill>
              </w:rPr>
              <w:t xml:space="preserve"> </w:t>
            </w:r>
            <w:r>
              <w:rPr>
                <w:b/>
                <w:color w:val="000000" w:themeColor="text1"/>
                <w:kern w:val="0"/>
                <w:sz w:val="24"/>
                <w14:textFill>
                  <w14:solidFill>
                    <w14:schemeClr w14:val="tx1"/>
                  </w14:solidFill>
                </w14:textFill>
              </w:rPr>
              <w:t xml:space="preserve">  现有工程主要污染物排放一览表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78"/>
              <w:gridCol w:w="2394"/>
              <w:gridCol w:w="2394"/>
              <w:gridCol w:w="2392"/>
            </w:tblGrid>
            <w:tr w14:paraId="03A7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Align w:val="center"/>
                </w:tcPr>
                <w:p w14:paraId="44EF6BFD">
                  <w:pPr>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污染种类</w:t>
                  </w:r>
                </w:p>
              </w:tc>
              <w:tc>
                <w:tcPr>
                  <w:tcW w:w="1415" w:type="pct"/>
                  <w:vAlign w:val="center"/>
                </w:tcPr>
                <w:p w14:paraId="300E8F58">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污染物名称</w:t>
                  </w:r>
                </w:p>
              </w:tc>
              <w:tc>
                <w:tcPr>
                  <w:tcW w:w="1415" w:type="pct"/>
                  <w:vAlign w:val="center"/>
                </w:tcPr>
                <w:p w14:paraId="399DF2EB">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排放量（t/a）</w:t>
                  </w:r>
                </w:p>
              </w:tc>
              <w:tc>
                <w:tcPr>
                  <w:tcW w:w="1414" w:type="pct"/>
                </w:tcPr>
                <w:p w14:paraId="7B7CF3F0">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数据来源</w:t>
                  </w:r>
                </w:p>
              </w:tc>
            </w:tr>
            <w:tr w14:paraId="252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6" w:type="pct"/>
                  <w:vAlign w:val="center"/>
                </w:tcPr>
                <w:p w14:paraId="430888F4">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1415" w:type="pct"/>
                  <w:vAlign w:val="center"/>
                </w:tcPr>
                <w:p w14:paraId="397ACFDC">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415" w:type="pct"/>
                  <w:tcBorders>
                    <w:top w:val="single" w:color="auto" w:sz="4" w:space="0"/>
                    <w:left w:val="single" w:color="auto" w:sz="4" w:space="0"/>
                    <w:right w:val="single" w:color="auto" w:sz="4" w:space="0"/>
                  </w:tcBorders>
                  <w:vAlign w:val="center"/>
                </w:tcPr>
                <w:p w14:paraId="3784EEE2">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3.05</w:t>
                  </w:r>
                </w:p>
              </w:tc>
              <w:tc>
                <w:tcPr>
                  <w:tcW w:w="1414" w:type="pct"/>
                  <w:vAlign w:val="center"/>
                </w:tcPr>
                <w:p w14:paraId="35F578E8">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现有环评中核算的无组织颗粒物排放量</w:t>
                  </w:r>
                </w:p>
              </w:tc>
            </w:tr>
            <w:tr w14:paraId="026E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restart"/>
                  <w:vAlign w:val="center"/>
                </w:tcPr>
                <w:p w14:paraId="2B421628">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废水</w:t>
                  </w:r>
                </w:p>
              </w:tc>
              <w:tc>
                <w:tcPr>
                  <w:tcW w:w="1415" w:type="pct"/>
                  <w:vAlign w:val="center"/>
                </w:tcPr>
                <w:p w14:paraId="2158B927">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COD</w:t>
                  </w:r>
                </w:p>
              </w:tc>
              <w:tc>
                <w:tcPr>
                  <w:tcW w:w="1415" w:type="pct"/>
                  <w:vAlign w:val="center"/>
                </w:tcPr>
                <w:p w14:paraId="63C3BE9E">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414" w:type="pct"/>
                  <w:vAlign w:val="center"/>
                </w:tcPr>
                <w:p w14:paraId="6774AF1A">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r>
            <w:tr w14:paraId="04BB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continue"/>
                  <w:vAlign w:val="center"/>
                </w:tcPr>
                <w:p w14:paraId="62737159">
                  <w:pPr>
                    <w:widowControl/>
                    <w:adjustRightInd w:val="0"/>
                    <w:snapToGrid w:val="0"/>
                    <w:spacing w:line="340" w:lineRule="exact"/>
                    <w:ind w:firstLine="420" w:firstLineChars="200"/>
                    <w:jc w:val="center"/>
                    <w:rPr>
                      <w:color w:val="000000" w:themeColor="text1"/>
                      <w:kern w:val="0"/>
                      <w:szCs w:val="21"/>
                      <w14:textFill>
                        <w14:solidFill>
                          <w14:schemeClr w14:val="tx1"/>
                        </w14:solidFill>
                      </w14:textFill>
                    </w:rPr>
                  </w:pPr>
                </w:p>
              </w:tc>
              <w:tc>
                <w:tcPr>
                  <w:tcW w:w="1415" w:type="pct"/>
                  <w:vAlign w:val="center"/>
                </w:tcPr>
                <w:p w14:paraId="01D04173">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1415" w:type="pct"/>
                  <w:vAlign w:val="center"/>
                </w:tcPr>
                <w:p w14:paraId="2D6B824A">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414" w:type="pct"/>
                  <w:vAlign w:val="center"/>
                </w:tcPr>
                <w:p w14:paraId="10721C7E">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r>
            <w:bookmarkEnd w:id="11"/>
          </w:tbl>
          <w:p w14:paraId="31398E33">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5、现有工程总量控制指标</w:t>
            </w:r>
          </w:p>
          <w:p w14:paraId="08110F20">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现有工程污染物总量指标为：</w:t>
            </w:r>
          </w:p>
          <w:p w14:paraId="117DF4E0">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SO</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t/a</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NO</w:t>
            </w:r>
            <w:r>
              <w:rPr>
                <w:color w:val="000000" w:themeColor="text1"/>
                <w:sz w:val="24"/>
                <w:vertAlign w:val="subscript"/>
                <w14:textFill>
                  <w14:solidFill>
                    <w14:schemeClr w14:val="tx1"/>
                  </w14:solidFill>
                </w14:textFill>
              </w:rPr>
              <w:t>x</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t/a</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COD：0t/a</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NH</w:t>
            </w:r>
            <w:r>
              <w:rPr>
                <w:color w:val="000000" w:themeColor="text1"/>
                <w:sz w:val="24"/>
                <w:vertAlign w:val="subscript"/>
                <w14:textFill>
                  <w14:solidFill>
                    <w14:schemeClr w14:val="tx1"/>
                  </w14:solidFill>
                </w14:textFill>
              </w:rPr>
              <w:t>3</w:t>
            </w:r>
            <w:r>
              <w:rPr>
                <w:color w:val="000000" w:themeColor="text1"/>
                <w:sz w:val="24"/>
                <w14:textFill>
                  <w14:solidFill>
                    <w14:schemeClr w14:val="tx1"/>
                  </w14:solidFill>
                </w14:textFill>
              </w:rPr>
              <w:t>-N：0t/a</w:t>
            </w:r>
            <w:r>
              <w:rPr>
                <w:rFonts w:hint="eastAsia"/>
                <w:color w:val="000000" w:themeColor="text1"/>
                <w:sz w:val="24"/>
                <w14:textFill>
                  <w14:solidFill>
                    <w14:schemeClr w14:val="tx1"/>
                  </w14:solidFill>
                </w14:textFill>
              </w:rPr>
              <w:t>。</w:t>
            </w:r>
          </w:p>
          <w:p w14:paraId="2827FC55">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6、现有工程存在的环保问题</w:t>
            </w:r>
          </w:p>
          <w:p w14:paraId="7468187E">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本次评价对现有工程已采取环保措施情况进行梳理，存在问题的已按要求提出相应整改要求。</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5"/>
              <w:gridCol w:w="1561"/>
              <w:gridCol w:w="3820"/>
              <w:gridCol w:w="1421"/>
              <w:gridCol w:w="1111"/>
            </w:tblGrid>
            <w:tr w14:paraId="04BF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58808778">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序号</w:t>
                  </w:r>
                </w:p>
              </w:tc>
              <w:tc>
                <w:tcPr>
                  <w:tcW w:w="923" w:type="pct"/>
                  <w:vAlign w:val="center"/>
                </w:tcPr>
                <w:p w14:paraId="55D9DD6F">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现有环保措施</w:t>
                  </w:r>
                </w:p>
              </w:tc>
              <w:tc>
                <w:tcPr>
                  <w:tcW w:w="2258" w:type="pct"/>
                </w:tcPr>
                <w:p w14:paraId="2210D92C">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照片</w:t>
                  </w:r>
                </w:p>
              </w:tc>
              <w:tc>
                <w:tcPr>
                  <w:tcW w:w="840" w:type="pct"/>
                  <w:vAlign w:val="center"/>
                </w:tcPr>
                <w:p w14:paraId="7B682B65">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是否存在问题</w:t>
                  </w:r>
                </w:p>
              </w:tc>
              <w:tc>
                <w:tcPr>
                  <w:tcW w:w="657" w:type="pct"/>
                  <w:vAlign w:val="center"/>
                </w:tcPr>
                <w:p w14:paraId="6655CDA8">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整改措施</w:t>
                  </w:r>
                </w:p>
              </w:tc>
            </w:tr>
            <w:tr w14:paraId="5DEB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4359CB82">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p>
              </w:tc>
              <w:tc>
                <w:tcPr>
                  <w:tcW w:w="923" w:type="pct"/>
                  <w:vAlign w:val="center"/>
                </w:tcPr>
                <w:p w14:paraId="66E11CE8">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项目煤棚均为全密闭煤棚</w:t>
                  </w:r>
                </w:p>
              </w:tc>
              <w:tc>
                <w:tcPr>
                  <w:tcW w:w="2258" w:type="pct"/>
                </w:tcPr>
                <w:p w14:paraId="651ED29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312035" cy="1733550"/>
                        <wp:effectExtent l="0" t="0" r="0" b="0"/>
                        <wp:docPr id="63314747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47476" name="图片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328188" cy="1745351"/>
                                </a:xfrm>
                                <a:prstGeom prst="rect">
                                  <a:avLst/>
                                </a:prstGeom>
                                <a:noFill/>
                                <a:ln>
                                  <a:noFill/>
                                </a:ln>
                              </pic:spPr>
                            </pic:pic>
                          </a:graphicData>
                        </a:graphic>
                      </wp:inline>
                    </w:drawing>
                  </w:r>
                </w:p>
              </w:tc>
              <w:tc>
                <w:tcPr>
                  <w:tcW w:w="840" w:type="pct"/>
                  <w:vAlign w:val="center"/>
                </w:tcPr>
                <w:p w14:paraId="6A81AA51">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 xml:space="preserve">是，储煤棚破损未封闭严密 </w:t>
                  </w:r>
                </w:p>
              </w:tc>
              <w:tc>
                <w:tcPr>
                  <w:tcW w:w="657" w:type="pct"/>
                  <w:vAlign w:val="center"/>
                </w:tcPr>
                <w:p w14:paraId="0B6FDFDD">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对破损的煤棚进行重新修补</w:t>
                  </w:r>
                </w:p>
              </w:tc>
            </w:tr>
            <w:tr w14:paraId="57C3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A28DBB4">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p>
              </w:tc>
              <w:tc>
                <w:tcPr>
                  <w:tcW w:w="923" w:type="pct"/>
                  <w:vAlign w:val="center"/>
                </w:tcPr>
                <w:p w14:paraId="4C816022">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厂内煤炭通过皮带进行输送，已建设全密闭输送廊道</w:t>
                  </w:r>
                </w:p>
              </w:tc>
              <w:tc>
                <w:tcPr>
                  <w:tcW w:w="2258" w:type="pct"/>
                </w:tcPr>
                <w:p w14:paraId="1A51C6BB">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304415" cy="1752600"/>
                        <wp:effectExtent l="0" t="0" r="635" b="0"/>
                        <wp:docPr id="19597117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11729" name="图片 1"/>
                                <pic:cNvPicPr>
                                  <a:picLocks noChangeAspect="1"/>
                                </pic:cNvPicPr>
                              </pic:nvPicPr>
                              <pic:blipFill>
                                <a:blip r:embed="rId13"/>
                                <a:stretch>
                                  <a:fillRect/>
                                </a:stretch>
                              </pic:blipFill>
                              <pic:spPr>
                                <a:xfrm>
                                  <a:off x="0" y="0"/>
                                  <a:ext cx="2314020" cy="1759558"/>
                                </a:xfrm>
                                <a:prstGeom prst="rect">
                                  <a:avLst/>
                                </a:prstGeom>
                              </pic:spPr>
                            </pic:pic>
                          </a:graphicData>
                        </a:graphic>
                      </wp:inline>
                    </w:drawing>
                  </w:r>
                </w:p>
              </w:tc>
              <w:tc>
                <w:tcPr>
                  <w:tcW w:w="840" w:type="pct"/>
                  <w:vAlign w:val="center"/>
                </w:tcPr>
                <w:p w14:paraId="4E41A742">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47BA7913">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445C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0931E840">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p>
              </w:tc>
              <w:tc>
                <w:tcPr>
                  <w:tcW w:w="923" w:type="pct"/>
                  <w:vAlign w:val="center"/>
                </w:tcPr>
                <w:p w14:paraId="5AA78BAE">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各煤棚顶部设置喷淋设施进行抑尘</w:t>
                  </w:r>
                </w:p>
              </w:tc>
              <w:tc>
                <w:tcPr>
                  <w:tcW w:w="2258" w:type="pct"/>
                </w:tcPr>
                <w:p w14:paraId="68A6876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291080" cy="1717675"/>
                        <wp:effectExtent l="0" t="0" r="0" b="0"/>
                        <wp:docPr id="171259470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94702" name="图片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298615" cy="1723182"/>
                                </a:xfrm>
                                <a:prstGeom prst="rect">
                                  <a:avLst/>
                                </a:prstGeom>
                                <a:noFill/>
                                <a:ln>
                                  <a:noFill/>
                                </a:ln>
                              </pic:spPr>
                            </pic:pic>
                          </a:graphicData>
                        </a:graphic>
                      </wp:inline>
                    </w:drawing>
                  </w:r>
                </w:p>
              </w:tc>
              <w:tc>
                <w:tcPr>
                  <w:tcW w:w="840" w:type="pct"/>
                  <w:vAlign w:val="center"/>
                </w:tcPr>
                <w:p w14:paraId="57A53130">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775CF62B">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01E7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91ED212">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w:t>
                  </w:r>
                </w:p>
              </w:tc>
              <w:tc>
                <w:tcPr>
                  <w:tcW w:w="923" w:type="pct"/>
                  <w:vAlign w:val="center"/>
                </w:tcPr>
                <w:p w14:paraId="6E6DCDC2">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现有受煤坑密闭，车间内配备喷淋设施抑尘</w:t>
                  </w:r>
                </w:p>
              </w:tc>
              <w:tc>
                <w:tcPr>
                  <w:tcW w:w="2258" w:type="pct"/>
                </w:tcPr>
                <w:p w14:paraId="057B87C9">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273935" cy="1704340"/>
                        <wp:effectExtent l="0" t="0" r="0" b="0"/>
                        <wp:docPr id="27323523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35239" name="图片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288336" cy="1715477"/>
                                </a:xfrm>
                                <a:prstGeom prst="rect">
                                  <a:avLst/>
                                </a:prstGeom>
                                <a:noFill/>
                                <a:ln>
                                  <a:noFill/>
                                </a:ln>
                              </pic:spPr>
                            </pic:pic>
                          </a:graphicData>
                        </a:graphic>
                      </wp:inline>
                    </w:drawing>
                  </w:r>
                </w:p>
              </w:tc>
              <w:tc>
                <w:tcPr>
                  <w:tcW w:w="840" w:type="pct"/>
                  <w:vAlign w:val="center"/>
                </w:tcPr>
                <w:p w14:paraId="6F14EAAE">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107C0C0D">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6006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16CAAA83">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5</w:t>
                  </w:r>
                </w:p>
              </w:tc>
              <w:tc>
                <w:tcPr>
                  <w:tcW w:w="923" w:type="pct"/>
                  <w:vAlign w:val="center"/>
                </w:tcPr>
                <w:p w14:paraId="77FC211B">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煤棚内地面已进行水泥硬化措施</w:t>
                  </w:r>
                </w:p>
              </w:tc>
              <w:tc>
                <w:tcPr>
                  <w:tcW w:w="2258" w:type="pct"/>
                  <w:vAlign w:val="center"/>
                </w:tcPr>
                <w:p w14:paraId="1E8EFE8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270125" cy="1701800"/>
                        <wp:effectExtent l="0" t="0" r="0" b="0"/>
                        <wp:docPr id="26013393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33938" name="图片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277498" cy="1707351"/>
                                </a:xfrm>
                                <a:prstGeom prst="rect">
                                  <a:avLst/>
                                </a:prstGeom>
                                <a:noFill/>
                                <a:ln>
                                  <a:noFill/>
                                </a:ln>
                              </pic:spPr>
                            </pic:pic>
                          </a:graphicData>
                        </a:graphic>
                      </wp:inline>
                    </w:drawing>
                  </w:r>
                </w:p>
              </w:tc>
              <w:tc>
                <w:tcPr>
                  <w:tcW w:w="840" w:type="pct"/>
                  <w:vAlign w:val="center"/>
                </w:tcPr>
                <w:p w14:paraId="6EC71BF1">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是，车间地面虽已进行一般地面水泥硬化，但由于企业已运行</w:t>
                  </w:r>
                  <w:r>
                    <w:rPr>
                      <w:rFonts w:hint="eastAsia"/>
                      <w:bCs/>
                      <w:color w:val="000000" w:themeColor="text1"/>
                      <w:szCs w:val="21"/>
                      <w:lang w:eastAsia="zh-CN"/>
                      <w14:textFill>
                        <w14:solidFill>
                          <w14:schemeClr w14:val="tx1"/>
                        </w14:solidFill>
                      </w14:textFill>
                    </w:rPr>
                    <w:t>多年</w:t>
                  </w:r>
                  <w:r>
                    <w:rPr>
                      <w:rFonts w:hint="eastAsia"/>
                      <w:bCs/>
                      <w:color w:val="000000" w:themeColor="text1"/>
                      <w:szCs w:val="21"/>
                      <w14:textFill>
                        <w14:solidFill>
                          <w14:schemeClr w14:val="tx1"/>
                        </w14:solidFill>
                      </w14:textFill>
                    </w:rPr>
                    <w:t xml:space="preserve">，煤棚内地面上已覆盖一层较厚的煤灰 </w:t>
                  </w:r>
                </w:p>
              </w:tc>
              <w:tc>
                <w:tcPr>
                  <w:tcW w:w="657" w:type="pct"/>
                  <w:vAlign w:val="center"/>
                </w:tcPr>
                <w:p w14:paraId="6787CE68">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及时对地面内煤灰进行清理</w:t>
                  </w:r>
                </w:p>
              </w:tc>
            </w:tr>
          </w:tbl>
          <w:p w14:paraId="503CDD9C">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4A0E8C94">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2B33DA9D">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7F56927F">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7BFD72ED">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344DB396">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2E425810">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0B80B1E7">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19808C15">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2F604FCC">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2540D633">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40A01C6E">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282732B2">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043C8C9F">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21EB7021">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1B055A94">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77EF7F1C">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3AADF462">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164CB84E">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60395696">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12BBA5F7">
            <w:pPr>
              <w:adjustRightInd w:val="0"/>
              <w:snapToGrid w:val="0"/>
              <w:spacing w:line="440" w:lineRule="exact"/>
              <w:rPr>
                <w:rFonts w:hint="eastAsia" w:ascii="宋体" w:hAnsi="宋体"/>
                <w:bCs/>
                <w:color w:val="000000" w:themeColor="text1"/>
                <w:sz w:val="24"/>
                <w14:textFill>
                  <w14:solidFill>
                    <w14:schemeClr w14:val="tx1"/>
                  </w14:solidFill>
                </w14:textFill>
              </w:rPr>
            </w:pPr>
          </w:p>
          <w:p w14:paraId="43DAB6AB">
            <w:pPr>
              <w:adjustRightInd w:val="0"/>
              <w:snapToGrid w:val="0"/>
              <w:spacing w:line="440" w:lineRule="exact"/>
              <w:rPr>
                <w:rFonts w:hint="eastAsia" w:ascii="宋体" w:hAnsi="宋体"/>
                <w:bCs/>
                <w:color w:val="000000" w:themeColor="text1"/>
                <w:sz w:val="24"/>
                <w14:textFill>
                  <w14:solidFill>
                    <w14:schemeClr w14:val="tx1"/>
                  </w14:solidFill>
                </w14:textFill>
              </w:rPr>
            </w:pPr>
          </w:p>
        </w:tc>
      </w:tr>
    </w:tbl>
    <w:p w14:paraId="1319B2EA">
      <w:pPr>
        <w:pStyle w:val="22"/>
        <w:jc w:val="center"/>
        <w:rPr>
          <w:rFonts w:hint="eastAsia" w:ascii="黑体" w:hAnsi="黑体" w:eastAsia="黑体"/>
          <w:snapToGrid w:val="0"/>
          <w:color w:val="000000" w:themeColor="text1"/>
          <w:sz w:val="36"/>
          <w:szCs w:val="36"/>
          <w14:textFill>
            <w14:solidFill>
              <w14:schemeClr w14:val="tx1"/>
            </w14:solidFill>
          </w14:textFill>
        </w:rPr>
        <w:sectPr>
          <w:footerReference r:id="rId5" w:type="default"/>
          <w:footerReference r:id="rId6" w:type="even"/>
          <w:pgSz w:w="11906" w:h="16838"/>
          <w:pgMar w:top="1701" w:right="1531" w:bottom="1701" w:left="1531" w:header="851" w:footer="851" w:gutter="0"/>
          <w:cols w:space="720" w:num="1"/>
          <w:docGrid w:linePitch="312" w:charSpace="0"/>
        </w:sectPr>
      </w:pPr>
    </w:p>
    <w:p w14:paraId="5BF184BC">
      <w:pPr>
        <w:pStyle w:val="22"/>
        <w:adjustRightInd w:val="0"/>
        <w:snapToGrid w:val="0"/>
        <w:spacing w:before="0" w:beforeAutospacing="0" w:after="0" w:afterAutospacing="0" w:line="15" w:lineRule="auto"/>
        <w:jc w:val="center"/>
        <w:rPr>
          <w:rFonts w:hint="eastAsia" w:ascii="黑体" w:hAnsi="黑体" w:eastAsia="黑体"/>
          <w:snapToGrid w:val="0"/>
          <w:color w:val="000000" w:themeColor="text1"/>
          <w:sz w:val="30"/>
          <w:szCs w:val="30"/>
          <w14:textFill>
            <w14:solidFill>
              <w14:schemeClr w14:val="tx1"/>
            </w14:solidFill>
          </w14:textFill>
        </w:rPr>
      </w:pPr>
    </w:p>
    <w:p w14:paraId="5B7E164F">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19F60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41" w:hRule="atLeast"/>
          <w:jc w:val="center"/>
        </w:trPr>
        <w:tc>
          <w:tcPr>
            <w:tcW w:w="800" w:type="dxa"/>
            <w:vAlign w:val="center"/>
          </w:tcPr>
          <w:p w14:paraId="0F2AB1C3">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区域</w:t>
            </w:r>
          </w:p>
          <w:p w14:paraId="73F2503E">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31FD4286">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质量</w:t>
            </w:r>
          </w:p>
          <w:p w14:paraId="5BEDED03">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现状</w:t>
            </w:r>
          </w:p>
        </w:tc>
        <w:tc>
          <w:tcPr>
            <w:tcW w:w="8190" w:type="dxa"/>
          </w:tcPr>
          <w:p w14:paraId="51AA803A">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1、区域环境质量现状</w:t>
            </w:r>
          </w:p>
          <w:p w14:paraId="15061FBE">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环境空气质量现状</w:t>
            </w:r>
          </w:p>
          <w:p w14:paraId="26FC7A5E">
            <w:pPr>
              <w:pStyle w:val="60"/>
              <w:adjustRightInd/>
              <w:spacing w:before="0" w:after="0" w:line="440" w:lineRule="exact"/>
              <w:ind w:firstLine="480" w:firstLineChars="200"/>
              <w:jc w:val="both"/>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环境空气质量达标区判定</w:t>
            </w:r>
          </w:p>
          <w:p w14:paraId="3EEF206C">
            <w:pPr>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w:t>
            </w:r>
            <w:r>
              <w:rPr>
                <w:rFonts w:hint="eastAsia"/>
                <w:color w:val="000000" w:themeColor="text1"/>
                <w:sz w:val="24"/>
                <w14:textFill>
                  <w14:solidFill>
                    <w14:schemeClr w14:val="tx1"/>
                  </w14:solidFill>
                </w14:textFill>
              </w:rPr>
              <w:t>2024年内蒙古自治区生态环境状况公报</w:t>
            </w:r>
            <w:r>
              <w:rPr>
                <w:color w:val="000000" w:themeColor="text1"/>
                <w:sz w:val="24"/>
                <w14:textFill>
                  <w14:solidFill>
                    <w14:schemeClr w14:val="tx1"/>
                  </w14:solidFill>
                </w14:textFill>
              </w:rPr>
              <w:t>》</w:t>
            </w:r>
            <w:bookmarkStart w:id="12" w:name="_Hlk163495324"/>
            <w:r>
              <w:rPr>
                <w:rFonts w:hint="eastAsia"/>
                <w:color w:val="000000" w:themeColor="text1"/>
                <w:sz w:val="24"/>
                <w14:textFill>
                  <w14:solidFill>
                    <w14:schemeClr w14:val="tx1"/>
                  </w14:solidFill>
                </w14:textFill>
              </w:rPr>
              <w:t>， 2024年，全区环境空气六项污染物年均浓度均达标。项目位于鄂尔多斯市伊金霍洛旗，属于</w:t>
            </w:r>
            <w:r>
              <w:rPr>
                <w:color w:val="000000" w:themeColor="text1"/>
                <w:sz w:val="24"/>
                <w14:textFill>
                  <w14:solidFill>
                    <w14:schemeClr w14:val="tx1"/>
                  </w14:solidFill>
                </w14:textFill>
              </w:rPr>
              <w:t>环境空气质量达标区</w:t>
            </w:r>
            <w:r>
              <w:rPr>
                <w:rFonts w:hint="eastAsia"/>
                <w:color w:val="000000" w:themeColor="text1"/>
                <w:sz w:val="24"/>
                <w14:textFill>
                  <w14:solidFill>
                    <w14:schemeClr w14:val="tx1"/>
                  </w14:solidFill>
                </w14:textFill>
              </w:rPr>
              <w:t>。</w:t>
            </w:r>
          </w:p>
          <w:p w14:paraId="2BB9A177">
            <w:pPr>
              <w:pStyle w:val="60"/>
              <w:adjustRightInd/>
              <w:spacing w:before="0" w:after="0" w:line="440" w:lineRule="exact"/>
              <w:ind w:firstLine="480" w:firstLineChars="200"/>
              <w:jc w:val="both"/>
              <w:rPr>
                <w:color w:val="000000" w:themeColor="text1"/>
                <w:kern w:val="2"/>
                <w:sz w:val="24"/>
                <w14:textFill>
                  <w14:solidFill>
                    <w14:schemeClr w14:val="tx1"/>
                  </w14:solidFill>
                </w14:textFill>
              </w:rPr>
            </w:pPr>
            <w:r>
              <w:rPr>
                <w:rFonts w:hint="eastAsia" w:ascii="宋体" w:hAnsi="宋体" w:cs="宋体"/>
                <w:color w:val="000000" w:themeColor="text1"/>
                <w:kern w:val="2"/>
                <w:sz w:val="24"/>
                <w14:textFill>
                  <w14:solidFill>
                    <w14:schemeClr w14:val="tx1"/>
                  </w14:solidFill>
                </w14:textFill>
              </w:rPr>
              <w:t>②</w:t>
            </w:r>
            <w:r>
              <w:rPr>
                <w:color w:val="000000" w:themeColor="text1"/>
                <w:kern w:val="2"/>
                <w:sz w:val="24"/>
                <w14:textFill>
                  <w14:solidFill>
                    <w14:schemeClr w14:val="tx1"/>
                  </w14:solidFill>
                </w14:textFill>
              </w:rPr>
              <w:t>其他污染物环境质量现状监测</w:t>
            </w:r>
          </w:p>
          <w:p w14:paraId="0B7411FF">
            <w:pPr>
              <w:pStyle w:val="62"/>
              <w:widowControl/>
              <w:numPr>
                <w:ilvl w:val="0"/>
                <w:numId w:val="3"/>
              </w:numPr>
              <w:adjustRightInd/>
              <w:spacing w:line="440" w:lineRule="exact"/>
              <w:ind w:firstLine="480" w:firstLineChars="200"/>
              <w:textAlignment w:val="auto"/>
              <w:rPr>
                <w:rFonts w:ascii="Times New Roman" w:hAnsi="Times New Roman" w:eastAsia="宋体"/>
                <w:color w:val="000000" w:themeColor="text1"/>
                <w:kern w:val="2"/>
                <w14:textFill>
                  <w14:solidFill>
                    <w14:schemeClr w14:val="tx1"/>
                  </w14:solidFill>
                </w14:textFill>
              </w:rPr>
            </w:pPr>
            <w:r>
              <w:rPr>
                <w:rFonts w:hint="eastAsia" w:ascii="Times New Roman" w:hAnsi="Times New Roman" w:eastAsia="宋体"/>
                <w:color w:val="000000" w:themeColor="text1"/>
                <w:kern w:val="2"/>
                <w14:textFill>
                  <w14:solidFill>
                    <w14:schemeClr w14:val="tx1"/>
                  </w14:solidFill>
                </w14:textFill>
              </w:rPr>
              <w:t>监测点位及因子</w:t>
            </w:r>
          </w:p>
          <w:p w14:paraId="7EE32D36">
            <w:pPr>
              <w:pStyle w:val="62"/>
              <w:widowControl/>
              <w:adjustRightInd/>
              <w:spacing w:line="440" w:lineRule="exact"/>
              <w:ind w:firstLine="480" w:firstLineChars="200"/>
              <w:textAlignment w:val="auto"/>
              <w:rPr>
                <w:rFonts w:ascii="Times New Roman" w:hAnsi="Times New Roman" w:eastAsia="宋体"/>
                <w:color w:val="000000" w:themeColor="text1"/>
                <w:kern w:val="2"/>
                <w14:textFill>
                  <w14:solidFill>
                    <w14:schemeClr w14:val="tx1"/>
                  </w14:solidFill>
                </w14:textFill>
              </w:rPr>
            </w:pPr>
            <w:r>
              <w:rPr>
                <w:rFonts w:hint="eastAsia" w:ascii="Times New Roman" w:hAnsi="Times New Roman" w:eastAsia="宋体"/>
                <w:color w:val="000000" w:themeColor="text1"/>
                <w:kern w:val="2"/>
                <w14:textFill>
                  <w14:solidFill>
                    <w14:schemeClr w14:val="tx1"/>
                  </w14:solidFill>
                </w14:textFill>
              </w:rPr>
              <w:t>TSP</w:t>
            </w:r>
            <w:r>
              <w:rPr>
                <w:rFonts w:ascii="Times New Roman" w:hAnsi="Times New Roman" w:eastAsia="宋体"/>
                <w:color w:val="000000" w:themeColor="text1"/>
                <w:kern w:val="2"/>
                <w14:textFill>
                  <w14:solidFill>
                    <w14:schemeClr w14:val="tx1"/>
                  </w14:solidFill>
                </w14:textFill>
              </w:rPr>
              <w:t>监测数据</w:t>
            </w:r>
            <w:bookmarkStart w:id="13" w:name="_Hlk163495343"/>
            <w:r>
              <w:rPr>
                <w:rFonts w:hint="eastAsia" w:ascii="Times New Roman" w:hAnsi="Times New Roman" w:eastAsia="宋体"/>
                <w:color w:val="000000" w:themeColor="text1"/>
                <w:kern w:val="2"/>
                <w14:textFill>
                  <w14:solidFill>
                    <w14:schemeClr w14:val="tx1"/>
                  </w14:solidFill>
                </w14:textFill>
              </w:rPr>
              <w:t>引用《河南国龙矿业建设有限公司马泰壕煤矿配套混凝土搅拌站项目环境质量现状监测报告》（ZM250324541K）中监测数据，由内蒙古泽铭技术检测有限公司进行监测，监测时间为2025年3月23日-3月25日，监测点位于本项目厂区西南2.2km处。</w:t>
            </w:r>
            <w:bookmarkEnd w:id="13"/>
            <w:r>
              <w:rPr>
                <w:rFonts w:ascii="Times New Roman" w:hAnsi="Times New Roman" w:eastAsia="宋体"/>
                <w:color w:val="000000" w:themeColor="text1"/>
                <w:kern w:val="2"/>
                <w14:textFill>
                  <w14:solidFill>
                    <w14:schemeClr w14:val="tx1"/>
                  </w14:solidFill>
                </w14:textFill>
              </w:rPr>
              <w:t>其监测点位、监测因子与数据时效性均满足要求，监测数据有效。</w:t>
            </w:r>
            <w:r>
              <w:rPr>
                <w:rFonts w:hint="eastAsia" w:ascii="Times New Roman" w:hAnsi="Times New Roman" w:eastAsia="宋体"/>
                <w:color w:val="000000" w:themeColor="text1"/>
                <w:kern w:val="2"/>
                <w14:textFill>
                  <w14:solidFill>
                    <w14:schemeClr w14:val="tx1"/>
                  </w14:solidFill>
                </w14:textFill>
              </w:rPr>
              <w:t>具体</w:t>
            </w:r>
            <w:r>
              <w:rPr>
                <w:rFonts w:ascii="Times New Roman" w:hAnsi="Times New Roman" w:eastAsia="宋体"/>
                <w:color w:val="000000" w:themeColor="text1"/>
                <w:kern w:val="2"/>
                <w14:textFill>
                  <w14:solidFill>
                    <w14:schemeClr w14:val="tx1"/>
                  </w14:solidFill>
                </w14:textFill>
              </w:rPr>
              <w:t>监测数据如下：</w:t>
            </w:r>
          </w:p>
          <w:p w14:paraId="6C4A7F0E">
            <w:pPr>
              <w:pStyle w:val="62"/>
              <w:widowControl/>
              <w:adjustRightInd/>
              <w:spacing w:line="440" w:lineRule="exact"/>
              <w:ind w:firstLine="482" w:firstLineChars="200"/>
              <w:textAlignment w:val="auto"/>
              <w:rPr>
                <w:rFonts w:ascii="Times New Roman" w:hAnsi="Times New Roman" w:eastAsia="宋体"/>
                <w:b/>
                <w:bCs/>
                <w:color w:val="000000" w:themeColor="text1"/>
                <w:kern w:val="2"/>
                <w14:textFill>
                  <w14:solidFill>
                    <w14:schemeClr w14:val="tx1"/>
                  </w14:solidFill>
                </w14:textFill>
              </w:rPr>
            </w:pPr>
            <w:r>
              <w:rPr>
                <w:rFonts w:ascii="Times New Roman" w:hAnsi="Times New Roman" w:eastAsia="宋体"/>
                <w:b/>
                <w:bCs/>
                <w:color w:val="000000" w:themeColor="text1"/>
                <w:kern w:val="2"/>
                <w14:textFill>
                  <w14:solidFill>
                    <w14:schemeClr w14:val="tx1"/>
                  </w14:solidFill>
                </w14:textFill>
              </w:rPr>
              <w:t>表</w:t>
            </w:r>
            <w:r>
              <w:rPr>
                <w:rFonts w:hint="eastAsia" w:ascii="Times New Roman" w:hAnsi="Times New Roman" w:eastAsia="宋体"/>
                <w:b/>
                <w:bCs/>
                <w:color w:val="000000" w:themeColor="text1"/>
                <w:kern w:val="2"/>
                <w14:textFill>
                  <w14:solidFill>
                    <w14:schemeClr w14:val="tx1"/>
                  </w14:solidFill>
                </w14:textFill>
              </w:rPr>
              <w:t>3-1</w:t>
            </w:r>
            <w:r>
              <w:rPr>
                <w:rFonts w:ascii="Times New Roman" w:hAnsi="Times New Roman" w:eastAsia="宋体"/>
                <w:b/>
                <w:bCs/>
                <w:color w:val="000000" w:themeColor="text1"/>
                <w:kern w:val="2"/>
                <w14:textFill>
                  <w14:solidFill>
                    <w14:schemeClr w14:val="tx1"/>
                  </w14:solidFill>
                </w14:textFill>
              </w:rPr>
              <w:t xml:space="preserve">     其他污染物补充监测点位基本信息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24"/>
              <w:gridCol w:w="1532"/>
              <w:gridCol w:w="1388"/>
              <w:gridCol w:w="656"/>
              <w:gridCol w:w="1024"/>
              <w:gridCol w:w="806"/>
              <w:gridCol w:w="934"/>
            </w:tblGrid>
            <w:tr w14:paraId="34E1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 w:hRule="atLeast"/>
                <w:jc w:val="center"/>
              </w:trPr>
              <w:tc>
                <w:tcPr>
                  <w:tcW w:w="1024" w:type="pct"/>
                  <w:vMerge w:val="restart"/>
                  <w:vAlign w:val="center"/>
                </w:tcPr>
                <w:p w14:paraId="00F9217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监测点名称</w:t>
                  </w:r>
                </w:p>
              </w:tc>
              <w:tc>
                <w:tcPr>
                  <w:tcW w:w="1811" w:type="pct"/>
                  <w:gridSpan w:val="2"/>
                  <w:vAlign w:val="center"/>
                </w:tcPr>
                <w:p w14:paraId="7085A2ED">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监测点坐标</w:t>
                  </w:r>
                </w:p>
              </w:tc>
              <w:tc>
                <w:tcPr>
                  <w:tcW w:w="416" w:type="pct"/>
                  <w:vMerge w:val="restart"/>
                  <w:vAlign w:val="center"/>
                </w:tcPr>
                <w:p w14:paraId="51C84FFD">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监测因子</w:t>
                  </w:r>
                </w:p>
              </w:tc>
              <w:tc>
                <w:tcPr>
                  <w:tcW w:w="645" w:type="pct"/>
                  <w:vMerge w:val="restart"/>
                  <w:vAlign w:val="center"/>
                </w:tcPr>
                <w:p w14:paraId="0CB185E3">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监测时段</w:t>
                  </w:r>
                </w:p>
              </w:tc>
              <w:tc>
                <w:tcPr>
                  <w:tcW w:w="513" w:type="pct"/>
                  <w:vMerge w:val="restart"/>
                  <w:vAlign w:val="center"/>
                </w:tcPr>
                <w:p w14:paraId="116A1B4D">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相对厂址方位</w:t>
                  </w:r>
                </w:p>
              </w:tc>
              <w:tc>
                <w:tcPr>
                  <w:tcW w:w="591" w:type="pct"/>
                  <w:vMerge w:val="restart"/>
                  <w:vAlign w:val="center"/>
                </w:tcPr>
                <w:p w14:paraId="2EA6178A">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相对厂界距离/m</w:t>
                  </w:r>
                </w:p>
              </w:tc>
            </w:tr>
            <w:tr w14:paraId="454C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1024" w:type="pct"/>
                  <w:vMerge w:val="continue"/>
                  <w:vAlign w:val="center"/>
                </w:tcPr>
                <w:p w14:paraId="56E771FC">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935" w:type="pct"/>
                  <w:vAlign w:val="center"/>
                </w:tcPr>
                <w:p w14:paraId="080CAFDC">
                  <w:pPr>
                    <w:pStyle w:val="63"/>
                    <w:spacing w:line="240" w:lineRule="auto"/>
                    <w:ind w:firstLine="0" w:firstLineChars="0"/>
                    <w:jc w:val="center"/>
                    <w:rPr>
                      <w:rFonts w:hAnsi="Times New Roman"/>
                      <w:color w:val="000000" w:themeColor="text1"/>
                      <w:sz w:val="21"/>
                      <w:szCs w:val="21"/>
                      <w14:textFill>
                        <w14:solidFill>
                          <w14:schemeClr w14:val="tx1"/>
                        </w14:solidFill>
                      </w14:textFill>
                    </w:rPr>
                  </w:pPr>
                  <w:r>
                    <w:rPr>
                      <w:rFonts w:hint="eastAsia" w:hAnsi="Times New Roman"/>
                      <w:color w:val="000000" w:themeColor="text1"/>
                      <w:sz w:val="21"/>
                      <w:szCs w:val="21"/>
                      <w14:textFill>
                        <w14:solidFill>
                          <w14:schemeClr w14:val="tx1"/>
                        </w14:solidFill>
                      </w14:textFill>
                    </w:rPr>
                    <w:t>经度</w:t>
                  </w:r>
                </w:p>
              </w:tc>
              <w:tc>
                <w:tcPr>
                  <w:tcW w:w="876" w:type="pct"/>
                  <w:vAlign w:val="center"/>
                </w:tcPr>
                <w:p w14:paraId="69C34032">
                  <w:pPr>
                    <w:pStyle w:val="63"/>
                    <w:spacing w:line="240" w:lineRule="auto"/>
                    <w:ind w:firstLine="0" w:firstLineChars="0"/>
                    <w:jc w:val="center"/>
                    <w:rPr>
                      <w:rFonts w:hAnsi="Times New Roman"/>
                      <w:color w:val="000000" w:themeColor="text1"/>
                      <w:sz w:val="21"/>
                      <w:szCs w:val="21"/>
                      <w14:textFill>
                        <w14:solidFill>
                          <w14:schemeClr w14:val="tx1"/>
                        </w14:solidFill>
                      </w14:textFill>
                    </w:rPr>
                  </w:pPr>
                  <w:r>
                    <w:rPr>
                      <w:rFonts w:hint="eastAsia" w:hAnsi="Times New Roman"/>
                      <w:color w:val="000000" w:themeColor="text1"/>
                      <w:sz w:val="21"/>
                      <w:szCs w:val="21"/>
                      <w14:textFill>
                        <w14:solidFill>
                          <w14:schemeClr w14:val="tx1"/>
                        </w14:solidFill>
                      </w14:textFill>
                    </w:rPr>
                    <w:t>纬度</w:t>
                  </w:r>
                </w:p>
              </w:tc>
              <w:tc>
                <w:tcPr>
                  <w:tcW w:w="416" w:type="pct"/>
                  <w:vMerge w:val="continue"/>
                  <w:vAlign w:val="center"/>
                </w:tcPr>
                <w:p w14:paraId="02829DA0">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645" w:type="pct"/>
                  <w:vMerge w:val="continue"/>
                  <w:vAlign w:val="center"/>
                </w:tcPr>
                <w:p w14:paraId="67E5C65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13" w:type="pct"/>
                  <w:vMerge w:val="continue"/>
                  <w:vAlign w:val="center"/>
                </w:tcPr>
                <w:p w14:paraId="74F6A87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91" w:type="pct"/>
                  <w:vMerge w:val="continue"/>
                  <w:vAlign w:val="center"/>
                </w:tcPr>
                <w:p w14:paraId="35A991D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r>
            <w:tr w14:paraId="6A43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1024" w:type="pct"/>
                  <w:vAlign w:val="center"/>
                </w:tcPr>
                <w:p w14:paraId="1DFDC017">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厂区西南2.2km处</w:t>
                  </w:r>
                </w:p>
              </w:tc>
              <w:tc>
                <w:tcPr>
                  <w:tcW w:w="935" w:type="pct"/>
                  <w:vAlign w:val="center"/>
                </w:tcPr>
                <w:p w14:paraId="2ABEFDF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109.90103035</w:t>
                  </w:r>
                  <w:r>
                    <w:rPr>
                      <w:rFonts w:hint="eastAsia"/>
                      <w:color w:val="000000" w:themeColor="text1"/>
                      <w:szCs w:val="21"/>
                      <w14:textFill>
                        <w14:solidFill>
                          <w14:schemeClr w14:val="tx1"/>
                        </w14:solidFill>
                      </w14:textFill>
                    </w:rPr>
                    <w:t>°</w:t>
                  </w:r>
                </w:p>
              </w:tc>
              <w:tc>
                <w:tcPr>
                  <w:tcW w:w="876" w:type="pct"/>
                  <w:vAlign w:val="center"/>
                </w:tcPr>
                <w:p w14:paraId="7C21846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39.18673232°</w:t>
                  </w:r>
                </w:p>
              </w:tc>
              <w:tc>
                <w:tcPr>
                  <w:tcW w:w="416" w:type="pct"/>
                  <w:vAlign w:val="center"/>
                </w:tcPr>
                <w:p w14:paraId="2CE172E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TSP</w:t>
                  </w:r>
                </w:p>
              </w:tc>
              <w:tc>
                <w:tcPr>
                  <w:tcW w:w="645" w:type="pct"/>
                  <w:vAlign w:val="center"/>
                </w:tcPr>
                <w:p w14:paraId="60020220">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2025.3.23-3.25</w:t>
                  </w:r>
                </w:p>
              </w:tc>
              <w:tc>
                <w:tcPr>
                  <w:tcW w:w="513" w:type="pct"/>
                  <w:vAlign w:val="center"/>
                </w:tcPr>
                <w:p w14:paraId="4818694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西南</w:t>
                  </w:r>
                </w:p>
              </w:tc>
              <w:tc>
                <w:tcPr>
                  <w:tcW w:w="591" w:type="pct"/>
                  <w:vAlign w:val="center"/>
                </w:tcPr>
                <w:p w14:paraId="6B8BB8F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2200</w:t>
                  </w:r>
                </w:p>
              </w:tc>
            </w:tr>
          </w:tbl>
          <w:p w14:paraId="3C5E1B7D">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监测时段与频次</w:t>
            </w:r>
          </w:p>
          <w:p w14:paraId="01515531">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TSP监测时间为</w:t>
            </w:r>
            <w:r>
              <w:rPr>
                <w:rFonts w:hint="eastAsia"/>
                <w:color w:val="000000" w:themeColor="text1"/>
                <w:sz w:val="24"/>
                <w14:textFill>
                  <w14:solidFill>
                    <w14:schemeClr w14:val="tx1"/>
                  </w14:solidFill>
                </w14:textFill>
              </w:rPr>
              <w:t>2025年3月23日-3月25日</w:t>
            </w:r>
            <w:r>
              <w:rPr>
                <w:color w:val="000000" w:themeColor="text1"/>
                <w:sz w:val="24"/>
                <w14:textFill>
                  <w14:solidFill>
                    <w14:schemeClr w14:val="tx1"/>
                  </w14:solidFill>
                </w14:textFill>
              </w:rPr>
              <w:t>，监测</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天，监测日均浓度的每次连续采样时间为24h。</w:t>
            </w:r>
          </w:p>
          <w:p w14:paraId="283DF6EB">
            <w:pPr>
              <w:spacing w:line="440" w:lineRule="exact"/>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bCs/>
                <w:color w:val="000000" w:themeColor="text1"/>
                <w:sz w:val="24"/>
                <w14:textFill>
                  <w14:solidFill>
                    <w14:schemeClr w14:val="tx1"/>
                  </w14:solidFill>
                </w14:textFill>
              </w:rPr>
              <w:t>评价标准</w:t>
            </w:r>
          </w:p>
          <w:p w14:paraId="6C365F19">
            <w:pPr>
              <w:spacing w:line="440" w:lineRule="exact"/>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TSP浓度执行</w:t>
            </w:r>
            <w:r>
              <w:rPr>
                <w:bCs/>
                <w:color w:val="000000" w:themeColor="text1"/>
                <w:sz w:val="24"/>
                <w:szCs w:val="20"/>
                <w14:textFill>
                  <w14:solidFill>
                    <w14:schemeClr w14:val="tx1"/>
                  </w14:solidFill>
                </w14:textFill>
              </w:rPr>
              <w:t>《环境空气质量标准》</w:t>
            </w:r>
            <w:r>
              <w:rPr>
                <w:rFonts w:hint="eastAsia"/>
                <w:bCs/>
                <w:color w:val="000000" w:themeColor="text1"/>
                <w:sz w:val="24"/>
                <w:szCs w:val="20"/>
                <w14:textFill>
                  <w14:solidFill>
                    <w14:schemeClr w14:val="tx1"/>
                  </w14:solidFill>
                </w14:textFill>
              </w:rPr>
              <w:t>（</w:t>
            </w:r>
            <w:r>
              <w:rPr>
                <w:bCs/>
                <w:color w:val="000000" w:themeColor="text1"/>
                <w:sz w:val="24"/>
                <w:szCs w:val="20"/>
                <w14:textFill>
                  <w14:solidFill>
                    <w14:schemeClr w14:val="tx1"/>
                  </w14:solidFill>
                </w14:textFill>
              </w:rPr>
              <w:t>GB3095-2012</w:t>
            </w:r>
            <w:r>
              <w:rPr>
                <w:rFonts w:hint="eastAsia"/>
                <w:bCs/>
                <w:color w:val="000000" w:themeColor="text1"/>
                <w:sz w:val="24"/>
                <w:szCs w:val="20"/>
                <w14:textFill>
                  <w14:solidFill>
                    <w14:schemeClr w14:val="tx1"/>
                  </w14:solidFill>
                </w14:textFill>
              </w:rPr>
              <w:t>）及其修改单</w:t>
            </w:r>
            <w:r>
              <w:rPr>
                <w:bCs/>
                <w:color w:val="000000" w:themeColor="text1"/>
                <w:sz w:val="24"/>
                <w:szCs w:val="20"/>
                <w14:textFill>
                  <w14:solidFill>
                    <w14:schemeClr w14:val="tx1"/>
                  </w14:solidFill>
                </w14:textFill>
              </w:rPr>
              <w:t>中二级标准</w:t>
            </w:r>
            <w:r>
              <w:rPr>
                <w:color w:val="000000" w:themeColor="text1"/>
                <w:sz w:val="24"/>
                <w14:textFill>
                  <w14:solidFill>
                    <w14:schemeClr w14:val="tx1"/>
                  </w14:solidFill>
                </w14:textFill>
              </w:rPr>
              <w:t>。</w:t>
            </w:r>
          </w:p>
          <w:p w14:paraId="7CEB4398">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评价方法</w:t>
            </w:r>
          </w:p>
          <w:p w14:paraId="688D0A0A">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评价方法采用单项标准指数法，评价模式如下：</w:t>
            </w:r>
          </w:p>
          <w:p w14:paraId="05C70A29">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P</w:t>
            </w:r>
            <w:r>
              <w:rPr>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＝C</w:t>
            </w:r>
            <w:r>
              <w:rPr>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/C</w:t>
            </w:r>
            <w:r>
              <w:rPr>
                <w:color w:val="000000" w:themeColor="text1"/>
                <w:sz w:val="24"/>
                <w:vertAlign w:val="subscript"/>
                <w14:textFill>
                  <w14:solidFill>
                    <w14:schemeClr w14:val="tx1"/>
                  </w14:solidFill>
                </w14:textFill>
              </w:rPr>
              <w:t>0i</w:t>
            </w:r>
          </w:p>
          <w:p w14:paraId="3FDD8948">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r>
              <w:rPr>
                <w:i/>
                <w:color w:val="000000" w:themeColor="text1"/>
                <w:sz w:val="24"/>
                <w14:textFill>
                  <w14:solidFill>
                    <w14:schemeClr w14:val="tx1"/>
                  </w14:solidFill>
                </w14:textFill>
              </w:rPr>
              <w:t>P</w:t>
            </w:r>
            <w:r>
              <w:rPr>
                <w:i/>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—i污染物标准指数；</w:t>
            </w:r>
          </w:p>
          <w:p w14:paraId="30E86673">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i/>
                <w:color w:val="000000" w:themeColor="text1"/>
                <w:sz w:val="24"/>
                <w14:textFill>
                  <w14:solidFill>
                    <w14:schemeClr w14:val="tx1"/>
                  </w14:solidFill>
                </w14:textFill>
              </w:rPr>
              <w:t>C</w:t>
            </w:r>
            <w:r>
              <w:rPr>
                <w:i/>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—i污染物实测浓度，mg/m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5EAF14B4">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i/>
                <w:color w:val="000000" w:themeColor="text1"/>
                <w:sz w:val="24"/>
                <w14:textFill>
                  <w14:solidFill>
                    <w14:schemeClr w14:val="tx1"/>
                  </w14:solidFill>
                </w14:textFill>
              </w:rPr>
              <w:t>C</w:t>
            </w:r>
            <w:r>
              <w:rPr>
                <w:i/>
                <w:color w:val="000000" w:themeColor="text1"/>
                <w:sz w:val="24"/>
                <w:vertAlign w:val="subscript"/>
                <w14:textFill>
                  <w14:solidFill>
                    <w14:schemeClr w14:val="tx1"/>
                  </w14:solidFill>
                </w14:textFill>
              </w:rPr>
              <w:t>oi</w:t>
            </w:r>
            <w:r>
              <w:rPr>
                <w:color w:val="000000" w:themeColor="text1"/>
                <w:sz w:val="24"/>
                <w14:textFill>
                  <w14:solidFill>
                    <w14:schemeClr w14:val="tx1"/>
                  </w14:solidFill>
                </w14:textFill>
              </w:rPr>
              <w:t>—i污染物评价标准值，mg/m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7DBA2FCD">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监测数据统计分析与评价</w:t>
            </w:r>
          </w:p>
          <w:p w14:paraId="6AC8D9AF">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表3-</w:t>
            </w:r>
            <w:r>
              <w:rPr>
                <w:rFonts w:hint="eastAsia"/>
                <w:b/>
                <w:color w:val="000000" w:themeColor="text1"/>
                <w:sz w:val="24"/>
                <w14:textFill>
                  <w14:solidFill>
                    <w14:schemeClr w14:val="tx1"/>
                  </w14:solidFill>
                </w14:textFill>
              </w:rPr>
              <w:t>2</w:t>
            </w:r>
            <w:r>
              <w:rPr>
                <w:b/>
                <w:color w:val="000000" w:themeColor="text1"/>
                <w:sz w:val="24"/>
                <w14:textFill>
                  <w14:solidFill>
                    <w14:schemeClr w14:val="tx1"/>
                  </w14:solidFill>
                </w14:textFill>
              </w:rPr>
              <w:t xml:space="preserve">    环境空气监测及评价结果一览表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788"/>
              <w:gridCol w:w="1538"/>
              <w:gridCol w:w="1490"/>
              <w:gridCol w:w="1460"/>
            </w:tblGrid>
            <w:tr w14:paraId="6B62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654057D">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监测项目</w:t>
                  </w:r>
                </w:p>
              </w:tc>
              <w:tc>
                <w:tcPr>
                  <w:tcW w:w="1123" w:type="pct"/>
                  <w:vAlign w:val="center"/>
                </w:tcPr>
                <w:p w14:paraId="50634A13">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浓度范围(mg/m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p>
              </w:tc>
              <w:tc>
                <w:tcPr>
                  <w:tcW w:w="966" w:type="pct"/>
                  <w:vAlign w:val="center"/>
                </w:tcPr>
                <w:p w14:paraId="0C1DA78D">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标准值(mg/m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p>
              </w:tc>
              <w:tc>
                <w:tcPr>
                  <w:tcW w:w="936" w:type="pct"/>
                  <w:vAlign w:val="center"/>
                </w:tcPr>
                <w:p w14:paraId="68B18E3B">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污染指数</w:t>
                  </w:r>
                </w:p>
              </w:tc>
              <w:tc>
                <w:tcPr>
                  <w:tcW w:w="917" w:type="pct"/>
                  <w:vAlign w:val="center"/>
                </w:tcPr>
                <w:p w14:paraId="7EAA6E9B">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超标率(%)</w:t>
                  </w:r>
                </w:p>
              </w:tc>
            </w:tr>
            <w:tr w14:paraId="6113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1C65982">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TSP</w:t>
                  </w:r>
                </w:p>
              </w:tc>
              <w:tc>
                <w:tcPr>
                  <w:tcW w:w="1123" w:type="pct"/>
                  <w:vAlign w:val="center"/>
                </w:tcPr>
                <w:p w14:paraId="2164AA5E">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0.099--0.109</w:t>
                  </w:r>
                </w:p>
              </w:tc>
              <w:tc>
                <w:tcPr>
                  <w:tcW w:w="966" w:type="pct"/>
                  <w:vAlign w:val="center"/>
                </w:tcPr>
                <w:p w14:paraId="2DE89F55">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0.3</w:t>
                  </w:r>
                </w:p>
              </w:tc>
              <w:tc>
                <w:tcPr>
                  <w:tcW w:w="936" w:type="pct"/>
                  <w:vAlign w:val="center"/>
                </w:tcPr>
                <w:p w14:paraId="503548C9">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0.33-0.36</w:t>
                  </w:r>
                </w:p>
              </w:tc>
              <w:tc>
                <w:tcPr>
                  <w:tcW w:w="917" w:type="pct"/>
                  <w:vAlign w:val="center"/>
                </w:tcPr>
                <w:p w14:paraId="273616BF">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r>
          </w:tbl>
          <w:p w14:paraId="3E98EE5E">
            <w:pPr>
              <w:spacing w:line="440" w:lineRule="exact"/>
              <w:ind w:firstLine="482"/>
              <w:rPr>
                <w:color w:val="000000" w:themeColor="text1"/>
                <w:sz w:val="24"/>
                <w14:textFill>
                  <w14:solidFill>
                    <w14:schemeClr w14:val="tx1"/>
                  </w14:solidFill>
                </w14:textFill>
              </w:rPr>
            </w:pPr>
            <w:r>
              <w:rPr>
                <w:bCs/>
                <w:color w:val="000000" w:themeColor="text1"/>
                <w:kern w:val="0"/>
                <w:sz w:val="24"/>
                <w14:textFill>
                  <w14:solidFill>
                    <w14:schemeClr w14:val="tx1"/>
                  </w14:solidFill>
                </w14:textFill>
              </w:rPr>
              <w:t>由</w:t>
            </w:r>
            <w:r>
              <w:rPr>
                <w:rFonts w:hint="eastAsia"/>
                <w:bCs/>
                <w:color w:val="000000" w:themeColor="text1"/>
                <w:kern w:val="0"/>
                <w:sz w:val="24"/>
                <w14:textFill>
                  <w14:solidFill>
                    <w14:schemeClr w14:val="tx1"/>
                  </w14:solidFill>
                </w14:textFill>
              </w:rPr>
              <w:t>上</w:t>
            </w:r>
            <w:r>
              <w:rPr>
                <w:bCs/>
                <w:color w:val="000000" w:themeColor="text1"/>
                <w:kern w:val="0"/>
                <w:sz w:val="24"/>
                <w14:textFill>
                  <w14:solidFill>
                    <w14:schemeClr w14:val="tx1"/>
                  </w14:solidFill>
                </w14:textFill>
              </w:rPr>
              <w:t>表可知，TSP24</w:t>
            </w:r>
            <w:r>
              <w:rPr>
                <w:rFonts w:hint="eastAsia"/>
                <w:bCs/>
                <w:color w:val="000000" w:themeColor="text1"/>
                <w:kern w:val="0"/>
                <w:sz w:val="24"/>
                <w14:textFill>
                  <w14:solidFill>
                    <w14:schemeClr w14:val="tx1"/>
                  </w14:solidFill>
                </w14:textFill>
              </w:rPr>
              <w:t>h</w:t>
            </w:r>
            <w:r>
              <w:rPr>
                <w:bCs/>
                <w:color w:val="000000" w:themeColor="text1"/>
                <w:kern w:val="0"/>
                <w:sz w:val="24"/>
                <w14:textFill>
                  <w14:solidFill>
                    <w14:schemeClr w14:val="tx1"/>
                  </w14:solidFill>
                </w14:textFill>
              </w:rPr>
              <w:t>平均浓度为</w:t>
            </w:r>
            <w:r>
              <w:rPr>
                <w:rFonts w:hint="eastAsia"/>
                <w:bCs/>
                <w:color w:val="000000" w:themeColor="text1"/>
                <w:kern w:val="0"/>
                <w:sz w:val="24"/>
                <w14:textFill>
                  <w14:solidFill>
                    <w14:schemeClr w14:val="tx1"/>
                  </w14:solidFill>
                </w14:textFill>
              </w:rPr>
              <w:t>0.33</w:t>
            </w:r>
            <w:r>
              <w:rPr>
                <w:bCs/>
                <w:color w:val="000000" w:themeColor="text1"/>
                <w:kern w:val="0"/>
                <w:sz w:val="24"/>
                <w14:textFill>
                  <w14:solidFill>
                    <w14:schemeClr w14:val="tx1"/>
                  </w14:solidFill>
                </w14:textFill>
              </w:rPr>
              <w:t>～</w:t>
            </w:r>
            <w:r>
              <w:rPr>
                <w:rFonts w:hint="eastAsia"/>
                <w:bCs/>
                <w:color w:val="000000" w:themeColor="text1"/>
                <w:kern w:val="0"/>
                <w:sz w:val="24"/>
                <w14:textFill>
                  <w14:solidFill>
                    <w14:schemeClr w14:val="tx1"/>
                  </w14:solidFill>
                </w14:textFill>
              </w:rPr>
              <w:t>0.36</w:t>
            </w:r>
            <w:r>
              <w:rPr>
                <w:bCs/>
                <w:color w:val="000000" w:themeColor="text1"/>
                <w:kern w:val="0"/>
                <w:sz w:val="24"/>
                <w14:textFill>
                  <w14:solidFill>
                    <w14:schemeClr w14:val="tx1"/>
                  </w14:solidFill>
                </w14:textFill>
              </w:rPr>
              <w:t>mg/m</w:t>
            </w:r>
            <w:r>
              <w:rPr>
                <w:bCs/>
                <w:color w:val="000000" w:themeColor="text1"/>
                <w:kern w:val="0"/>
                <w:sz w:val="24"/>
                <w:vertAlign w:val="superscript"/>
                <w14:textFill>
                  <w14:solidFill>
                    <w14:schemeClr w14:val="tx1"/>
                  </w14:solidFill>
                </w14:textFill>
              </w:rPr>
              <w:t>3</w:t>
            </w:r>
            <w:r>
              <w:rPr>
                <w:bCs/>
                <w:color w:val="000000" w:themeColor="text1"/>
                <w:kern w:val="0"/>
                <w:sz w:val="24"/>
                <w14:textFill>
                  <w14:solidFill>
                    <w14:schemeClr w14:val="tx1"/>
                  </w14:solidFill>
                </w14:textFill>
              </w:rPr>
              <w:t>，最大值占环境质量标准值的</w:t>
            </w:r>
            <w:r>
              <w:rPr>
                <w:rFonts w:hint="eastAsia"/>
                <w:bCs/>
                <w:color w:val="000000" w:themeColor="text1"/>
                <w:kern w:val="0"/>
                <w:sz w:val="24"/>
                <w14:textFill>
                  <w14:solidFill>
                    <w14:schemeClr w14:val="tx1"/>
                  </w14:solidFill>
                </w14:textFill>
              </w:rPr>
              <w:t>36</w:t>
            </w:r>
            <w:r>
              <w:rPr>
                <w:bCs/>
                <w:color w:val="000000" w:themeColor="text1"/>
                <w:kern w:val="0"/>
                <w:sz w:val="24"/>
                <w14:textFill>
                  <w14:solidFill>
                    <w14:schemeClr w14:val="tx1"/>
                  </w14:solidFill>
                </w14:textFill>
              </w:rPr>
              <w:t>%，满足</w:t>
            </w:r>
            <w:r>
              <w:rPr>
                <w:bCs/>
                <w:color w:val="000000" w:themeColor="text1"/>
                <w:sz w:val="24"/>
                <w:szCs w:val="20"/>
                <w14:textFill>
                  <w14:solidFill>
                    <w14:schemeClr w14:val="tx1"/>
                  </w14:solidFill>
                </w14:textFill>
              </w:rPr>
              <w:t>《环境空气质量标准》</w:t>
            </w:r>
            <w:r>
              <w:rPr>
                <w:rFonts w:hint="eastAsia"/>
                <w:bCs/>
                <w:color w:val="000000" w:themeColor="text1"/>
                <w:sz w:val="24"/>
                <w:szCs w:val="20"/>
                <w14:textFill>
                  <w14:solidFill>
                    <w14:schemeClr w14:val="tx1"/>
                  </w14:solidFill>
                </w14:textFill>
              </w:rPr>
              <w:t>（</w:t>
            </w:r>
            <w:r>
              <w:rPr>
                <w:bCs/>
                <w:color w:val="000000" w:themeColor="text1"/>
                <w:sz w:val="24"/>
                <w:szCs w:val="20"/>
                <w14:textFill>
                  <w14:solidFill>
                    <w14:schemeClr w14:val="tx1"/>
                  </w14:solidFill>
                </w14:textFill>
              </w:rPr>
              <w:t>GB3095-2012</w:t>
            </w:r>
            <w:r>
              <w:rPr>
                <w:rFonts w:hint="eastAsia"/>
                <w:bCs/>
                <w:color w:val="000000" w:themeColor="text1"/>
                <w:sz w:val="24"/>
                <w:szCs w:val="20"/>
                <w14:textFill>
                  <w14:solidFill>
                    <w14:schemeClr w14:val="tx1"/>
                  </w14:solidFill>
                </w14:textFill>
              </w:rPr>
              <w:t>）及其修改单</w:t>
            </w:r>
            <w:r>
              <w:rPr>
                <w:bCs/>
                <w:color w:val="000000" w:themeColor="text1"/>
                <w:sz w:val="24"/>
                <w:szCs w:val="20"/>
                <w14:textFill>
                  <w14:solidFill>
                    <w14:schemeClr w14:val="tx1"/>
                  </w14:solidFill>
                </w14:textFill>
              </w:rPr>
              <w:t>中二级标准</w:t>
            </w:r>
            <w:r>
              <w:rPr>
                <w:bCs/>
                <w:color w:val="000000" w:themeColor="text1"/>
                <w:kern w:val="0"/>
                <w:sz w:val="24"/>
                <w14:textFill>
                  <w14:solidFill>
                    <w14:schemeClr w14:val="tx1"/>
                  </w14:solidFill>
                </w14:textFill>
              </w:rPr>
              <w:t>要求</w:t>
            </w:r>
            <w:r>
              <w:rPr>
                <w:color w:val="000000" w:themeColor="text1"/>
                <w:sz w:val="24"/>
                <w14:textFill>
                  <w14:solidFill>
                    <w14:schemeClr w14:val="tx1"/>
                  </w14:solidFill>
                </w14:textFill>
              </w:rPr>
              <w:t>。</w:t>
            </w:r>
          </w:p>
          <w:bookmarkEnd w:id="12"/>
          <w:p w14:paraId="76BB9284">
            <w:pPr>
              <w:widowControl/>
              <w:spacing w:line="440" w:lineRule="exact"/>
              <w:ind w:firstLine="480"/>
              <w:contextualSpacing/>
              <w:rPr>
                <w:b/>
                <w:color w:val="000000" w:themeColor="text1"/>
                <w:kern w:val="0"/>
                <w:sz w:val="24"/>
                <w:szCs w:val="20"/>
                <w14:textFill>
                  <w14:solidFill>
                    <w14:schemeClr w14:val="tx1"/>
                  </w14:solidFill>
                </w14:textFill>
              </w:rPr>
            </w:pPr>
            <w:r>
              <w:rPr>
                <w:b/>
                <w:color w:val="000000" w:themeColor="text1"/>
                <w:kern w:val="0"/>
                <w:sz w:val="24"/>
                <w:szCs w:val="20"/>
                <w14:textFill>
                  <w14:solidFill>
                    <w14:schemeClr w14:val="tx1"/>
                  </w14:solidFill>
                </w14:textFill>
              </w:rPr>
              <w:t>2、</w:t>
            </w:r>
            <w:r>
              <w:rPr>
                <w:rFonts w:hint="eastAsia"/>
                <w:b/>
                <w:color w:val="000000" w:themeColor="text1"/>
                <w:kern w:val="0"/>
                <w:sz w:val="24"/>
                <w:szCs w:val="20"/>
                <w14:textFill>
                  <w14:solidFill>
                    <w14:schemeClr w14:val="tx1"/>
                  </w14:solidFill>
                </w14:textFill>
              </w:rPr>
              <w:t>地表水环境质量现状</w:t>
            </w:r>
          </w:p>
          <w:p w14:paraId="14F0D681">
            <w:pPr>
              <w:widowControl/>
              <w:spacing w:line="440" w:lineRule="exact"/>
              <w:ind w:firstLine="480"/>
              <w:contextualSpacing/>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项目区周边不存在地表水体。</w:t>
            </w:r>
          </w:p>
          <w:p w14:paraId="7661D2C6">
            <w:pPr>
              <w:widowControl/>
              <w:spacing w:line="440" w:lineRule="exact"/>
              <w:ind w:firstLine="480"/>
              <w:contextualSpacing/>
              <w:rPr>
                <w:b/>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3、</w:t>
            </w:r>
            <w:r>
              <w:rPr>
                <w:b/>
                <w:color w:val="000000" w:themeColor="text1"/>
                <w:kern w:val="0"/>
                <w:sz w:val="24"/>
                <w14:textFill>
                  <w14:solidFill>
                    <w14:schemeClr w14:val="tx1"/>
                  </w14:solidFill>
                </w14:textFill>
              </w:rPr>
              <w:t>声环境质量现状</w:t>
            </w:r>
          </w:p>
          <w:p w14:paraId="21DFF3D0">
            <w:pPr>
              <w:spacing w:line="440" w:lineRule="exact"/>
              <w:ind w:firstLine="482"/>
              <w:rPr>
                <w:bCs/>
                <w:color w:val="000000" w:themeColor="text1"/>
                <w:kern w:val="0"/>
                <w:sz w:val="24"/>
                <w14:textFill>
                  <w14:solidFill>
                    <w14:schemeClr w14:val="tx1"/>
                  </w14:solidFill>
                </w14:textFill>
              </w:rPr>
            </w:pPr>
            <w:r>
              <w:rPr>
                <w:color w:val="000000" w:themeColor="text1"/>
                <w:kern w:val="0"/>
                <w:sz w:val="24"/>
                <w:szCs w:val="22"/>
                <w14:textFill>
                  <w14:solidFill>
                    <w14:schemeClr w14:val="tx1"/>
                  </w14:solidFill>
                </w14:textFill>
              </w:rPr>
              <w:t>项目</w:t>
            </w:r>
            <w:r>
              <w:rPr>
                <w:rFonts w:hint="eastAsia"/>
                <w:color w:val="000000" w:themeColor="text1"/>
                <w:kern w:val="0"/>
                <w:sz w:val="24"/>
                <w:szCs w:val="22"/>
                <w14:textFill>
                  <w14:solidFill>
                    <w14:schemeClr w14:val="tx1"/>
                  </w14:solidFill>
                </w14:textFill>
              </w:rPr>
              <w:t>周边50m范围内无声环境保护目标，无需进行现状监测。</w:t>
            </w:r>
          </w:p>
          <w:p w14:paraId="27992C09">
            <w:pPr>
              <w:spacing w:line="440" w:lineRule="exact"/>
              <w:ind w:firstLine="482"/>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4、</w:t>
            </w:r>
            <w:r>
              <w:rPr>
                <w:b/>
                <w:color w:val="000000" w:themeColor="text1"/>
                <w:kern w:val="0"/>
                <w:sz w:val="24"/>
                <w14:textFill>
                  <w14:solidFill>
                    <w14:schemeClr w14:val="tx1"/>
                  </w14:solidFill>
                </w14:textFill>
              </w:rPr>
              <w:t>生态环境质量现状</w:t>
            </w:r>
          </w:p>
          <w:p w14:paraId="3A3B14F6">
            <w:pPr>
              <w:spacing w:line="440" w:lineRule="exact"/>
              <w:ind w:firstLine="482"/>
              <w:rPr>
                <w:color w:val="000000" w:themeColor="text1"/>
                <w:sz w:val="24"/>
                <w14:textFill>
                  <w14:solidFill>
                    <w14:schemeClr w14:val="tx1"/>
                  </w14:solidFill>
                </w14:textFill>
              </w:rPr>
            </w:pPr>
            <w:r>
              <w:rPr>
                <w:rFonts w:hint="eastAsia"/>
                <w:iCs/>
                <w:color w:val="000000" w:themeColor="text1"/>
                <w:sz w:val="24"/>
                <w14:textFill>
                  <w14:solidFill>
                    <w14:schemeClr w14:val="tx1"/>
                  </w14:solidFill>
                </w14:textFill>
              </w:rPr>
              <w:t>项目土地类型为工业用地。</w:t>
            </w:r>
          </w:p>
          <w:p w14:paraId="079FE3FB">
            <w:pPr>
              <w:spacing w:line="440" w:lineRule="exact"/>
              <w:ind w:firstLine="482"/>
              <w:rPr>
                <w:bCs/>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5、电磁辐射</w:t>
            </w:r>
          </w:p>
          <w:p w14:paraId="1BF9DA05">
            <w:pPr>
              <w:spacing w:line="440" w:lineRule="exact"/>
              <w:ind w:firstLine="482"/>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项目无电磁辐射影响。</w:t>
            </w:r>
          </w:p>
          <w:p w14:paraId="5B2DB061">
            <w:pPr>
              <w:adjustRightInd w:val="0"/>
              <w:snapToGrid w:val="0"/>
              <w:spacing w:line="400" w:lineRule="exact"/>
              <w:ind w:firstLine="482" w:firstLineChars="200"/>
              <w:rPr>
                <w:b/>
                <w:bCs/>
                <w:color w:val="000000" w:themeColor="text1"/>
                <w:sz w:val="24"/>
                <w:szCs w:val="20"/>
                <w14:textFill>
                  <w14:solidFill>
                    <w14:schemeClr w14:val="tx1"/>
                  </w14:solidFill>
                </w14:textFill>
              </w:rPr>
            </w:pPr>
            <w:r>
              <w:rPr>
                <w:rFonts w:hint="eastAsia"/>
                <w:b/>
                <w:bCs/>
                <w:color w:val="000000" w:themeColor="text1"/>
                <w:sz w:val="24"/>
                <w:szCs w:val="20"/>
                <w14:textFill>
                  <w14:solidFill>
                    <w14:schemeClr w14:val="tx1"/>
                  </w14:solidFill>
                </w14:textFill>
              </w:rPr>
              <w:t>6</w:t>
            </w:r>
            <w:r>
              <w:rPr>
                <w:b/>
                <w:bCs/>
                <w:color w:val="000000" w:themeColor="text1"/>
                <w:sz w:val="24"/>
                <w:szCs w:val="20"/>
                <w14:textFill>
                  <w14:solidFill>
                    <w14:schemeClr w14:val="tx1"/>
                  </w14:solidFill>
                </w14:textFill>
              </w:rPr>
              <w:t>、</w:t>
            </w:r>
            <w:r>
              <w:rPr>
                <w:b/>
                <w:bCs/>
                <w:snapToGrid w:val="0"/>
                <w:color w:val="000000" w:themeColor="text1"/>
                <w:kern w:val="0"/>
                <w:sz w:val="24"/>
                <w14:textFill>
                  <w14:solidFill>
                    <w14:schemeClr w14:val="tx1"/>
                  </w14:solidFill>
                </w14:textFill>
              </w:rPr>
              <w:t>土壤</w:t>
            </w:r>
            <w:r>
              <w:rPr>
                <w:rFonts w:hint="eastAsia"/>
                <w:b/>
                <w:bCs/>
                <w:snapToGrid w:val="0"/>
                <w:color w:val="000000" w:themeColor="text1"/>
                <w:kern w:val="0"/>
                <w:sz w:val="24"/>
                <w14:textFill>
                  <w14:solidFill>
                    <w14:schemeClr w14:val="tx1"/>
                  </w14:solidFill>
                </w14:textFill>
              </w:rPr>
              <w:t>、地下水</w:t>
            </w:r>
            <w:r>
              <w:rPr>
                <w:b/>
                <w:bCs/>
                <w:snapToGrid w:val="0"/>
                <w:color w:val="000000" w:themeColor="text1"/>
                <w:kern w:val="0"/>
                <w:sz w:val="24"/>
                <w14:textFill>
                  <w14:solidFill>
                    <w14:schemeClr w14:val="tx1"/>
                  </w14:solidFill>
                </w14:textFill>
              </w:rPr>
              <w:t>环境</w:t>
            </w:r>
          </w:p>
          <w:p w14:paraId="02D46CC8">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szCs w:val="20"/>
                <w14:textFill>
                  <w14:solidFill>
                    <w14:schemeClr w14:val="tx1"/>
                  </w14:solidFill>
                </w14:textFill>
              </w:rPr>
              <w:t>项目无土壤、地下水污染途径，</w:t>
            </w:r>
            <w:r>
              <w:rPr>
                <w:color w:val="000000" w:themeColor="text1"/>
                <w:sz w:val="24"/>
                <w:szCs w:val="20"/>
                <w14:textFill>
                  <w14:solidFill>
                    <w14:schemeClr w14:val="tx1"/>
                  </w14:solidFill>
                </w14:textFill>
              </w:rPr>
              <w:t>无需进行</w:t>
            </w:r>
            <w:r>
              <w:rPr>
                <w:rFonts w:hint="eastAsia"/>
                <w:color w:val="000000" w:themeColor="text1"/>
                <w:sz w:val="24"/>
                <w:szCs w:val="20"/>
                <w14:textFill>
                  <w14:solidFill>
                    <w14:schemeClr w14:val="tx1"/>
                  </w14:solidFill>
                </w14:textFill>
              </w:rPr>
              <w:t>土壤、地下水</w:t>
            </w:r>
            <w:r>
              <w:rPr>
                <w:color w:val="000000" w:themeColor="text1"/>
                <w:sz w:val="24"/>
                <w:szCs w:val="20"/>
                <w14:textFill>
                  <w14:solidFill>
                    <w14:schemeClr w14:val="tx1"/>
                  </w14:solidFill>
                </w14:textFill>
              </w:rPr>
              <w:t>现状监测。</w:t>
            </w:r>
          </w:p>
          <w:p w14:paraId="2A5DEB95">
            <w:pPr>
              <w:spacing w:line="440" w:lineRule="exact"/>
              <w:ind w:firstLine="480" w:firstLineChars="200"/>
              <w:rPr>
                <w:color w:val="000000" w:themeColor="text1"/>
                <w:sz w:val="24"/>
                <w14:textFill>
                  <w14:solidFill>
                    <w14:schemeClr w14:val="tx1"/>
                  </w14:solidFill>
                </w14:textFill>
              </w:rPr>
            </w:pPr>
          </w:p>
          <w:p w14:paraId="70236C13">
            <w:pPr>
              <w:adjustRightInd w:val="0"/>
              <w:snapToGrid w:val="0"/>
              <w:spacing w:line="400" w:lineRule="exact"/>
              <w:ind w:firstLine="480" w:firstLineChars="200"/>
              <w:rPr>
                <w:color w:val="000000" w:themeColor="text1"/>
                <w:kern w:val="0"/>
                <w:sz w:val="24"/>
                <w:szCs w:val="20"/>
                <w14:textFill>
                  <w14:solidFill>
                    <w14:schemeClr w14:val="tx1"/>
                  </w14:solidFill>
                </w14:textFill>
              </w:rPr>
            </w:pPr>
          </w:p>
        </w:tc>
      </w:tr>
      <w:tr w14:paraId="7343D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69" w:hRule="atLeast"/>
          <w:jc w:val="center"/>
        </w:trPr>
        <w:tc>
          <w:tcPr>
            <w:tcW w:w="800" w:type="dxa"/>
            <w:vAlign w:val="center"/>
          </w:tcPr>
          <w:p w14:paraId="0E8C360B">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3401EF9B">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保护</w:t>
            </w:r>
          </w:p>
          <w:p w14:paraId="4951DC35">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目标</w:t>
            </w:r>
          </w:p>
        </w:tc>
        <w:tc>
          <w:tcPr>
            <w:tcW w:w="8190" w:type="dxa"/>
          </w:tcPr>
          <w:p w14:paraId="6479C15B">
            <w:pPr>
              <w:widowControl/>
              <w:spacing w:line="440" w:lineRule="exact"/>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项目位于</w:t>
            </w:r>
            <w:r>
              <w:rPr>
                <w:rFonts w:hint="eastAsia"/>
                <w:color w:val="000000" w:themeColor="text1"/>
                <w:sz w:val="24"/>
                <w14:textFill>
                  <w14:solidFill>
                    <w14:schemeClr w14:val="tx1"/>
                  </w14:solidFill>
                </w14:textFill>
              </w:rPr>
              <w:t>伊金霍洛旗新街马秦壕鑫源洗煤厂</w:t>
            </w:r>
            <w:r>
              <w:rPr>
                <w:rFonts w:hint="eastAsia"/>
                <w:color w:val="000000" w:themeColor="text1"/>
                <w:kern w:val="0"/>
                <w:sz w:val="24"/>
                <w14:textFill>
                  <w14:solidFill>
                    <w14:schemeClr w14:val="tx1"/>
                  </w14:solidFill>
                </w14:textFill>
              </w:rPr>
              <w:t>厂区内，厂界外500m范围内无自然保护区、风景名胜区等保护目标</w:t>
            </w:r>
            <w:r>
              <w:rPr>
                <w:color w:val="000000" w:themeColor="text1"/>
                <w:sz w:val="24"/>
                <w14:textFill>
                  <w14:solidFill>
                    <w14:schemeClr w14:val="tx1"/>
                  </w14:solidFill>
                </w14:textFill>
              </w:rPr>
              <w:t>。</w:t>
            </w:r>
            <w:r>
              <w:rPr>
                <w:color w:val="000000" w:themeColor="text1"/>
                <w:kern w:val="0"/>
                <w:sz w:val="24"/>
                <w14:textFill>
                  <w14:solidFill>
                    <w14:schemeClr w14:val="tx1"/>
                  </w14:solidFill>
                </w14:textFill>
              </w:rPr>
              <w:t>根据项目性质和周围环境特征</w:t>
            </w:r>
            <w:r>
              <w:rPr>
                <w:rFonts w:hint="eastAsia"/>
                <w:color w:val="000000" w:themeColor="text1"/>
                <w:kern w:val="0"/>
                <w:sz w:val="24"/>
                <w14:textFill>
                  <w14:solidFill>
                    <w14:schemeClr w14:val="tx1"/>
                  </w14:solidFill>
                </w14:textFill>
              </w:rPr>
              <w:t>，项目主要</w:t>
            </w:r>
            <w:r>
              <w:rPr>
                <w:color w:val="000000" w:themeColor="text1"/>
                <w:kern w:val="0"/>
                <w:sz w:val="24"/>
                <w14:textFill>
                  <w14:solidFill>
                    <w14:schemeClr w14:val="tx1"/>
                  </w14:solidFill>
                </w14:textFill>
              </w:rPr>
              <w:t>保护目标见表</w:t>
            </w:r>
            <w:r>
              <w:rPr>
                <w:rFonts w:hint="eastAsia"/>
                <w:color w:val="000000" w:themeColor="text1"/>
                <w:kern w:val="0"/>
                <w:sz w:val="24"/>
                <w14:textFill>
                  <w14:solidFill>
                    <w14:schemeClr w14:val="tx1"/>
                  </w14:solidFill>
                </w14:textFill>
              </w:rPr>
              <w:t>3-3</w:t>
            </w:r>
            <w:r>
              <w:rPr>
                <w:color w:val="000000" w:themeColor="text1"/>
                <w:kern w:val="0"/>
                <w:sz w:val="24"/>
                <w14:textFill>
                  <w14:solidFill>
                    <w14:schemeClr w14:val="tx1"/>
                  </w14:solidFill>
                </w14:textFill>
              </w:rPr>
              <w:t>。</w:t>
            </w:r>
          </w:p>
          <w:p w14:paraId="2DFBB3AD">
            <w:pPr>
              <w:autoSpaceDE w:val="0"/>
              <w:autoSpaceDN w:val="0"/>
              <w:adjustRightInd w:val="0"/>
              <w:spacing w:line="440" w:lineRule="exact"/>
              <w:ind w:firstLine="482" w:firstLineChars="200"/>
              <w:jc w:val="left"/>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w:t>
            </w:r>
            <w:r>
              <w:rPr>
                <w:rFonts w:hint="eastAsia"/>
                <w:b/>
                <w:color w:val="000000" w:themeColor="text1"/>
                <w:kern w:val="0"/>
                <w:sz w:val="24"/>
                <w14:textFill>
                  <w14:solidFill>
                    <w14:schemeClr w14:val="tx1"/>
                  </w14:solidFill>
                </w14:textFill>
              </w:rPr>
              <w:t>3-3</w:t>
            </w:r>
            <w:r>
              <w:rPr>
                <w:b/>
                <w:color w:val="000000" w:themeColor="text1"/>
                <w:kern w:val="0"/>
                <w:sz w:val="24"/>
                <w14:textFill>
                  <w14:solidFill>
                    <w14:schemeClr w14:val="tx1"/>
                  </w14:solidFill>
                </w14:textFill>
              </w:rPr>
              <w:t xml:space="preserve">    </w:t>
            </w:r>
            <w:r>
              <w:rPr>
                <w:rFonts w:hint="eastAsia"/>
                <w:b/>
                <w:color w:val="000000" w:themeColor="text1"/>
                <w:kern w:val="0"/>
                <w:sz w:val="24"/>
                <w14:textFill>
                  <w14:solidFill>
                    <w14:schemeClr w14:val="tx1"/>
                  </w14:solidFill>
                </w14:textFill>
              </w:rPr>
              <w:t>主要</w:t>
            </w:r>
            <w:r>
              <w:rPr>
                <w:b/>
                <w:color w:val="000000" w:themeColor="text1"/>
                <w:kern w:val="0"/>
                <w:sz w:val="24"/>
                <w14:textFill>
                  <w14:solidFill>
                    <w14:schemeClr w14:val="tx1"/>
                  </w14:solidFill>
                </w14:textFill>
              </w:rPr>
              <w:t>环境保护目标</w:t>
            </w:r>
            <w:r>
              <w:rPr>
                <w:rFonts w:hint="eastAsia"/>
                <w:b/>
                <w:color w:val="000000" w:themeColor="text1"/>
                <w:kern w:val="0"/>
                <w:sz w:val="24"/>
                <w14:textFill>
                  <w14:solidFill>
                    <w14:schemeClr w14:val="tx1"/>
                  </w14:solidFill>
                </w14:textFill>
              </w:rPr>
              <w:t>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9"/>
              <w:gridCol w:w="685"/>
              <w:gridCol w:w="1128"/>
              <w:gridCol w:w="1155"/>
              <w:gridCol w:w="722"/>
              <w:gridCol w:w="578"/>
              <w:gridCol w:w="723"/>
              <w:gridCol w:w="2534"/>
            </w:tblGrid>
            <w:tr w14:paraId="0DED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Merge w:val="restart"/>
                  <w:vAlign w:val="center"/>
                </w:tcPr>
                <w:p w14:paraId="2C28B1BD">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w:t>
                  </w:r>
                </w:p>
                <w:p w14:paraId="30377AD9">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要素</w:t>
                  </w:r>
                </w:p>
              </w:tc>
              <w:tc>
                <w:tcPr>
                  <w:tcW w:w="430" w:type="pct"/>
                  <w:vMerge w:val="restart"/>
                  <w:vAlign w:val="center"/>
                </w:tcPr>
                <w:p w14:paraId="5B70B2D8">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保护</w:t>
                  </w:r>
                </w:p>
                <w:p w14:paraId="0D89E469">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目标</w:t>
                  </w:r>
                </w:p>
              </w:tc>
              <w:tc>
                <w:tcPr>
                  <w:tcW w:w="1433" w:type="pct"/>
                  <w:gridSpan w:val="2"/>
                  <w:vAlign w:val="center"/>
                </w:tcPr>
                <w:p w14:paraId="7E0C3EBF">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坐标/</w:t>
                  </w:r>
                </w:p>
              </w:tc>
              <w:tc>
                <w:tcPr>
                  <w:tcW w:w="453" w:type="pct"/>
                  <w:vMerge w:val="restart"/>
                  <w:vAlign w:val="center"/>
                </w:tcPr>
                <w:p w14:paraId="36D024D7">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保护</w:t>
                  </w:r>
                </w:p>
                <w:p w14:paraId="6A2224E5">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内容</w:t>
                  </w:r>
                </w:p>
              </w:tc>
              <w:tc>
                <w:tcPr>
                  <w:tcW w:w="363" w:type="pct"/>
                  <w:vMerge w:val="restart"/>
                  <w:vAlign w:val="center"/>
                </w:tcPr>
                <w:p w14:paraId="3AEE4866">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方位</w:t>
                  </w:r>
                </w:p>
              </w:tc>
              <w:tc>
                <w:tcPr>
                  <w:tcW w:w="454" w:type="pct"/>
                  <w:vMerge w:val="restart"/>
                  <w:vAlign w:val="center"/>
                </w:tcPr>
                <w:p w14:paraId="625C3769">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距离（m）</w:t>
                  </w:r>
                </w:p>
              </w:tc>
              <w:tc>
                <w:tcPr>
                  <w:tcW w:w="1592" w:type="pct"/>
                  <w:vMerge w:val="restart"/>
                  <w:vAlign w:val="center"/>
                </w:tcPr>
                <w:p w14:paraId="06C6A67E">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功能要求</w:t>
                  </w:r>
                </w:p>
              </w:tc>
            </w:tr>
            <w:tr w14:paraId="46F9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Merge w:val="continue"/>
                  <w:vAlign w:val="center"/>
                </w:tcPr>
                <w:p w14:paraId="79BB255A">
                  <w:pPr>
                    <w:widowControl/>
                    <w:adjustRightInd w:val="0"/>
                    <w:snapToGrid w:val="0"/>
                    <w:spacing w:line="360" w:lineRule="exact"/>
                    <w:jc w:val="center"/>
                    <w:rPr>
                      <w:color w:val="000000" w:themeColor="text1"/>
                      <w:szCs w:val="21"/>
                      <w14:textFill>
                        <w14:solidFill>
                          <w14:schemeClr w14:val="tx1"/>
                        </w14:solidFill>
                      </w14:textFill>
                    </w:rPr>
                  </w:pPr>
                </w:p>
              </w:tc>
              <w:tc>
                <w:tcPr>
                  <w:tcW w:w="430" w:type="pct"/>
                  <w:vMerge w:val="continue"/>
                  <w:vAlign w:val="center"/>
                </w:tcPr>
                <w:p w14:paraId="1B94DAB8">
                  <w:pPr>
                    <w:widowControl/>
                    <w:adjustRightInd w:val="0"/>
                    <w:snapToGrid w:val="0"/>
                    <w:spacing w:line="360" w:lineRule="exact"/>
                    <w:jc w:val="center"/>
                    <w:rPr>
                      <w:color w:val="000000" w:themeColor="text1"/>
                      <w:szCs w:val="21"/>
                      <w14:textFill>
                        <w14:solidFill>
                          <w14:schemeClr w14:val="tx1"/>
                        </w14:solidFill>
                      </w14:textFill>
                    </w:rPr>
                  </w:pPr>
                </w:p>
              </w:tc>
              <w:tc>
                <w:tcPr>
                  <w:tcW w:w="708" w:type="pct"/>
                  <w:vAlign w:val="center"/>
                </w:tcPr>
                <w:p w14:paraId="38978369">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经度/°</w:t>
                  </w:r>
                </w:p>
              </w:tc>
              <w:tc>
                <w:tcPr>
                  <w:tcW w:w="725" w:type="pct"/>
                  <w:vAlign w:val="center"/>
                </w:tcPr>
                <w:p w14:paraId="27992053">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纬度/°</w:t>
                  </w:r>
                </w:p>
              </w:tc>
              <w:tc>
                <w:tcPr>
                  <w:tcW w:w="453" w:type="pct"/>
                  <w:vMerge w:val="continue"/>
                  <w:vAlign w:val="center"/>
                </w:tcPr>
                <w:p w14:paraId="3879C713">
                  <w:pPr>
                    <w:widowControl/>
                    <w:adjustRightInd w:val="0"/>
                    <w:snapToGrid w:val="0"/>
                    <w:spacing w:line="360" w:lineRule="exact"/>
                    <w:jc w:val="center"/>
                    <w:rPr>
                      <w:color w:val="000000" w:themeColor="text1"/>
                      <w:szCs w:val="21"/>
                      <w14:textFill>
                        <w14:solidFill>
                          <w14:schemeClr w14:val="tx1"/>
                        </w14:solidFill>
                      </w14:textFill>
                    </w:rPr>
                  </w:pPr>
                </w:p>
              </w:tc>
              <w:tc>
                <w:tcPr>
                  <w:tcW w:w="363" w:type="pct"/>
                  <w:vMerge w:val="continue"/>
                  <w:vAlign w:val="center"/>
                </w:tcPr>
                <w:p w14:paraId="32D70336">
                  <w:pPr>
                    <w:widowControl/>
                    <w:adjustRightInd w:val="0"/>
                    <w:snapToGrid w:val="0"/>
                    <w:spacing w:line="360" w:lineRule="exact"/>
                    <w:jc w:val="center"/>
                    <w:rPr>
                      <w:color w:val="000000" w:themeColor="text1"/>
                      <w:szCs w:val="21"/>
                      <w14:textFill>
                        <w14:solidFill>
                          <w14:schemeClr w14:val="tx1"/>
                        </w14:solidFill>
                      </w14:textFill>
                    </w:rPr>
                  </w:pPr>
                </w:p>
              </w:tc>
              <w:tc>
                <w:tcPr>
                  <w:tcW w:w="454" w:type="pct"/>
                  <w:vMerge w:val="continue"/>
                  <w:vAlign w:val="center"/>
                </w:tcPr>
                <w:p w14:paraId="7DA30A40">
                  <w:pPr>
                    <w:widowControl/>
                    <w:adjustRightInd w:val="0"/>
                    <w:snapToGrid w:val="0"/>
                    <w:spacing w:line="360" w:lineRule="exact"/>
                    <w:jc w:val="center"/>
                    <w:rPr>
                      <w:color w:val="000000" w:themeColor="text1"/>
                      <w:szCs w:val="21"/>
                      <w14:textFill>
                        <w14:solidFill>
                          <w14:schemeClr w14:val="tx1"/>
                        </w14:solidFill>
                      </w14:textFill>
                    </w:rPr>
                  </w:pPr>
                </w:p>
              </w:tc>
              <w:tc>
                <w:tcPr>
                  <w:tcW w:w="1592" w:type="pct"/>
                  <w:vMerge w:val="continue"/>
                  <w:vAlign w:val="center"/>
                </w:tcPr>
                <w:p w14:paraId="72CD3F12">
                  <w:pPr>
                    <w:widowControl/>
                    <w:adjustRightInd w:val="0"/>
                    <w:snapToGrid w:val="0"/>
                    <w:spacing w:line="360" w:lineRule="exact"/>
                    <w:jc w:val="center"/>
                    <w:rPr>
                      <w:color w:val="000000" w:themeColor="text1"/>
                      <w:szCs w:val="21"/>
                      <w14:textFill>
                        <w14:solidFill>
                          <w14:schemeClr w14:val="tx1"/>
                        </w14:solidFill>
                      </w14:textFill>
                    </w:rPr>
                  </w:pPr>
                </w:p>
              </w:tc>
            </w:tr>
            <w:tr w14:paraId="22EC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6C941291">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大气环境</w:t>
                  </w:r>
                </w:p>
              </w:tc>
              <w:tc>
                <w:tcPr>
                  <w:tcW w:w="3133" w:type="pct"/>
                  <w:gridSpan w:val="6"/>
                  <w:vAlign w:val="center"/>
                </w:tcPr>
                <w:p w14:paraId="07992DBB">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厂区周边500m范围内无敏感点</w:t>
                  </w:r>
                </w:p>
              </w:tc>
              <w:tc>
                <w:tcPr>
                  <w:tcW w:w="1592" w:type="pct"/>
                  <w:vAlign w:val="center"/>
                </w:tcPr>
                <w:p w14:paraId="1A7C0586">
                  <w:pPr>
                    <w:widowControl/>
                    <w:adjustRightInd w:val="0"/>
                    <w:snapToGrid w:val="0"/>
                    <w:spacing w:line="3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《环境空气质量标准》（GB3095-2012）及其修改单二级标准</w:t>
                  </w:r>
                </w:p>
              </w:tc>
            </w:tr>
            <w:tr w14:paraId="0767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6CDE611E">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声环境</w:t>
                  </w:r>
                </w:p>
              </w:tc>
              <w:tc>
                <w:tcPr>
                  <w:tcW w:w="3133" w:type="pct"/>
                  <w:gridSpan w:val="6"/>
                  <w:vAlign w:val="center"/>
                </w:tcPr>
                <w:p w14:paraId="2A40BCC7">
                  <w:pPr>
                    <w:widowControl/>
                    <w:adjustRightInd w:val="0"/>
                    <w:snapToGrid w:val="0"/>
                    <w:spacing w:line="360" w:lineRule="exact"/>
                    <w:rPr>
                      <w:color w:val="000000" w:themeColor="text1"/>
                      <w:spacing w:val="-2"/>
                      <w:szCs w:val="21"/>
                      <w14:textFill>
                        <w14:solidFill>
                          <w14:schemeClr w14:val="tx1"/>
                        </w14:solidFill>
                      </w14:textFill>
                    </w:rPr>
                  </w:pPr>
                  <w:r>
                    <w:rPr>
                      <w:color w:val="000000" w:themeColor="text1"/>
                      <w:spacing w:val="-2"/>
                      <w:szCs w:val="21"/>
                      <w14:textFill>
                        <w14:solidFill>
                          <w14:schemeClr w14:val="tx1"/>
                        </w14:solidFill>
                      </w14:textFill>
                    </w:rPr>
                    <w:t>厂界</w:t>
                  </w:r>
                  <w:r>
                    <w:rPr>
                      <w:rFonts w:hint="eastAsia"/>
                      <w:color w:val="000000" w:themeColor="text1"/>
                      <w:spacing w:val="-2"/>
                      <w:szCs w:val="21"/>
                      <w14:textFill>
                        <w14:solidFill>
                          <w14:schemeClr w14:val="tx1"/>
                        </w14:solidFill>
                      </w14:textFill>
                    </w:rPr>
                    <w:t>（项目周边50m范围内无声环境保护目标）</w:t>
                  </w:r>
                </w:p>
              </w:tc>
              <w:tc>
                <w:tcPr>
                  <w:tcW w:w="1592" w:type="pct"/>
                  <w:vAlign w:val="center"/>
                </w:tcPr>
                <w:p w14:paraId="1096E1F5">
                  <w:pPr>
                    <w:widowControl/>
                    <w:adjustRightInd w:val="0"/>
                    <w:snapToGrid w:val="0"/>
                    <w:spacing w:line="360" w:lineRule="exact"/>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《声环境质量标准》（GB3096-2008）</w:t>
                  </w:r>
                  <w:r>
                    <w:rPr>
                      <w:rFonts w:hint="eastAsia"/>
                      <w:color w:val="000000" w:themeColor="text1"/>
                      <w:kern w:val="0"/>
                      <w:szCs w:val="21"/>
                      <w14:textFill>
                        <w14:solidFill>
                          <w14:schemeClr w14:val="tx1"/>
                        </w14:solidFill>
                      </w14:textFill>
                    </w:rPr>
                    <w:t>2</w:t>
                  </w:r>
                  <w:r>
                    <w:rPr>
                      <w:color w:val="000000" w:themeColor="text1"/>
                      <w:kern w:val="0"/>
                      <w:szCs w:val="21"/>
                      <w14:textFill>
                        <w14:solidFill>
                          <w14:schemeClr w14:val="tx1"/>
                        </w14:solidFill>
                      </w14:textFill>
                    </w:rPr>
                    <w:t>类标准</w:t>
                  </w:r>
                </w:p>
              </w:tc>
            </w:tr>
            <w:tr w14:paraId="2A37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1B8209EF">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地下水环境</w:t>
                  </w:r>
                </w:p>
              </w:tc>
              <w:tc>
                <w:tcPr>
                  <w:tcW w:w="3133" w:type="pct"/>
                  <w:gridSpan w:val="6"/>
                  <w:vAlign w:val="center"/>
                </w:tcPr>
                <w:p w14:paraId="66C3E83E">
                  <w:pPr>
                    <w:widowControl/>
                    <w:adjustRightInd w:val="0"/>
                    <w:snapToGrid w:val="0"/>
                    <w:spacing w:line="360" w:lineRule="exact"/>
                    <w:rPr>
                      <w:color w:val="000000" w:themeColor="text1"/>
                      <w:spacing w:val="-2"/>
                      <w:szCs w:val="21"/>
                      <w14:textFill>
                        <w14:solidFill>
                          <w14:schemeClr w14:val="tx1"/>
                        </w14:solidFill>
                      </w14:textFill>
                    </w:rPr>
                  </w:pPr>
                  <w:r>
                    <w:rPr>
                      <w:rFonts w:hint="eastAsia"/>
                      <w:color w:val="000000" w:themeColor="text1"/>
                      <w14:textFill>
                        <w14:solidFill>
                          <w14:schemeClr w14:val="tx1"/>
                        </w14:solidFill>
                      </w14:textFill>
                    </w:rPr>
                    <w:t>厂界外500m范围内不存在地下水集中式饮用水水源和热水、矿泉水、温泉等特殊地下水资源</w:t>
                  </w:r>
                </w:p>
              </w:tc>
              <w:tc>
                <w:tcPr>
                  <w:tcW w:w="1592" w:type="pct"/>
                  <w:vAlign w:val="center"/>
                </w:tcPr>
                <w:p w14:paraId="04B18B3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《地下水质量标准》（GB/T14848-2017）Ⅲ类标准</w:t>
                  </w:r>
                </w:p>
              </w:tc>
            </w:tr>
            <w:tr w14:paraId="49FB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25D8B5D9">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土壤环境</w:t>
                  </w:r>
                </w:p>
              </w:tc>
              <w:tc>
                <w:tcPr>
                  <w:tcW w:w="3133" w:type="pct"/>
                  <w:gridSpan w:val="6"/>
                  <w:vAlign w:val="center"/>
                </w:tcPr>
                <w:p w14:paraId="05C514F6">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项目建设厂区内</w:t>
                  </w:r>
                  <w:r>
                    <w:rPr>
                      <w:color w:val="000000" w:themeColor="text1"/>
                      <w:szCs w:val="21"/>
                      <w14:textFill>
                        <w14:solidFill>
                          <w14:schemeClr w14:val="tx1"/>
                        </w14:solidFill>
                      </w14:textFill>
                    </w:rPr>
                    <w:t>土壤</w:t>
                  </w:r>
                  <w:r>
                    <w:rPr>
                      <w:rFonts w:hint="eastAsia"/>
                      <w:color w:val="000000" w:themeColor="text1"/>
                      <w:szCs w:val="21"/>
                      <w14:textFill>
                        <w14:solidFill>
                          <w14:schemeClr w14:val="tx1"/>
                        </w14:solidFill>
                      </w14:textFill>
                    </w:rPr>
                    <w:t>、周边牧草地</w:t>
                  </w:r>
                </w:p>
              </w:tc>
              <w:tc>
                <w:tcPr>
                  <w:tcW w:w="1592" w:type="pct"/>
                  <w:vAlign w:val="center"/>
                </w:tcPr>
                <w:p w14:paraId="74C1CDA6">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《土壤环境质量  建设用地土壤污染风险管控标准（试行）》（GB36600-2018）第二类用地筛选值限值要求</w:t>
                  </w:r>
                  <w:r>
                    <w:rPr>
                      <w:rFonts w:hint="eastAsia"/>
                      <w:color w:val="000000" w:themeColor="text1"/>
                      <w:szCs w:val="21"/>
                      <w14:textFill>
                        <w14:solidFill>
                          <w14:schemeClr w14:val="tx1"/>
                        </w14:solidFill>
                      </w14:textFill>
                    </w:rPr>
                    <w:t>；</w:t>
                  </w:r>
                  <w:bookmarkStart w:id="14" w:name="OLE_LINK1"/>
                  <w:r>
                    <w:rPr>
                      <w:color w:val="000000" w:themeColor="text1"/>
                      <w:szCs w:val="21"/>
                      <w14:textFill>
                        <w14:solidFill>
                          <w14:schemeClr w14:val="tx1"/>
                        </w14:solidFill>
                      </w14:textFill>
                    </w:rPr>
                    <w:t>《土壤环境质量 农用地土壤污染风险管控标准（试行）》（GB 15618—2018）表1农用地土壤污染风险筛选值</w:t>
                  </w:r>
                  <w:bookmarkEnd w:id="14"/>
                </w:p>
              </w:tc>
            </w:tr>
            <w:tr w14:paraId="2D70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276" w:type="pct"/>
                  <w:vAlign w:val="center"/>
                </w:tcPr>
                <w:p w14:paraId="46E86D1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环境风险</w:t>
                  </w:r>
                </w:p>
              </w:tc>
              <w:tc>
                <w:tcPr>
                  <w:tcW w:w="3133" w:type="pct"/>
                  <w:gridSpan w:val="6"/>
                  <w:vAlign w:val="center"/>
                </w:tcPr>
                <w:p w14:paraId="5DAED018">
                  <w:pPr>
                    <w:widowControl/>
                    <w:adjustRightInd w:val="0"/>
                    <w:snapToGrid w:val="0"/>
                    <w:spacing w:line="360" w:lineRule="exact"/>
                    <w:rPr>
                      <w:color w:val="000000" w:themeColor="text1"/>
                      <w:szCs w:val="21"/>
                      <w14:textFill>
                        <w14:solidFill>
                          <w14:schemeClr w14:val="tx1"/>
                        </w14:solidFill>
                      </w14:textFill>
                    </w:rPr>
                  </w:pPr>
                  <w:bookmarkStart w:id="15" w:name="_Hlk163495733"/>
                  <w:r>
                    <w:rPr>
                      <w:color w:val="000000" w:themeColor="text1"/>
                      <w:szCs w:val="21"/>
                      <w14:textFill>
                        <w14:solidFill>
                          <w14:schemeClr w14:val="tx1"/>
                        </w14:solidFill>
                      </w14:textFill>
                    </w:rPr>
                    <w:t>大气：项目周围500m</w:t>
                  </w:r>
                  <w:r>
                    <w:rPr>
                      <w:rFonts w:hint="eastAsia"/>
                      <w:color w:val="000000" w:themeColor="text1"/>
                      <w:szCs w:val="21"/>
                      <w14:textFill>
                        <w14:solidFill>
                          <w14:schemeClr w14:val="tx1"/>
                        </w14:solidFill>
                      </w14:textFill>
                    </w:rPr>
                    <w:t>内</w:t>
                  </w:r>
                  <w:r>
                    <w:rPr>
                      <w:color w:val="000000" w:themeColor="text1"/>
                      <w:szCs w:val="21"/>
                      <w14:textFill>
                        <w14:solidFill>
                          <w14:schemeClr w14:val="tx1"/>
                        </w14:solidFill>
                      </w14:textFill>
                    </w:rPr>
                    <w:t>企业</w:t>
                  </w:r>
                </w:p>
                <w:p w14:paraId="16720B67">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地表水：</w:t>
                  </w:r>
                  <w:r>
                    <w:rPr>
                      <w:rFonts w:hint="eastAsia"/>
                      <w:color w:val="000000" w:themeColor="text1"/>
                      <w:szCs w:val="21"/>
                      <w14:textFill>
                        <w14:solidFill>
                          <w14:schemeClr w14:val="tx1"/>
                        </w14:solidFill>
                      </w14:textFill>
                    </w:rPr>
                    <w:t>项目废水不外排</w:t>
                  </w:r>
                </w:p>
                <w:p w14:paraId="302C2A5D">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地下水：厂址及周边区域地下水</w:t>
                  </w:r>
                  <w:bookmarkEnd w:id="15"/>
                </w:p>
              </w:tc>
              <w:tc>
                <w:tcPr>
                  <w:tcW w:w="1592" w:type="pct"/>
                  <w:vAlign w:val="center"/>
                </w:tcPr>
                <w:p w14:paraId="2961F140">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风险处于可防控水平</w:t>
                  </w:r>
                </w:p>
              </w:tc>
            </w:tr>
            <w:tr w14:paraId="27CE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276" w:type="pct"/>
                  <w:vAlign w:val="center"/>
                </w:tcPr>
                <w:p w14:paraId="61F333F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w:t>
                  </w:r>
                </w:p>
              </w:tc>
              <w:tc>
                <w:tcPr>
                  <w:tcW w:w="3133" w:type="pct"/>
                  <w:gridSpan w:val="6"/>
                  <w:vAlign w:val="center"/>
                </w:tcPr>
                <w:p w14:paraId="4A1E2E5A">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无生态环境保护目标</w:t>
                  </w:r>
                </w:p>
              </w:tc>
              <w:tc>
                <w:tcPr>
                  <w:tcW w:w="1592" w:type="pct"/>
                  <w:vAlign w:val="center"/>
                </w:tcPr>
                <w:p w14:paraId="02E50A71">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 </w:t>
                  </w:r>
                </w:p>
              </w:tc>
            </w:tr>
          </w:tbl>
          <w:p w14:paraId="2D6FF481">
            <w:pPr>
              <w:pStyle w:val="6"/>
              <w:rPr>
                <w:color w:val="000000" w:themeColor="text1"/>
                <w14:textFill>
                  <w14:solidFill>
                    <w14:schemeClr w14:val="tx1"/>
                  </w14:solidFill>
                </w14:textFill>
              </w:rPr>
            </w:pPr>
          </w:p>
          <w:p w14:paraId="36E1DDAE">
            <w:pPr>
              <w:rPr>
                <w:color w:val="000000" w:themeColor="text1"/>
                <w14:textFill>
                  <w14:solidFill>
                    <w14:schemeClr w14:val="tx1"/>
                  </w14:solidFill>
                </w14:textFill>
              </w:rPr>
            </w:pPr>
          </w:p>
          <w:p w14:paraId="12021D40">
            <w:pPr>
              <w:rPr>
                <w:color w:val="000000" w:themeColor="text1"/>
                <w14:textFill>
                  <w14:solidFill>
                    <w14:schemeClr w14:val="tx1"/>
                  </w14:solidFill>
                </w14:textFill>
              </w:rPr>
            </w:pPr>
          </w:p>
          <w:p w14:paraId="7628ED33">
            <w:pPr>
              <w:rPr>
                <w:color w:val="000000" w:themeColor="text1"/>
                <w14:textFill>
                  <w14:solidFill>
                    <w14:schemeClr w14:val="tx1"/>
                  </w14:solidFill>
                </w14:textFill>
              </w:rPr>
            </w:pPr>
          </w:p>
          <w:p w14:paraId="1B20AC46">
            <w:pPr>
              <w:rPr>
                <w:color w:val="000000" w:themeColor="text1"/>
                <w14:textFill>
                  <w14:solidFill>
                    <w14:schemeClr w14:val="tx1"/>
                  </w14:solidFill>
                </w14:textFill>
              </w:rPr>
            </w:pPr>
          </w:p>
          <w:p w14:paraId="4F7DBEE3">
            <w:pPr>
              <w:rPr>
                <w:color w:val="000000" w:themeColor="text1"/>
                <w14:textFill>
                  <w14:solidFill>
                    <w14:schemeClr w14:val="tx1"/>
                  </w14:solidFill>
                </w14:textFill>
              </w:rPr>
            </w:pPr>
          </w:p>
          <w:p w14:paraId="2610F2EB">
            <w:pPr>
              <w:rPr>
                <w:color w:val="000000" w:themeColor="text1"/>
                <w14:textFill>
                  <w14:solidFill>
                    <w14:schemeClr w14:val="tx1"/>
                  </w14:solidFill>
                </w14:textFill>
              </w:rPr>
            </w:pPr>
          </w:p>
        </w:tc>
      </w:tr>
      <w:tr w14:paraId="584B9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00" w:type="dxa"/>
            <w:tcMar>
              <w:left w:w="28" w:type="dxa"/>
              <w:right w:w="28" w:type="dxa"/>
            </w:tcMar>
            <w:vAlign w:val="center"/>
          </w:tcPr>
          <w:p w14:paraId="0D7A0CCC">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污染</w:t>
            </w:r>
          </w:p>
          <w:p w14:paraId="1E49B8AA">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物排</w:t>
            </w:r>
          </w:p>
          <w:p w14:paraId="0D3E2156">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放控</w:t>
            </w:r>
          </w:p>
          <w:p w14:paraId="23918FF9">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制标</w:t>
            </w:r>
          </w:p>
          <w:p w14:paraId="224D11FC">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准</w:t>
            </w:r>
          </w:p>
        </w:tc>
        <w:tc>
          <w:tcPr>
            <w:tcW w:w="8190" w:type="dxa"/>
            <w:vAlign w:val="center"/>
          </w:tcPr>
          <w:p w14:paraId="61DD32E9">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项目实际已建设完成，本次属于“未批先建”部分补办环评手续，因此污染物排放控制标准不涉及施工期。</w:t>
            </w:r>
          </w:p>
          <w:p w14:paraId="01B7B1D0">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废气</w:t>
            </w:r>
          </w:p>
          <w:p w14:paraId="13B8551E">
            <w:pPr>
              <w:pStyle w:val="5"/>
              <w:spacing w:line="440" w:lineRule="exact"/>
              <w:ind w:firstLine="480" w:firstLineChars="200"/>
              <w:rPr>
                <w:color w:val="000000" w:themeColor="text1"/>
                <w:sz w:val="24"/>
                <w14:textFill>
                  <w14:solidFill>
                    <w14:schemeClr w14:val="tx1"/>
                  </w14:solidFill>
                </w14:textFill>
              </w:rPr>
            </w:pPr>
            <w:bookmarkStart w:id="16" w:name="_Hlk164269154"/>
            <w:r>
              <w:rPr>
                <w:rFonts w:hint="eastAsia"/>
                <w:color w:val="000000" w:themeColor="text1"/>
                <w:sz w:val="24"/>
                <w14:textFill>
                  <w14:solidFill>
                    <w14:schemeClr w14:val="tx1"/>
                  </w14:solidFill>
                </w14:textFill>
              </w:rPr>
              <w:t>项目运营期颗粒物无组织排放执行《煤炭工业污染物排放标准》（GB20426-2006）表 5 煤炭工业无组织排放限值要求。</w:t>
            </w:r>
          </w:p>
          <w:bookmarkEnd w:id="16"/>
          <w:p w14:paraId="21A60EE1">
            <w:pPr>
              <w:pStyle w:val="64"/>
              <w:keepNext/>
              <w:adjustRightInd/>
              <w:spacing w:line="440" w:lineRule="exact"/>
              <w:ind w:firstLine="482" w:firstLineChars="200"/>
              <w:jc w:val="both"/>
              <w:rPr>
                <w:bCs/>
                <w:color w:val="000000" w:themeColor="text1"/>
                <w:kern w:val="2"/>
                <w:szCs w:val="24"/>
                <w14:textFill>
                  <w14:solidFill>
                    <w14:schemeClr w14:val="tx1"/>
                  </w14:solidFill>
                </w14:textFill>
              </w:rPr>
            </w:pPr>
            <w:r>
              <w:rPr>
                <w:bCs/>
                <w:color w:val="000000" w:themeColor="text1"/>
                <w:kern w:val="2"/>
                <w:szCs w:val="24"/>
                <w14:textFill>
                  <w14:solidFill>
                    <w14:schemeClr w14:val="tx1"/>
                  </w14:solidFill>
                </w14:textFill>
              </w:rPr>
              <w:t>表</w:t>
            </w:r>
            <w:r>
              <w:rPr>
                <w:rFonts w:hint="eastAsia"/>
                <w:bCs/>
                <w:color w:val="000000" w:themeColor="text1"/>
                <w:kern w:val="2"/>
                <w:szCs w:val="24"/>
                <w14:textFill>
                  <w14:solidFill>
                    <w14:schemeClr w14:val="tx1"/>
                  </w14:solidFill>
                </w14:textFill>
              </w:rPr>
              <w:t>3-5</w:t>
            </w:r>
            <w:r>
              <w:rPr>
                <w:bCs/>
                <w:color w:val="000000" w:themeColor="text1"/>
                <w:kern w:val="2"/>
                <w:szCs w:val="24"/>
                <w14:textFill>
                  <w14:solidFill>
                    <w14:schemeClr w14:val="tx1"/>
                  </w14:solidFill>
                </w14:textFill>
              </w:rPr>
              <w:t xml:space="preserve">    </w:t>
            </w:r>
            <w:r>
              <w:rPr>
                <w:rFonts w:hint="eastAsia"/>
                <w:bCs/>
                <w:color w:val="000000" w:themeColor="text1"/>
                <w:kern w:val="2"/>
                <w:szCs w:val="24"/>
                <w14:textFill>
                  <w14:solidFill>
                    <w14:schemeClr w14:val="tx1"/>
                  </w14:solidFill>
                </w14:textFill>
              </w:rPr>
              <w:t>运营期</w:t>
            </w:r>
            <w:r>
              <w:rPr>
                <w:bCs/>
                <w:color w:val="000000" w:themeColor="text1"/>
                <w:kern w:val="2"/>
                <w:szCs w:val="24"/>
                <w14:textFill>
                  <w14:solidFill>
                    <w14:schemeClr w14:val="tx1"/>
                  </w14:solidFill>
                </w14:textFill>
              </w:rPr>
              <w:t>废气执行标准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2"/>
              <w:gridCol w:w="1031"/>
              <w:gridCol w:w="4751"/>
              <w:gridCol w:w="1370"/>
            </w:tblGrid>
            <w:tr w14:paraId="7906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57" w:type="pct"/>
                  <w:gridSpan w:val="2"/>
                  <w:vAlign w:val="center"/>
                </w:tcPr>
                <w:p w14:paraId="7A95A34E">
                  <w:pPr>
                    <w:pStyle w:val="64"/>
                    <w:snapToGrid w:val="0"/>
                    <w:spacing w:line="360" w:lineRule="exact"/>
                    <w:rPr>
                      <w:b w:val="0"/>
                      <w:color w:val="000000" w:themeColor="text1"/>
                      <w:kern w:val="2"/>
                      <w:sz w:val="21"/>
                      <w14:textFill>
                        <w14:solidFill>
                          <w14:schemeClr w14:val="tx1"/>
                        </w14:solidFill>
                      </w14:textFill>
                    </w:rPr>
                  </w:pPr>
                  <w:r>
                    <w:rPr>
                      <w:b w:val="0"/>
                      <w:color w:val="000000" w:themeColor="text1"/>
                      <w:kern w:val="2"/>
                      <w:sz w:val="21"/>
                      <w14:textFill>
                        <w14:solidFill>
                          <w14:schemeClr w14:val="tx1"/>
                        </w14:solidFill>
                      </w14:textFill>
                    </w:rPr>
                    <w:t>污染物</w:t>
                  </w:r>
                </w:p>
              </w:tc>
              <w:tc>
                <w:tcPr>
                  <w:tcW w:w="2983" w:type="pct"/>
                  <w:vAlign w:val="center"/>
                </w:tcPr>
                <w:p w14:paraId="59A6D1CF">
                  <w:pPr>
                    <w:pStyle w:val="64"/>
                    <w:snapToGrid w:val="0"/>
                    <w:spacing w:line="360" w:lineRule="exact"/>
                    <w:rPr>
                      <w:b w:val="0"/>
                      <w:color w:val="000000" w:themeColor="text1"/>
                      <w:kern w:val="2"/>
                      <w:sz w:val="21"/>
                      <w14:textFill>
                        <w14:solidFill>
                          <w14:schemeClr w14:val="tx1"/>
                        </w14:solidFill>
                      </w14:textFill>
                    </w:rPr>
                  </w:pPr>
                  <w:r>
                    <w:rPr>
                      <w:b w:val="0"/>
                      <w:color w:val="000000" w:themeColor="text1"/>
                      <w:kern w:val="2"/>
                      <w:sz w:val="21"/>
                      <w14:textFill>
                        <w14:solidFill>
                          <w14:schemeClr w14:val="tx1"/>
                        </w14:solidFill>
                      </w14:textFill>
                    </w:rPr>
                    <w:t>标准来源</w:t>
                  </w:r>
                </w:p>
              </w:tc>
              <w:tc>
                <w:tcPr>
                  <w:tcW w:w="860" w:type="pct"/>
                  <w:vAlign w:val="center"/>
                </w:tcPr>
                <w:p w14:paraId="6FCBD062">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标准值</w:t>
                  </w:r>
                </w:p>
              </w:tc>
            </w:tr>
            <w:tr w14:paraId="79FA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restart"/>
                  <w:vAlign w:val="center"/>
                </w:tcPr>
                <w:p w14:paraId="7BE52061">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颗粒物</w:t>
                  </w:r>
                </w:p>
              </w:tc>
              <w:tc>
                <w:tcPr>
                  <w:tcW w:w="647" w:type="pct"/>
                  <w:vMerge w:val="restart"/>
                  <w:vAlign w:val="center"/>
                </w:tcPr>
                <w:p w14:paraId="201833A2">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无组织</w:t>
                  </w:r>
                </w:p>
              </w:tc>
              <w:tc>
                <w:tcPr>
                  <w:tcW w:w="2983" w:type="pct"/>
                  <w:vMerge w:val="restart"/>
                  <w:vAlign w:val="center"/>
                </w:tcPr>
                <w:p w14:paraId="5B819435">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《煤炭工业污染物排放标准》（GB20426-2006）表 5 煤炭工业无组织排放限值要求</w:t>
                  </w:r>
                </w:p>
              </w:tc>
              <w:tc>
                <w:tcPr>
                  <w:tcW w:w="860" w:type="pct"/>
                  <w:vMerge w:val="restart"/>
                  <w:vAlign w:val="center"/>
                </w:tcPr>
                <w:p w14:paraId="151FA49A">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r>
                    <w:rPr>
                      <w:color w:val="000000" w:themeColor="text1"/>
                      <w:szCs w:val="21"/>
                      <w14:textFill>
                        <w14:solidFill>
                          <w14:schemeClr w14:val="tx1"/>
                        </w14:solidFill>
                      </w14:textFill>
                    </w:rPr>
                    <w:t>mg/m</w:t>
                  </w:r>
                  <w:r>
                    <w:rPr>
                      <w:color w:val="000000" w:themeColor="text1"/>
                      <w:szCs w:val="21"/>
                      <w:vertAlign w:val="superscript"/>
                      <w14:textFill>
                        <w14:solidFill>
                          <w14:schemeClr w14:val="tx1"/>
                        </w14:solidFill>
                      </w14:textFill>
                    </w:rPr>
                    <w:t>3</w:t>
                  </w:r>
                </w:p>
              </w:tc>
            </w:tr>
            <w:tr w14:paraId="53E6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continue"/>
                  <w:vAlign w:val="center"/>
                </w:tcPr>
                <w:p w14:paraId="14195557">
                  <w:pPr>
                    <w:pStyle w:val="64"/>
                    <w:snapToGrid w:val="0"/>
                    <w:spacing w:line="360" w:lineRule="exact"/>
                    <w:rPr>
                      <w:b w:val="0"/>
                      <w:color w:val="000000" w:themeColor="text1"/>
                      <w:kern w:val="2"/>
                      <w:sz w:val="21"/>
                      <w14:textFill>
                        <w14:solidFill>
                          <w14:schemeClr w14:val="tx1"/>
                        </w14:solidFill>
                      </w14:textFill>
                    </w:rPr>
                  </w:pPr>
                </w:p>
              </w:tc>
              <w:tc>
                <w:tcPr>
                  <w:tcW w:w="647" w:type="pct"/>
                  <w:vMerge w:val="continue"/>
                  <w:vAlign w:val="center"/>
                </w:tcPr>
                <w:p w14:paraId="2AEBB144">
                  <w:pPr>
                    <w:pStyle w:val="64"/>
                    <w:snapToGrid w:val="0"/>
                    <w:spacing w:line="360" w:lineRule="exact"/>
                    <w:rPr>
                      <w:b w:val="0"/>
                      <w:color w:val="000000" w:themeColor="text1"/>
                      <w:kern w:val="2"/>
                      <w:sz w:val="21"/>
                      <w14:textFill>
                        <w14:solidFill>
                          <w14:schemeClr w14:val="tx1"/>
                        </w14:solidFill>
                      </w14:textFill>
                    </w:rPr>
                  </w:pPr>
                </w:p>
              </w:tc>
              <w:tc>
                <w:tcPr>
                  <w:tcW w:w="2983" w:type="pct"/>
                  <w:vMerge w:val="continue"/>
                  <w:vAlign w:val="center"/>
                </w:tcPr>
                <w:p w14:paraId="2EFC3C32">
                  <w:pPr>
                    <w:pStyle w:val="64"/>
                    <w:snapToGrid w:val="0"/>
                    <w:spacing w:line="360" w:lineRule="exact"/>
                    <w:rPr>
                      <w:b w:val="0"/>
                      <w:color w:val="000000" w:themeColor="text1"/>
                      <w:kern w:val="2"/>
                      <w:sz w:val="21"/>
                      <w14:textFill>
                        <w14:solidFill>
                          <w14:schemeClr w14:val="tx1"/>
                        </w14:solidFill>
                      </w14:textFill>
                    </w:rPr>
                  </w:pPr>
                </w:p>
              </w:tc>
              <w:tc>
                <w:tcPr>
                  <w:tcW w:w="860" w:type="pct"/>
                  <w:vMerge w:val="continue"/>
                  <w:vAlign w:val="center"/>
                </w:tcPr>
                <w:p w14:paraId="1D9E1060">
                  <w:pPr>
                    <w:spacing w:line="340" w:lineRule="exact"/>
                    <w:jc w:val="center"/>
                    <w:rPr>
                      <w:color w:val="000000" w:themeColor="text1"/>
                      <w:szCs w:val="21"/>
                      <w14:textFill>
                        <w14:solidFill>
                          <w14:schemeClr w14:val="tx1"/>
                        </w14:solidFill>
                      </w14:textFill>
                    </w:rPr>
                  </w:pPr>
                </w:p>
              </w:tc>
            </w:tr>
          </w:tbl>
          <w:p w14:paraId="5D422F4E">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（2）废水</w:t>
            </w:r>
          </w:p>
          <w:p w14:paraId="4F1DA27F">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项目抑尘用水全部蒸发损耗；不新增劳动定员，无新增生活废水。</w:t>
            </w:r>
          </w:p>
          <w:p w14:paraId="3EEFAFD6">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噪声</w:t>
            </w:r>
          </w:p>
          <w:p w14:paraId="0C398C72">
            <w:pPr>
              <w:adjustRightInd w:val="0"/>
              <w:snapToGrid w:val="0"/>
              <w:spacing w:line="42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施工期噪声执行《建筑施工场界环境噪声排放标准》（GB12523-2011）中相关标准；运营期厂界噪声执行《工业企业厂界环境噪声排放标准》（GB12348- 2008）</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类标准，具体标准值如下。</w:t>
            </w:r>
          </w:p>
          <w:p w14:paraId="16CDB3E1">
            <w:pPr>
              <w:snapToGrid w:val="0"/>
              <w:spacing w:line="420" w:lineRule="exact"/>
              <w:ind w:firstLine="482" w:firstLineChars="200"/>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 xml:space="preserve">3-6 </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 xml:space="preserve">  噪声排放标准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8"/>
              <w:gridCol w:w="677"/>
              <w:gridCol w:w="744"/>
              <w:gridCol w:w="5675"/>
            </w:tblGrid>
            <w:tr w14:paraId="17BA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Merge w:val="restart"/>
                  <w:vAlign w:val="center"/>
                </w:tcPr>
                <w:p w14:paraId="6C7A76A2">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时段</w:t>
                  </w:r>
                </w:p>
              </w:tc>
              <w:tc>
                <w:tcPr>
                  <w:tcW w:w="892" w:type="pct"/>
                  <w:gridSpan w:val="2"/>
                  <w:vAlign w:val="center"/>
                </w:tcPr>
                <w:p w14:paraId="31261206">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标准值dB(A)</w:t>
                  </w:r>
                </w:p>
              </w:tc>
              <w:tc>
                <w:tcPr>
                  <w:tcW w:w="3563" w:type="pct"/>
                  <w:vMerge w:val="restart"/>
                  <w:vAlign w:val="center"/>
                </w:tcPr>
                <w:p w14:paraId="1C8E3CAF">
                  <w:pPr>
                    <w:spacing w:line="320" w:lineRule="exact"/>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执行标准</w:t>
                  </w:r>
                </w:p>
              </w:tc>
            </w:tr>
            <w:tr w14:paraId="4A94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45" w:type="pct"/>
                  <w:vMerge w:val="continue"/>
                  <w:vAlign w:val="center"/>
                </w:tcPr>
                <w:p w14:paraId="73F7BB42">
                  <w:pPr>
                    <w:spacing w:line="320" w:lineRule="exact"/>
                    <w:jc w:val="center"/>
                    <w:rPr>
                      <w:color w:val="000000" w:themeColor="text1"/>
                      <w:szCs w:val="21"/>
                      <w14:textFill>
                        <w14:solidFill>
                          <w14:schemeClr w14:val="tx1"/>
                        </w14:solidFill>
                      </w14:textFill>
                    </w:rPr>
                  </w:pPr>
                </w:p>
              </w:tc>
              <w:tc>
                <w:tcPr>
                  <w:tcW w:w="425" w:type="pct"/>
                  <w:vAlign w:val="center"/>
                </w:tcPr>
                <w:p w14:paraId="01D7D19C">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w:t>
                  </w:r>
                </w:p>
              </w:tc>
              <w:tc>
                <w:tcPr>
                  <w:tcW w:w="467" w:type="pct"/>
                  <w:vAlign w:val="center"/>
                </w:tcPr>
                <w:p w14:paraId="4F91003F">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夜间</w:t>
                  </w:r>
                </w:p>
              </w:tc>
              <w:tc>
                <w:tcPr>
                  <w:tcW w:w="3563" w:type="pct"/>
                  <w:vMerge w:val="continue"/>
                  <w:vAlign w:val="center"/>
                </w:tcPr>
                <w:p w14:paraId="08C36209">
                  <w:pPr>
                    <w:spacing w:line="320" w:lineRule="exact"/>
                    <w:jc w:val="center"/>
                    <w:rPr>
                      <w:color w:val="000000" w:themeColor="text1"/>
                      <w:szCs w:val="21"/>
                      <w14:textFill>
                        <w14:solidFill>
                          <w14:schemeClr w14:val="tx1"/>
                        </w14:solidFill>
                      </w14:textFill>
                    </w:rPr>
                  </w:pPr>
                </w:p>
              </w:tc>
            </w:tr>
            <w:tr w14:paraId="68C8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46F242A2">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运营期</w:t>
                  </w:r>
                </w:p>
              </w:tc>
              <w:tc>
                <w:tcPr>
                  <w:tcW w:w="425" w:type="pct"/>
                  <w:vAlign w:val="center"/>
                </w:tcPr>
                <w:p w14:paraId="56F30A21">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0</w:t>
                  </w:r>
                </w:p>
              </w:tc>
              <w:tc>
                <w:tcPr>
                  <w:tcW w:w="467" w:type="pct"/>
                  <w:vAlign w:val="center"/>
                </w:tcPr>
                <w:p w14:paraId="44D8868E">
                  <w:pPr>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w:t>
                  </w:r>
                </w:p>
              </w:tc>
              <w:tc>
                <w:tcPr>
                  <w:tcW w:w="3563" w:type="pct"/>
                  <w:vAlign w:val="center"/>
                </w:tcPr>
                <w:p w14:paraId="41AEC503">
                  <w:pPr>
                    <w:spacing w:line="320" w:lineRule="exact"/>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《工业企业厂界环境噪声排放标准》(GB12348-2008）</w:t>
                  </w:r>
                  <w:r>
                    <w:rPr>
                      <w:rFonts w:hint="eastAsia"/>
                      <w:color w:val="000000" w:themeColor="text1"/>
                      <w:spacing w:val="-8"/>
                      <w:szCs w:val="21"/>
                      <w14:textFill>
                        <w14:solidFill>
                          <w14:schemeClr w14:val="tx1"/>
                        </w14:solidFill>
                      </w14:textFill>
                    </w:rPr>
                    <w:t>2</w:t>
                  </w:r>
                  <w:r>
                    <w:rPr>
                      <w:color w:val="000000" w:themeColor="text1"/>
                      <w:spacing w:val="-8"/>
                      <w:szCs w:val="21"/>
                      <w14:textFill>
                        <w14:solidFill>
                          <w14:schemeClr w14:val="tx1"/>
                        </w14:solidFill>
                      </w14:textFill>
                    </w:rPr>
                    <w:t>类标准</w:t>
                  </w:r>
                </w:p>
              </w:tc>
            </w:tr>
          </w:tbl>
          <w:p w14:paraId="7A5063A7">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固体废物</w:t>
            </w:r>
          </w:p>
          <w:p w14:paraId="790BE48B">
            <w:pPr>
              <w:spacing w:line="440" w:lineRule="exact"/>
              <w:ind w:firstLine="464" w:firstLineChars="200"/>
              <w:textAlignment w:val="baseline"/>
              <w:rPr>
                <w:color w:val="000000" w:themeColor="text1"/>
                <w:sz w:val="32"/>
                <w:szCs w:val="28"/>
                <w14:textFill>
                  <w14:solidFill>
                    <w14:schemeClr w14:val="tx1"/>
                  </w14:solidFill>
                </w14:textFill>
              </w:rPr>
            </w:pPr>
            <w:r>
              <w:rPr>
                <w:rFonts w:hint="eastAsia"/>
                <w:color w:val="000000" w:themeColor="text1"/>
                <w:spacing w:val="-4"/>
                <w:sz w:val="24"/>
                <w:szCs w:val="32"/>
                <w14:textFill>
                  <w14:solidFill>
                    <w14:schemeClr w14:val="tx1"/>
                  </w14:solidFill>
                </w14:textFill>
              </w:rPr>
              <w:t>本项目为煤棚扩建项目，不涉及生产设备，因此运营期无危废及一般固废产生。</w:t>
            </w:r>
          </w:p>
        </w:tc>
      </w:tr>
      <w:tr w14:paraId="3DAB1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800" w:type="dxa"/>
            <w:vAlign w:val="center"/>
          </w:tcPr>
          <w:p w14:paraId="661894DD">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总量</w:t>
            </w:r>
          </w:p>
          <w:p w14:paraId="5813CE2E">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控制</w:t>
            </w:r>
          </w:p>
          <w:p w14:paraId="0AD9AA22">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w:t>
            </w:r>
          </w:p>
        </w:tc>
        <w:tc>
          <w:tcPr>
            <w:tcW w:w="8190" w:type="dxa"/>
            <w:vAlign w:val="center"/>
          </w:tcPr>
          <w:p w14:paraId="12A421A3">
            <w:pPr>
              <w:adjustRightInd w:val="0"/>
              <w:snapToGrid w:val="0"/>
              <w:spacing w:line="440" w:lineRule="exact"/>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本项目不涉及总量指标。</w:t>
            </w:r>
          </w:p>
        </w:tc>
      </w:tr>
    </w:tbl>
    <w:p w14:paraId="67544FD8">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四、主要环境影响和保护措施</w:t>
      </w:r>
    </w:p>
    <w:tbl>
      <w:tblPr>
        <w:tblStyle w:val="27"/>
        <w:tblW w:w="89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83"/>
      </w:tblGrid>
      <w:tr w14:paraId="1C963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16" w:type="dxa"/>
            <w:tcMar>
              <w:left w:w="28" w:type="dxa"/>
              <w:right w:w="28" w:type="dxa"/>
            </w:tcMar>
            <w:vAlign w:val="center"/>
          </w:tcPr>
          <w:p w14:paraId="2887F86C">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施工</w:t>
            </w:r>
          </w:p>
          <w:p w14:paraId="035210BE">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期环</w:t>
            </w:r>
          </w:p>
          <w:p w14:paraId="7E5903C4">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境保</w:t>
            </w:r>
          </w:p>
          <w:p w14:paraId="37F25FA1">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护措</w:t>
            </w:r>
          </w:p>
          <w:p w14:paraId="684B83C5">
            <w:pPr>
              <w:pStyle w:val="22"/>
              <w:widowControl w:val="0"/>
              <w:adjustRightInd w:val="0"/>
              <w:snapToGrid w:val="0"/>
              <w:spacing w:before="0" w:beforeAutospacing="0" w:after="0" w:afterAutospacing="0"/>
              <w:jc w:val="center"/>
              <w:rPr>
                <w:rFonts w:ascii="Times New Roman" w:hAnsi="Times New Roman"/>
                <w:bCs/>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施</w:t>
            </w:r>
          </w:p>
        </w:tc>
        <w:tc>
          <w:tcPr>
            <w:tcW w:w="8583" w:type="dxa"/>
            <w:vAlign w:val="center"/>
          </w:tcPr>
          <w:p w14:paraId="543DCA98">
            <w:pPr>
              <w:spacing w:before="240" w:line="360" w:lineRule="auto"/>
              <w:ind w:firstLine="480" w:firstLineChars="200"/>
              <w:rPr>
                <w:sz w:val="24"/>
                <w:szCs w:val="22"/>
              </w:rPr>
            </w:pPr>
            <w:r>
              <w:rPr>
                <w:sz w:val="24"/>
                <w:szCs w:val="22"/>
              </w:rPr>
              <w:t>由于项目已建成投产，</w:t>
            </w:r>
            <w:r>
              <w:rPr>
                <w:rFonts w:hint="eastAsia"/>
                <w:sz w:val="24"/>
                <w:szCs w:val="22"/>
              </w:rPr>
              <w:t>施工期影响已结束，施工期已落实了各项环保措施，未对周围环境影响造成较大影响。</w:t>
            </w:r>
            <w:r>
              <w:rPr>
                <w:sz w:val="24"/>
                <w:szCs w:val="22"/>
              </w:rPr>
              <w:t>本次评价重点对施工时期的环境影响和保护措施进行回顾性分析。</w:t>
            </w:r>
          </w:p>
          <w:p w14:paraId="6191FF29">
            <w:pPr>
              <w:spacing w:line="360" w:lineRule="auto"/>
              <w:ind w:firstLine="482" w:firstLineChars="200"/>
              <w:rPr>
                <w:b/>
                <w:bCs/>
                <w:sz w:val="24"/>
                <w:szCs w:val="22"/>
              </w:rPr>
            </w:pPr>
            <w:r>
              <w:rPr>
                <w:b/>
                <w:bCs/>
                <w:sz w:val="24"/>
                <w:szCs w:val="22"/>
              </w:rPr>
              <w:t>（一）施工期大气污染防治措施回顾分析</w:t>
            </w:r>
          </w:p>
          <w:p w14:paraId="38F6AED9">
            <w:pPr>
              <w:spacing w:line="360" w:lineRule="auto"/>
              <w:ind w:firstLine="480" w:firstLineChars="200"/>
              <w:rPr>
                <w:sz w:val="24"/>
                <w:szCs w:val="22"/>
              </w:rPr>
            </w:pPr>
            <w:r>
              <w:rPr>
                <w:sz w:val="24"/>
                <w:szCs w:val="22"/>
              </w:rPr>
              <w:t>施工过程中产生的主要大气污染源是扬尘以及施工机械、运输车辆废气。</w:t>
            </w:r>
          </w:p>
          <w:p w14:paraId="6A9E8456">
            <w:pPr>
              <w:spacing w:line="360" w:lineRule="auto"/>
              <w:ind w:firstLine="480" w:firstLineChars="200"/>
              <w:rPr>
                <w:sz w:val="24"/>
                <w:szCs w:val="22"/>
              </w:rPr>
            </w:pPr>
            <w:r>
              <w:rPr>
                <w:sz w:val="24"/>
                <w:szCs w:val="22"/>
              </w:rPr>
              <w:t>1、施工期粉尘防治措施</w:t>
            </w:r>
          </w:p>
          <w:p w14:paraId="5E47B859">
            <w:pPr>
              <w:spacing w:line="360" w:lineRule="auto"/>
              <w:ind w:firstLine="480" w:firstLineChars="200"/>
              <w:rPr>
                <w:sz w:val="24"/>
                <w:szCs w:val="22"/>
              </w:rPr>
            </w:pPr>
            <w:r>
              <w:rPr>
                <w:rFonts w:hint="eastAsia" w:ascii="宋体" w:hAnsi="宋体"/>
                <w:sz w:val="24"/>
                <w:szCs w:val="22"/>
              </w:rPr>
              <w:t>①</w:t>
            </w:r>
            <w:r>
              <w:rPr>
                <w:sz w:val="24"/>
                <w:szCs w:val="22"/>
              </w:rPr>
              <w:t>施工场地四周设置围栏；</w:t>
            </w:r>
          </w:p>
          <w:p w14:paraId="007817C3">
            <w:pPr>
              <w:spacing w:line="360" w:lineRule="auto"/>
              <w:ind w:firstLine="480" w:firstLineChars="200"/>
              <w:rPr>
                <w:sz w:val="24"/>
                <w:szCs w:val="22"/>
              </w:rPr>
            </w:pPr>
            <w:r>
              <w:rPr>
                <w:rFonts w:hint="eastAsia" w:ascii="宋体" w:hAnsi="宋体"/>
                <w:sz w:val="24"/>
                <w:szCs w:val="22"/>
              </w:rPr>
              <w:t>②</w:t>
            </w:r>
            <w:r>
              <w:rPr>
                <w:sz w:val="24"/>
                <w:szCs w:val="22"/>
              </w:rPr>
              <w:t>基础开挖等过程洒水使作业面保持一定的湿度；对施工场地内松散、干涸的表土，经常洒水；</w:t>
            </w:r>
          </w:p>
          <w:p w14:paraId="1A3436C2">
            <w:pPr>
              <w:spacing w:line="360" w:lineRule="auto"/>
              <w:ind w:firstLine="480" w:firstLineChars="200"/>
              <w:rPr>
                <w:sz w:val="24"/>
                <w:szCs w:val="22"/>
              </w:rPr>
            </w:pPr>
            <w:r>
              <w:rPr>
                <w:rFonts w:hint="eastAsia" w:ascii="宋体" w:hAnsi="宋体"/>
                <w:sz w:val="24"/>
                <w:szCs w:val="22"/>
              </w:rPr>
              <w:t>③</w:t>
            </w:r>
            <w:r>
              <w:rPr>
                <w:sz w:val="24"/>
                <w:szCs w:val="22"/>
              </w:rPr>
              <w:t>加强回填土方堆放场的管理，采取土方表面压实、定期喷水、覆盖等措施；不需要的泥土、建筑材料弃渣及时运走；</w:t>
            </w:r>
          </w:p>
          <w:p w14:paraId="60257CAE">
            <w:pPr>
              <w:spacing w:line="360" w:lineRule="auto"/>
              <w:ind w:firstLine="480" w:firstLineChars="200"/>
              <w:rPr>
                <w:sz w:val="24"/>
                <w:szCs w:val="22"/>
              </w:rPr>
            </w:pPr>
            <w:r>
              <w:rPr>
                <w:rFonts w:hint="eastAsia" w:ascii="宋体" w:hAnsi="宋体"/>
                <w:sz w:val="24"/>
                <w:szCs w:val="22"/>
              </w:rPr>
              <w:t>④</w:t>
            </w:r>
            <w:r>
              <w:rPr>
                <w:sz w:val="24"/>
                <w:szCs w:val="22"/>
              </w:rPr>
              <w:t>限制车速，施工场地出口设水池，车辆驶出施工场地时经过水清洗后可清除车轮上所沾泥土；</w:t>
            </w:r>
          </w:p>
          <w:p w14:paraId="192CFA24">
            <w:pPr>
              <w:spacing w:line="360" w:lineRule="auto"/>
              <w:ind w:firstLine="480" w:firstLineChars="200"/>
              <w:rPr>
                <w:sz w:val="24"/>
                <w:szCs w:val="22"/>
              </w:rPr>
            </w:pPr>
            <w:r>
              <w:rPr>
                <w:rFonts w:hint="eastAsia" w:ascii="宋体" w:hAnsi="宋体"/>
                <w:sz w:val="24"/>
                <w:szCs w:val="22"/>
              </w:rPr>
              <w:t>⑤</w:t>
            </w:r>
            <w:r>
              <w:rPr>
                <w:sz w:val="24"/>
                <w:szCs w:val="22"/>
              </w:rPr>
              <w:t>加强运输管理，如散货车不得超高超载、使用有盖的运输车辆，以免车辆颠簸物料洒出；</w:t>
            </w:r>
          </w:p>
          <w:p w14:paraId="6D84E77B">
            <w:pPr>
              <w:spacing w:line="360" w:lineRule="auto"/>
              <w:ind w:firstLine="480" w:firstLineChars="200"/>
              <w:rPr>
                <w:sz w:val="24"/>
                <w:szCs w:val="22"/>
              </w:rPr>
            </w:pPr>
            <w:r>
              <w:rPr>
                <w:rFonts w:hint="eastAsia" w:ascii="宋体" w:hAnsi="宋体"/>
                <w:sz w:val="24"/>
                <w:szCs w:val="22"/>
              </w:rPr>
              <w:t>⑥</w:t>
            </w:r>
            <w:r>
              <w:rPr>
                <w:sz w:val="24"/>
                <w:szCs w:val="22"/>
              </w:rPr>
              <w:t>施工单位加强施工区域的管理，建筑材料的堆场在居住区的下风向，对散料堆场采用水喷淋防尘，用</w:t>
            </w:r>
            <w:r>
              <w:rPr>
                <w:rFonts w:hint="eastAsia"/>
                <w:sz w:val="24"/>
                <w:szCs w:val="22"/>
                <w:lang w:eastAsia="zh-CN"/>
              </w:rPr>
              <w:t>篷布</w:t>
            </w:r>
            <w:r>
              <w:rPr>
                <w:sz w:val="24"/>
                <w:szCs w:val="22"/>
              </w:rPr>
              <w:t>遮盖散料堆</w:t>
            </w:r>
            <w:r>
              <w:rPr>
                <w:rFonts w:hint="eastAsia"/>
                <w:sz w:val="24"/>
                <w:szCs w:val="22"/>
              </w:rPr>
              <w:t>。</w:t>
            </w:r>
          </w:p>
          <w:p w14:paraId="1EB14090">
            <w:pPr>
              <w:spacing w:line="360" w:lineRule="auto"/>
              <w:ind w:firstLine="480" w:firstLineChars="200"/>
              <w:rPr>
                <w:sz w:val="24"/>
                <w:szCs w:val="22"/>
              </w:rPr>
            </w:pPr>
            <w:r>
              <w:rPr>
                <w:sz w:val="24"/>
                <w:szCs w:val="22"/>
              </w:rPr>
              <w:t>2、施工机械及车辆废气防治措施</w:t>
            </w:r>
          </w:p>
          <w:p w14:paraId="110696ED">
            <w:pPr>
              <w:spacing w:line="360" w:lineRule="auto"/>
              <w:ind w:firstLine="480" w:firstLineChars="200"/>
              <w:rPr>
                <w:sz w:val="24"/>
                <w:szCs w:val="22"/>
              </w:rPr>
            </w:pPr>
            <w:r>
              <w:rPr>
                <w:sz w:val="24"/>
                <w:szCs w:val="22"/>
              </w:rPr>
              <w:t>加强对施工机械及车辆的检修和维护，不使用超期服役和尾气超标的施工机械及车辆。对施工期间进出施工现场车流量进行合理安排，防止施工现场车流量过大。尽可能使用耗油低，排气小的施工车辆，选用优质燃油，减少机械和车辆的有害废气排放。</w:t>
            </w:r>
          </w:p>
          <w:p w14:paraId="44D8C7EE">
            <w:pPr>
              <w:spacing w:line="360" w:lineRule="auto"/>
              <w:ind w:firstLine="482" w:firstLineChars="200"/>
              <w:rPr>
                <w:b/>
                <w:bCs/>
                <w:sz w:val="24"/>
                <w:szCs w:val="22"/>
              </w:rPr>
            </w:pPr>
            <w:r>
              <w:rPr>
                <w:b/>
                <w:bCs/>
                <w:sz w:val="24"/>
                <w:szCs w:val="22"/>
              </w:rPr>
              <w:t>（二）施工期水污染防治措施回顾分析</w:t>
            </w:r>
          </w:p>
          <w:p w14:paraId="4B7ADA64">
            <w:pPr>
              <w:spacing w:line="360" w:lineRule="auto"/>
              <w:ind w:firstLine="480" w:firstLineChars="200"/>
              <w:rPr>
                <w:sz w:val="24"/>
                <w:szCs w:val="22"/>
              </w:rPr>
            </w:pPr>
            <w:r>
              <w:rPr>
                <w:rFonts w:hint="eastAsia" w:ascii="宋体" w:hAnsi="宋体"/>
                <w:sz w:val="24"/>
                <w:szCs w:val="22"/>
              </w:rPr>
              <w:t>①</w:t>
            </w:r>
            <w:r>
              <w:rPr>
                <w:sz w:val="24"/>
                <w:szCs w:val="22"/>
              </w:rPr>
              <w:t>施工过程中产生的生活污水依托现有设施处置。</w:t>
            </w:r>
          </w:p>
          <w:p w14:paraId="4318FB81">
            <w:pPr>
              <w:spacing w:line="360" w:lineRule="auto"/>
              <w:ind w:firstLine="480" w:firstLineChars="200"/>
              <w:rPr>
                <w:sz w:val="24"/>
                <w:szCs w:val="22"/>
              </w:rPr>
            </w:pPr>
            <w:r>
              <w:rPr>
                <w:rFonts w:hint="eastAsia" w:ascii="宋体" w:hAnsi="宋体"/>
                <w:sz w:val="24"/>
                <w:szCs w:val="22"/>
              </w:rPr>
              <w:t>②</w:t>
            </w:r>
            <w:r>
              <w:rPr>
                <w:sz w:val="24"/>
                <w:szCs w:val="22"/>
              </w:rPr>
              <w:t>施工期工地用水合理，节约用水。</w:t>
            </w:r>
          </w:p>
          <w:p w14:paraId="30756126">
            <w:pPr>
              <w:spacing w:line="360" w:lineRule="auto"/>
              <w:ind w:firstLine="482" w:firstLineChars="200"/>
              <w:rPr>
                <w:b/>
                <w:bCs/>
                <w:sz w:val="24"/>
                <w:szCs w:val="22"/>
              </w:rPr>
            </w:pPr>
            <w:r>
              <w:rPr>
                <w:b/>
                <w:bCs/>
                <w:sz w:val="24"/>
                <w:szCs w:val="22"/>
              </w:rPr>
              <w:t>（三）施工期噪声污染防治措施回顾分析</w:t>
            </w:r>
          </w:p>
          <w:p w14:paraId="221CCE1E">
            <w:pPr>
              <w:spacing w:line="360" w:lineRule="auto"/>
              <w:ind w:firstLine="480" w:firstLineChars="200"/>
              <w:rPr>
                <w:sz w:val="24"/>
                <w:szCs w:val="22"/>
              </w:rPr>
            </w:pPr>
            <w:r>
              <w:rPr>
                <w:rFonts w:hint="eastAsia" w:ascii="宋体" w:hAnsi="宋体"/>
                <w:sz w:val="24"/>
                <w:szCs w:val="22"/>
              </w:rPr>
              <w:t>①</w:t>
            </w:r>
            <w:r>
              <w:rPr>
                <w:sz w:val="24"/>
                <w:szCs w:val="22"/>
              </w:rPr>
              <w:t>合理布置施工场地；</w:t>
            </w:r>
          </w:p>
          <w:p w14:paraId="461C0A2C">
            <w:pPr>
              <w:spacing w:line="360" w:lineRule="auto"/>
              <w:ind w:firstLine="480" w:firstLineChars="200"/>
              <w:rPr>
                <w:sz w:val="24"/>
                <w:szCs w:val="22"/>
              </w:rPr>
            </w:pPr>
            <w:r>
              <w:rPr>
                <w:rFonts w:hint="eastAsia" w:ascii="宋体" w:hAnsi="宋体"/>
                <w:sz w:val="24"/>
                <w:szCs w:val="22"/>
              </w:rPr>
              <w:t>②</w:t>
            </w:r>
            <w:r>
              <w:rPr>
                <w:sz w:val="24"/>
                <w:szCs w:val="22"/>
              </w:rPr>
              <w:t>选用机械噪声较低设备；</w:t>
            </w:r>
          </w:p>
          <w:p w14:paraId="3CBF1972">
            <w:pPr>
              <w:spacing w:line="360" w:lineRule="auto"/>
              <w:ind w:firstLine="480" w:firstLineChars="200"/>
              <w:rPr>
                <w:sz w:val="24"/>
                <w:szCs w:val="22"/>
              </w:rPr>
            </w:pPr>
            <w:r>
              <w:rPr>
                <w:rFonts w:hint="eastAsia" w:ascii="宋体" w:hAnsi="宋体"/>
                <w:sz w:val="24"/>
                <w:szCs w:val="22"/>
              </w:rPr>
              <w:t>③</w:t>
            </w:r>
            <w:r>
              <w:rPr>
                <w:sz w:val="24"/>
                <w:szCs w:val="22"/>
              </w:rPr>
              <w:t>严格操作规程，加强施工机械管理，规范建筑物料、土石方清运车辆进出工地高速行驶、鸣笛等，降低人为噪声影响；</w:t>
            </w:r>
          </w:p>
          <w:p w14:paraId="0A3FEDA1">
            <w:pPr>
              <w:spacing w:line="360" w:lineRule="auto"/>
              <w:ind w:firstLine="480" w:firstLineChars="200"/>
              <w:rPr>
                <w:sz w:val="24"/>
                <w:szCs w:val="22"/>
              </w:rPr>
            </w:pPr>
            <w:r>
              <w:rPr>
                <w:rFonts w:hint="eastAsia" w:ascii="宋体" w:hAnsi="宋体"/>
                <w:sz w:val="24"/>
                <w:szCs w:val="22"/>
              </w:rPr>
              <w:t>④</w:t>
            </w:r>
            <w:r>
              <w:rPr>
                <w:sz w:val="24"/>
                <w:szCs w:val="22"/>
              </w:rPr>
              <w:t>采取有效的隔音、减振、消声措施，降低噪声级；</w:t>
            </w:r>
          </w:p>
          <w:p w14:paraId="518BEA57">
            <w:pPr>
              <w:spacing w:line="360" w:lineRule="auto"/>
              <w:ind w:firstLine="480" w:firstLineChars="200"/>
              <w:rPr>
                <w:sz w:val="24"/>
                <w:szCs w:val="22"/>
              </w:rPr>
            </w:pPr>
            <w:r>
              <w:rPr>
                <w:rFonts w:hint="eastAsia" w:ascii="宋体" w:hAnsi="宋体"/>
                <w:sz w:val="24"/>
                <w:szCs w:val="22"/>
              </w:rPr>
              <w:t>⑤</w:t>
            </w:r>
            <w:r>
              <w:rPr>
                <w:sz w:val="24"/>
                <w:szCs w:val="22"/>
              </w:rPr>
              <w:t>严格控制施工车辆运输路线，控制车速；</w:t>
            </w:r>
          </w:p>
          <w:p w14:paraId="7FA9F5ED">
            <w:pPr>
              <w:spacing w:line="360" w:lineRule="auto"/>
              <w:ind w:firstLine="480" w:firstLineChars="200"/>
              <w:rPr>
                <w:sz w:val="24"/>
                <w:szCs w:val="22"/>
              </w:rPr>
            </w:pPr>
            <w:r>
              <w:rPr>
                <w:rFonts w:hint="eastAsia" w:ascii="宋体" w:hAnsi="宋体"/>
                <w:sz w:val="24"/>
                <w:szCs w:val="22"/>
              </w:rPr>
              <w:t>⑥</w:t>
            </w:r>
            <w:r>
              <w:rPr>
                <w:sz w:val="24"/>
                <w:szCs w:val="22"/>
              </w:rPr>
              <w:t>对不同施工阶段，通过严格施工管理，使施工场界噪声达到标准限值。</w:t>
            </w:r>
          </w:p>
          <w:p w14:paraId="364C7BA3">
            <w:pPr>
              <w:spacing w:line="360" w:lineRule="auto"/>
              <w:ind w:firstLine="482" w:firstLineChars="200"/>
              <w:rPr>
                <w:b/>
                <w:bCs/>
                <w:sz w:val="24"/>
                <w:szCs w:val="22"/>
              </w:rPr>
            </w:pPr>
            <w:r>
              <w:rPr>
                <w:b/>
                <w:bCs/>
                <w:sz w:val="24"/>
                <w:szCs w:val="22"/>
              </w:rPr>
              <w:t>（四）固体废物环境影响回顾分析</w:t>
            </w:r>
          </w:p>
          <w:p w14:paraId="2F2FDD7B">
            <w:pPr>
              <w:spacing w:line="360" w:lineRule="auto"/>
              <w:ind w:firstLine="480" w:firstLineChars="200"/>
              <w:rPr>
                <w:sz w:val="24"/>
                <w:szCs w:val="22"/>
              </w:rPr>
            </w:pPr>
            <w:r>
              <w:rPr>
                <w:sz w:val="24"/>
                <w:szCs w:val="22"/>
              </w:rPr>
              <w:t>施工期的固体废弃物主</w:t>
            </w:r>
            <w:r>
              <w:rPr>
                <w:rFonts w:hint="eastAsia"/>
                <w:sz w:val="24"/>
                <w:szCs w:val="22"/>
                <w:lang w:eastAsia="zh-CN"/>
              </w:rPr>
              <w:t>要是</w:t>
            </w:r>
            <w:r>
              <w:rPr>
                <w:sz w:val="24"/>
                <w:szCs w:val="22"/>
              </w:rPr>
              <w:t>建筑垃圾和生活垃圾。主要处理措施：</w:t>
            </w:r>
          </w:p>
          <w:p w14:paraId="5A50732D">
            <w:pPr>
              <w:spacing w:line="360" w:lineRule="auto"/>
              <w:ind w:firstLine="480" w:firstLineChars="200"/>
              <w:rPr>
                <w:sz w:val="24"/>
                <w:szCs w:val="22"/>
              </w:rPr>
            </w:pPr>
            <w:r>
              <w:rPr>
                <w:rFonts w:hint="eastAsia" w:ascii="宋体" w:hAnsi="宋体"/>
                <w:sz w:val="24"/>
                <w:szCs w:val="22"/>
              </w:rPr>
              <w:t>①</w:t>
            </w:r>
            <w:r>
              <w:rPr>
                <w:sz w:val="24"/>
                <w:szCs w:val="22"/>
              </w:rPr>
              <w:t>建筑垃圾按照当地城建、环卫部门要求运往指定地点集中处置。</w:t>
            </w:r>
          </w:p>
          <w:p w14:paraId="5B5F67BA">
            <w:pPr>
              <w:spacing w:line="360" w:lineRule="auto"/>
              <w:ind w:firstLine="480" w:firstLineChars="200"/>
              <w:rPr>
                <w:sz w:val="24"/>
                <w:szCs w:val="22"/>
              </w:rPr>
            </w:pPr>
            <w:r>
              <w:rPr>
                <w:rFonts w:hint="eastAsia" w:ascii="宋体" w:hAnsi="宋体"/>
                <w:sz w:val="24"/>
                <w:szCs w:val="22"/>
              </w:rPr>
              <w:t>②</w:t>
            </w:r>
            <w:r>
              <w:rPr>
                <w:sz w:val="24"/>
                <w:szCs w:val="22"/>
              </w:rPr>
              <w:t>建设单位在施工生活区设置垃圾箱（桶），生活垃圾固定地点堆放，分类收集，定期由当地环卫部门运往指定垃圾场卫生填埋处理。</w:t>
            </w:r>
          </w:p>
          <w:p w14:paraId="761B375D">
            <w:pPr>
              <w:spacing w:line="360" w:lineRule="auto"/>
              <w:ind w:firstLine="480" w:firstLineChars="200"/>
              <w:rPr>
                <w:sz w:val="24"/>
                <w:szCs w:val="22"/>
              </w:rPr>
            </w:pPr>
            <w:r>
              <w:rPr>
                <w:rFonts w:hint="eastAsia" w:ascii="宋体" w:hAnsi="宋体"/>
                <w:sz w:val="24"/>
                <w:szCs w:val="22"/>
              </w:rPr>
              <w:t>③</w:t>
            </w:r>
            <w:r>
              <w:rPr>
                <w:sz w:val="24"/>
                <w:szCs w:val="22"/>
              </w:rPr>
              <w:t>施工期建筑垃圾与生活垃圾分类堆放、分别处置。</w:t>
            </w:r>
          </w:p>
          <w:p w14:paraId="0D27E11A">
            <w:pPr>
              <w:adjustRightInd w:val="0"/>
              <w:snapToGrid w:val="0"/>
              <w:spacing w:line="420" w:lineRule="exact"/>
              <w:ind w:firstLine="482" w:firstLineChars="200"/>
              <w:rPr>
                <w:b/>
                <w:bCs/>
                <w:sz w:val="24"/>
              </w:rPr>
            </w:pPr>
            <w:r>
              <w:rPr>
                <w:rFonts w:hint="eastAsia"/>
                <w:b/>
                <w:bCs/>
                <w:sz w:val="24"/>
              </w:rPr>
              <w:t>（五）施工振动防治措施</w:t>
            </w:r>
          </w:p>
          <w:p w14:paraId="4DF34EBA">
            <w:pPr>
              <w:spacing w:line="420" w:lineRule="exact"/>
              <w:ind w:firstLine="480" w:firstLineChars="200"/>
              <w:rPr>
                <w:sz w:val="24"/>
              </w:rPr>
            </w:pPr>
            <w:r>
              <w:rPr>
                <w:rFonts w:hint="eastAsia"/>
                <w:sz w:val="24"/>
              </w:rPr>
              <w:t>项目施工期振动</w:t>
            </w:r>
            <w:r>
              <w:rPr>
                <w:sz w:val="24"/>
              </w:rPr>
              <w:t>源主要为</w:t>
            </w:r>
            <w:r>
              <w:rPr>
                <w:rFonts w:hint="eastAsia"/>
                <w:sz w:val="24"/>
              </w:rPr>
              <w:t>夯土机等</w:t>
            </w:r>
            <w:r>
              <w:rPr>
                <w:sz w:val="24"/>
              </w:rPr>
              <w:t>设备产生的</w:t>
            </w:r>
            <w:r>
              <w:rPr>
                <w:rFonts w:hint="eastAsia"/>
                <w:sz w:val="24"/>
              </w:rPr>
              <w:t>振动</w:t>
            </w:r>
            <w:r>
              <w:rPr>
                <w:sz w:val="24"/>
              </w:rPr>
              <w:t>，其特点是间歇或阵发性的，并具备流动性的特征。为减少施工</w:t>
            </w:r>
            <w:r>
              <w:rPr>
                <w:rFonts w:hint="eastAsia"/>
                <w:sz w:val="24"/>
              </w:rPr>
              <w:t>振动</w:t>
            </w:r>
            <w:r>
              <w:rPr>
                <w:sz w:val="24"/>
              </w:rPr>
              <w:t>对敏感点的影响，</w:t>
            </w:r>
            <w:r>
              <w:rPr>
                <w:rFonts w:hint="eastAsia"/>
                <w:sz w:val="24"/>
              </w:rPr>
              <w:t>施工期采取了以下</w:t>
            </w:r>
            <w:r>
              <w:rPr>
                <w:sz w:val="24"/>
              </w:rPr>
              <w:t>防治措施：</w:t>
            </w:r>
          </w:p>
          <w:p w14:paraId="0A201CD3">
            <w:pPr>
              <w:spacing w:line="420" w:lineRule="exact"/>
              <w:ind w:firstLine="480" w:firstLineChars="200"/>
              <w:rPr>
                <w:sz w:val="24"/>
              </w:rPr>
            </w:pPr>
            <w:r>
              <w:rPr>
                <w:rFonts w:hint="eastAsia" w:ascii="宋体" w:hAnsi="宋体"/>
                <w:sz w:val="24"/>
              </w:rPr>
              <w:t>①</w:t>
            </w:r>
            <w:r>
              <w:rPr>
                <w:sz w:val="24"/>
              </w:rPr>
              <w:t>施工单位合理安排施工时间，除工程必需外，在中午12:00~14:00、夜间22:00~6:00期间</w:t>
            </w:r>
            <w:r>
              <w:rPr>
                <w:rFonts w:hint="eastAsia"/>
                <w:sz w:val="24"/>
              </w:rPr>
              <w:t>停止</w:t>
            </w:r>
            <w:r>
              <w:rPr>
                <w:sz w:val="24"/>
              </w:rPr>
              <w:t>施工。</w:t>
            </w:r>
          </w:p>
          <w:p w14:paraId="0CFE89AC">
            <w:pPr>
              <w:spacing w:line="420" w:lineRule="exact"/>
              <w:ind w:firstLine="480" w:firstLineChars="200"/>
              <w:rPr>
                <w:sz w:val="24"/>
              </w:rPr>
            </w:pPr>
            <w:r>
              <w:rPr>
                <w:rFonts w:hint="eastAsia" w:ascii="宋体" w:hAnsi="宋体"/>
                <w:sz w:val="24"/>
              </w:rPr>
              <w:t>②</w:t>
            </w:r>
            <w:r>
              <w:rPr>
                <w:sz w:val="24"/>
              </w:rPr>
              <w:t>项目施工布置时将</w:t>
            </w:r>
            <w:r>
              <w:rPr>
                <w:rFonts w:hint="eastAsia"/>
                <w:sz w:val="24"/>
              </w:rPr>
              <w:t>产振源</w:t>
            </w:r>
            <w:r>
              <w:rPr>
                <w:sz w:val="24"/>
              </w:rPr>
              <w:t>强较高的施工设备置于远离敏感点的一侧</w:t>
            </w:r>
            <w:r>
              <w:rPr>
                <w:rFonts w:hint="eastAsia"/>
                <w:sz w:val="24"/>
              </w:rPr>
              <w:t>，并做好基础减振</w:t>
            </w:r>
            <w:r>
              <w:rPr>
                <w:sz w:val="24"/>
              </w:rPr>
              <w:t>，</w:t>
            </w:r>
            <w:r>
              <w:rPr>
                <w:rFonts w:hint="eastAsia"/>
                <w:sz w:val="24"/>
              </w:rPr>
              <w:t>设备与基础或连接部位之间采用了弹簧减振技术，可减震至原动量1/10~1/100，降噪20~40dB（A），大大减轻了噪声对周围环境敏感点的影响</w:t>
            </w:r>
            <w:r>
              <w:rPr>
                <w:sz w:val="24"/>
              </w:rPr>
              <w:t>。</w:t>
            </w:r>
          </w:p>
          <w:p w14:paraId="405BCB62">
            <w:pPr>
              <w:spacing w:line="360" w:lineRule="auto"/>
              <w:ind w:firstLine="480" w:firstLineChars="200"/>
              <w:rPr>
                <w:color w:val="000000" w:themeColor="text1"/>
                <w:sz w:val="24"/>
                <w:szCs w:val="22"/>
                <w14:textFill>
                  <w14:solidFill>
                    <w14:schemeClr w14:val="tx1"/>
                  </w14:solidFill>
                </w14:textFill>
              </w:rPr>
            </w:pPr>
            <w:r>
              <w:rPr>
                <w:sz w:val="24"/>
                <w:szCs w:val="32"/>
              </w:rPr>
              <w:t>采取以上措施后，施工期间</w:t>
            </w:r>
            <w:r>
              <w:rPr>
                <w:rFonts w:hint="eastAsia"/>
                <w:sz w:val="24"/>
                <w:szCs w:val="32"/>
              </w:rPr>
              <w:t>未对</w:t>
            </w:r>
            <w:r>
              <w:rPr>
                <w:sz w:val="24"/>
                <w:szCs w:val="32"/>
              </w:rPr>
              <w:t>周围环境影响</w:t>
            </w:r>
            <w:r>
              <w:rPr>
                <w:rFonts w:hint="eastAsia"/>
                <w:sz w:val="24"/>
                <w:szCs w:val="32"/>
              </w:rPr>
              <w:t>造成较大影响</w:t>
            </w:r>
            <w:r>
              <w:rPr>
                <w:sz w:val="24"/>
                <w:szCs w:val="32"/>
              </w:rPr>
              <w:t>。</w:t>
            </w:r>
          </w:p>
        </w:tc>
      </w:tr>
      <w:tr w14:paraId="7371E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6" w:hRule="atLeast"/>
          <w:jc w:val="center"/>
        </w:trPr>
        <w:tc>
          <w:tcPr>
            <w:tcW w:w="416" w:type="dxa"/>
            <w:tcMar>
              <w:left w:w="28" w:type="dxa"/>
              <w:right w:w="28" w:type="dxa"/>
            </w:tcMar>
            <w:vAlign w:val="center"/>
          </w:tcPr>
          <w:p w14:paraId="499FE8A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运营</w:t>
            </w:r>
          </w:p>
          <w:p w14:paraId="16ADAF9B">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期环</w:t>
            </w:r>
          </w:p>
          <w:p w14:paraId="20368BB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境影</w:t>
            </w:r>
          </w:p>
          <w:p w14:paraId="679B1DCF">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响和</w:t>
            </w:r>
          </w:p>
          <w:p w14:paraId="44D373B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保护</w:t>
            </w:r>
          </w:p>
          <w:p w14:paraId="7F0B8520">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措施</w:t>
            </w:r>
          </w:p>
        </w:tc>
        <w:tc>
          <w:tcPr>
            <w:tcW w:w="8583" w:type="dxa"/>
            <w:vAlign w:val="center"/>
          </w:tcPr>
          <w:p w14:paraId="77FF25AA">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b/>
                <w:bCs/>
                <w:color w:val="000000" w:themeColor="text1"/>
                <w:sz w:val="24"/>
                <w14:textFill>
                  <w14:solidFill>
                    <w14:schemeClr w14:val="tx1"/>
                  </w14:solidFill>
                </w14:textFill>
              </w:rPr>
              <w:t>大气环境影响分析</w:t>
            </w:r>
          </w:p>
          <w:p w14:paraId="1254F381">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本次煤棚未批先建部分与原环评批复部分无法单独区分计算煤炭储存量，故本次评价按全厂洗选煤炭120万吨/年产能核算其储存、装载、运输过程废气。按最大产能核算后若粉尘无组织排放达标，则未批先建部分涉及各股废气粉尘亦可达标排放。</w:t>
            </w:r>
          </w:p>
          <w:p w14:paraId="06E740EF">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（1）储存堆放、装载粉尘</w:t>
            </w:r>
          </w:p>
          <w:p w14:paraId="70B2C9C4">
            <w:pPr>
              <w:spacing w:line="440" w:lineRule="exact"/>
              <w:ind w:firstLine="480" w:firstLineChars="200"/>
              <w:rPr>
                <w:color w:val="000000" w:themeColor="text1"/>
                <w:kern w:val="0"/>
                <w:sz w:val="24"/>
                <w:szCs w:val="22"/>
                <w14:textFill>
                  <w14:solidFill>
                    <w14:schemeClr w14:val="tx1"/>
                  </w14:solidFill>
                </w14:textFill>
              </w:rPr>
            </w:pPr>
            <w:r>
              <w:rPr>
                <w:rFonts w:hint="eastAsia" w:ascii="宋体" w:hAnsi="宋体"/>
                <w:color w:val="000000" w:themeColor="text1"/>
                <w:kern w:val="0"/>
                <w:sz w:val="24"/>
                <w:szCs w:val="22"/>
                <w14:textFill>
                  <w14:solidFill>
                    <w14:schemeClr w14:val="tx1"/>
                  </w14:solidFill>
                </w14:textFill>
              </w:rPr>
              <w:t>①</w:t>
            </w:r>
            <w:r>
              <w:rPr>
                <w:rFonts w:hint="eastAsia"/>
                <w:color w:val="000000" w:themeColor="text1"/>
                <w:kern w:val="0"/>
                <w:sz w:val="24"/>
                <w:szCs w:val="22"/>
                <w14:textFill>
                  <w14:solidFill>
                    <w14:schemeClr w14:val="tx1"/>
                  </w14:solidFill>
                </w14:textFill>
              </w:rPr>
              <w:t>颗粒物产生量核算</w:t>
            </w:r>
          </w:p>
          <w:p w14:paraId="15F36635">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根据《排放源统计调查产排污核算方法和系数手册》 附表2工业源固体物料堆场颗粒物核算系数手册，“工业企业固体物料堆存颗粒物包括装卸</w:t>
            </w:r>
            <w:r>
              <w:rPr>
                <w:rFonts w:hint="eastAsia"/>
                <w:color w:val="000000" w:themeColor="text1"/>
                <w:kern w:val="0"/>
                <w:sz w:val="24"/>
                <w:szCs w:val="22"/>
                <w:lang w:eastAsia="zh-CN"/>
                <w14:textFill>
                  <w14:solidFill>
                    <w14:schemeClr w14:val="tx1"/>
                  </w14:solidFill>
                </w14:textFill>
              </w:rPr>
              <w:t>扬</w:t>
            </w:r>
            <w:r>
              <w:rPr>
                <w:rFonts w:hint="eastAsia"/>
                <w:color w:val="000000" w:themeColor="text1"/>
                <w:kern w:val="0"/>
                <w:sz w:val="24"/>
                <w:szCs w:val="22"/>
                <w14:textFill>
                  <w14:solidFill>
                    <w14:schemeClr w14:val="tx1"/>
                  </w14:solidFill>
                </w14:textFill>
              </w:rPr>
              <w:t>尘和风蚀扬尘”，工业固体物料堆放装卸和堆存引起的扬尘量如下：</w:t>
            </w:r>
          </w:p>
          <w:p w14:paraId="35A4B86D">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𝑃</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𝑍𝐶</w:t>
            </w:r>
            <w:r>
              <w:rPr>
                <w:rFonts w:ascii="Cambria Math" w:hAnsi="Cambria Math" w:cs="Cambria Math"/>
                <w:color w:val="000000" w:themeColor="text1"/>
                <w:kern w:val="0"/>
                <w:sz w:val="24"/>
                <w:szCs w:val="22"/>
                <w:vertAlign w:val="subscript"/>
                <w14:textFill>
                  <w14:solidFill>
                    <w14:schemeClr w14:val="tx1"/>
                  </w14:solidFill>
                </w14:textFill>
              </w:rPr>
              <w:t>𝑦</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𝐹𝐶</w:t>
            </w:r>
            <w:r>
              <w:rPr>
                <w:rFonts w:ascii="Cambria Math" w:hAnsi="Cambria Math" w:cs="Cambria Math"/>
                <w:color w:val="000000" w:themeColor="text1"/>
                <w:kern w:val="0"/>
                <w:sz w:val="24"/>
                <w:szCs w:val="22"/>
                <w:vertAlign w:val="subscript"/>
                <w14:textFill>
                  <w14:solidFill>
                    <w14:schemeClr w14:val="tx1"/>
                  </w14:solidFill>
                </w14:textFill>
              </w:rPr>
              <w:t>𝑦</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𝑁</w:t>
            </w:r>
            <w:r>
              <w:rPr>
                <w:rFonts w:ascii="Cambria Math" w:hAnsi="Cambria Math" w:cs="Cambria Math"/>
                <w:color w:val="000000" w:themeColor="text1"/>
                <w:kern w:val="0"/>
                <w:sz w:val="24"/>
                <w:szCs w:val="22"/>
                <w:vertAlign w:val="subscript"/>
                <w14:textFill>
                  <w14:solidFill>
                    <w14:schemeClr w14:val="tx1"/>
                  </w14:solidFill>
                </w14:textFill>
              </w:rPr>
              <w:t>𝐶</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𝐷</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𝑎</w:t>
            </w: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𝑏</w:t>
            </w:r>
            <w:r>
              <w:rPr>
                <w:color w:val="000000" w:themeColor="text1"/>
                <w:kern w:val="0"/>
                <w:sz w:val="24"/>
                <w:szCs w:val="22"/>
                <w14:textFill>
                  <w14:solidFill>
                    <w14:schemeClr w14:val="tx1"/>
                  </w14:solidFill>
                </w14:textFill>
              </w:rPr>
              <w:t>) + 2 × E</w:t>
            </w:r>
            <w:r>
              <w:rPr>
                <w:rFonts w:ascii="Cambria Math" w:hAnsi="Cambria Math" w:cs="Cambria Math"/>
                <w:color w:val="000000" w:themeColor="text1"/>
                <w:kern w:val="0"/>
                <w:sz w:val="24"/>
                <w:szCs w:val="22"/>
                <w:vertAlign w:val="subscript"/>
                <w14:textFill>
                  <w14:solidFill>
                    <w14:schemeClr w14:val="tx1"/>
                  </w14:solidFill>
                </w14:textFill>
              </w:rPr>
              <w:t>𝑓</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𝑆</w:t>
            </w:r>
            <w:r>
              <w:rPr>
                <w:color w:val="000000" w:themeColor="text1"/>
                <w:kern w:val="0"/>
                <w:sz w:val="24"/>
                <w:szCs w:val="22"/>
                <w14:textFill>
                  <w14:solidFill>
                    <w14:schemeClr w14:val="tx1"/>
                  </w14:solidFill>
                </w14:textFill>
              </w:rPr>
              <w:t>} × 10</w:t>
            </w:r>
            <w:r>
              <w:rPr>
                <w:color w:val="000000" w:themeColor="text1"/>
                <w:kern w:val="0"/>
                <w:sz w:val="24"/>
                <w:szCs w:val="22"/>
                <w:vertAlign w:val="superscript"/>
                <w14:textFill>
                  <w14:solidFill>
                    <w14:schemeClr w14:val="tx1"/>
                  </w14:solidFill>
                </w14:textFill>
              </w:rPr>
              <w:t>−3</w:t>
            </w:r>
          </w:p>
          <w:p w14:paraId="0B43F7C8">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式中： P 指颗粒物产生量（t）；</w:t>
            </w:r>
          </w:p>
          <w:p w14:paraId="49856063">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𝑍𝐶</w:t>
            </w:r>
            <w:r>
              <w:rPr>
                <w:rFonts w:ascii="Cambria Math" w:hAnsi="Cambria Math" w:cs="Cambria Math"/>
                <w:color w:val="000000" w:themeColor="text1"/>
                <w:kern w:val="0"/>
                <w:sz w:val="24"/>
                <w:szCs w:val="22"/>
                <w:vertAlign w:val="subscript"/>
                <w14:textFill>
                  <w14:solidFill>
                    <w14:schemeClr w14:val="tx1"/>
                  </w14:solidFill>
                </w14:textFill>
              </w:rPr>
              <w:t>𝑦</w:t>
            </w:r>
            <w:r>
              <w:rPr>
                <w:rFonts w:hint="eastAsia"/>
                <w:color w:val="000000" w:themeColor="text1"/>
                <w:kern w:val="0"/>
                <w:sz w:val="24"/>
                <w:szCs w:val="22"/>
                <w14:textFill>
                  <w14:solidFill>
                    <w14:schemeClr w14:val="tx1"/>
                  </w14:solidFill>
                </w14:textFill>
              </w:rPr>
              <w:t>指装卸扬尘产生量（t） ；</w:t>
            </w:r>
          </w:p>
          <w:p w14:paraId="1CCFA0AA">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𝐹𝐶</w:t>
            </w:r>
            <w:r>
              <w:rPr>
                <w:rFonts w:ascii="Cambria Math" w:hAnsi="Cambria Math" w:cs="Cambria Math"/>
                <w:color w:val="000000" w:themeColor="text1"/>
                <w:kern w:val="0"/>
                <w:sz w:val="24"/>
                <w:szCs w:val="22"/>
                <w:vertAlign w:val="subscript"/>
                <w14:textFill>
                  <w14:solidFill>
                    <w14:schemeClr w14:val="tx1"/>
                  </w14:solidFill>
                </w14:textFill>
              </w:rPr>
              <w:t>𝑦</w:t>
            </w:r>
            <w:r>
              <w:rPr>
                <w:rFonts w:hint="eastAsia"/>
                <w:color w:val="000000" w:themeColor="text1"/>
                <w:kern w:val="0"/>
                <w:sz w:val="24"/>
                <w:szCs w:val="22"/>
                <w14:textFill>
                  <w14:solidFill>
                    <w14:schemeClr w14:val="tx1"/>
                  </w14:solidFill>
                </w14:textFill>
              </w:rPr>
              <w:t>指风蚀扬尘产生量（t） ；</w:t>
            </w:r>
          </w:p>
          <w:p w14:paraId="64536668">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𝑁</w:t>
            </w:r>
            <w:r>
              <w:rPr>
                <w:rFonts w:ascii="Cambria Math" w:hAnsi="Cambria Math" w:cs="Cambria Math"/>
                <w:color w:val="000000" w:themeColor="text1"/>
                <w:kern w:val="0"/>
                <w:sz w:val="24"/>
                <w:szCs w:val="22"/>
                <w:vertAlign w:val="subscript"/>
                <w14:textFill>
                  <w14:solidFill>
                    <w14:schemeClr w14:val="tx1"/>
                  </w14:solidFill>
                </w14:textFill>
              </w:rPr>
              <w:t>𝐶</w:t>
            </w:r>
            <w:r>
              <w:rPr>
                <w:rFonts w:hint="eastAsia"/>
                <w:color w:val="000000" w:themeColor="text1"/>
                <w:kern w:val="0"/>
                <w:sz w:val="24"/>
                <w:szCs w:val="22"/>
                <w14:textFill>
                  <w14:solidFill>
                    <w14:schemeClr w14:val="tx1"/>
                  </w14:solidFill>
                </w14:textFill>
              </w:rPr>
              <w:t>指年物料运载车次（车），项目汽车运输采用40t自卸汽车，年洗选120万t煤炭，进出场需拉运60000车次；</w:t>
            </w:r>
          </w:p>
          <w:p w14:paraId="6E8C9D03">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D 指单车平均运载量（t/车），40t/车；</w:t>
            </w:r>
          </w:p>
          <w:p w14:paraId="23707840">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𝑎</w:t>
            </w: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𝑏</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指装卸扬尘概化系数（kg</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t），</w:t>
            </w:r>
            <w:r>
              <w:rPr>
                <w:color w:val="000000" w:themeColor="text1"/>
                <w:kern w:val="0"/>
                <w:sz w:val="24"/>
                <w:szCs w:val="22"/>
                <w14:textFill>
                  <w14:solidFill>
                    <w14:schemeClr w14:val="tx1"/>
                  </w14:solidFill>
                </w14:textFill>
              </w:rPr>
              <w:t>a</w:t>
            </w:r>
            <w:r>
              <w:rPr>
                <w:rFonts w:hint="eastAsia"/>
                <w:color w:val="000000" w:themeColor="text1"/>
                <w:kern w:val="0"/>
                <w:sz w:val="24"/>
                <w:szCs w:val="22"/>
                <w14:textFill>
                  <w14:solidFill>
                    <w14:schemeClr w14:val="tx1"/>
                  </w14:solidFill>
                </w14:textFill>
              </w:rPr>
              <w:t>指各省风速概化系数，见附录</w:t>
            </w:r>
            <w:r>
              <w:rPr>
                <w:color w:val="000000" w:themeColor="text1"/>
                <w:kern w:val="0"/>
                <w:sz w:val="24"/>
                <w:szCs w:val="22"/>
                <w14:textFill>
                  <w14:solidFill>
                    <w14:schemeClr w14:val="tx1"/>
                  </w14:solidFill>
                </w14:textFill>
              </w:rPr>
              <w:t xml:space="preserve"> 1</w:t>
            </w:r>
            <w:r>
              <w:rPr>
                <w:rFonts w:hint="eastAsia"/>
                <w:color w:val="000000" w:themeColor="text1"/>
                <w:kern w:val="0"/>
                <w:sz w:val="24"/>
                <w:szCs w:val="22"/>
                <w14:textFill>
                  <w14:solidFill>
                    <w14:schemeClr w14:val="tx1"/>
                  </w14:solidFill>
                </w14:textFill>
              </w:rPr>
              <w:t>，项目位于内蒙古自治区鄂尔多斯市伊金霍洛旗，平均风速2.91m/s，概化系数0.0017；</w:t>
            </w:r>
            <w:r>
              <w:rPr>
                <w:color w:val="000000" w:themeColor="text1"/>
                <w:kern w:val="0"/>
                <w:sz w:val="24"/>
                <w:szCs w:val="22"/>
                <w14:textFill>
                  <w14:solidFill>
                    <w14:schemeClr w14:val="tx1"/>
                  </w14:solidFill>
                </w14:textFill>
              </w:rPr>
              <w:t xml:space="preserve">b </w:t>
            </w:r>
            <w:r>
              <w:rPr>
                <w:rFonts w:hint="eastAsia"/>
                <w:color w:val="000000" w:themeColor="text1"/>
                <w:kern w:val="0"/>
                <w:sz w:val="24"/>
                <w:szCs w:val="22"/>
                <w14:textFill>
                  <w14:solidFill>
                    <w14:schemeClr w14:val="tx1"/>
                  </w14:solidFill>
                </w14:textFill>
              </w:rPr>
              <w:t>指物料含水率概化系数</w:t>
            </w:r>
            <w:r>
              <w:rPr>
                <w:color w:val="000000" w:themeColor="text1"/>
                <w:kern w:val="0"/>
                <w:sz w:val="24"/>
                <w:szCs w:val="22"/>
                <w14:textFill>
                  <w14:solidFill>
                    <w14:schemeClr w14:val="tx1"/>
                  </w14:solidFill>
                </w14:textFill>
              </w:rPr>
              <w:t xml:space="preserve"> </w:t>
            </w:r>
            <w:r>
              <w:rPr>
                <w:rFonts w:hint="eastAsia"/>
                <w:color w:val="000000" w:themeColor="text1"/>
                <w:kern w:val="0"/>
                <w:sz w:val="24"/>
                <w:szCs w:val="22"/>
                <w14:textFill>
                  <w14:solidFill>
                    <w14:schemeClr w14:val="tx1"/>
                  </w14:solidFill>
                </w14:textFill>
              </w:rPr>
              <w:t>，项目堆存原煤来源于周边煤矿提供，属于非褐煤，根据附录2，概化系数取0.0054；</w:t>
            </w:r>
          </w:p>
          <w:p w14:paraId="2CC1E1FA">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E</w:t>
            </w:r>
            <w:r>
              <w:rPr>
                <w:rFonts w:ascii="Cambria Math" w:hAnsi="Cambria Math" w:cs="Cambria Math"/>
                <w:color w:val="000000" w:themeColor="text1"/>
                <w:kern w:val="0"/>
                <w:sz w:val="24"/>
                <w:szCs w:val="22"/>
                <w:vertAlign w:val="subscript"/>
                <w14:textFill>
                  <w14:solidFill>
                    <w14:schemeClr w14:val="tx1"/>
                  </w14:solidFill>
                </w14:textFill>
              </w:rPr>
              <w:t>𝑓</w:t>
            </w:r>
            <w:r>
              <w:rPr>
                <w:rFonts w:hint="eastAsia"/>
                <w:color w:val="000000" w:themeColor="text1"/>
                <w:kern w:val="0"/>
                <w:sz w:val="24"/>
                <w:szCs w:val="22"/>
                <w14:textFill>
                  <w14:solidFill>
                    <w14:schemeClr w14:val="tx1"/>
                  </w14:solidFill>
                </w14:textFill>
              </w:rPr>
              <w:t>指堆场风蚀扬尘概化系数，见附录 3（kg /m</w:t>
            </w:r>
            <w:r>
              <w:rPr>
                <w:rFonts w:hint="eastAsia"/>
                <w:color w:val="000000" w:themeColor="text1"/>
                <w:kern w:val="0"/>
                <w:sz w:val="24"/>
                <w:szCs w:val="22"/>
                <w:vertAlign w:val="superscript"/>
                <w14:textFill>
                  <w14:solidFill>
                    <w14:schemeClr w14:val="tx1"/>
                  </w14:solidFill>
                </w14:textFill>
              </w:rPr>
              <w:t>2</w:t>
            </w:r>
            <w:r>
              <w:rPr>
                <w:rFonts w:hint="eastAsia"/>
                <w:color w:val="000000" w:themeColor="text1"/>
                <w:kern w:val="0"/>
                <w:sz w:val="24"/>
                <w:szCs w:val="22"/>
                <w14:textFill>
                  <w14:solidFill>
                    <w14:schemeClr w14:val="tx1"/>
                  </w14:solidFill>
                </w14:textFill>
              </w:rPr>
              <w:t>），项目取31.1418；</w:t>
            </w:r>
          </w:p>
          <w:p w14:paraId="25070C8A">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S 指堆场占地面积（m</w:t>
            </w:r>
            <w:r>
              <w:rPr>
                <w:rFonts w:hint="eastAsia"/>
                <w:color w:val="000000" w:themeColor="text1"/>
                <w:kern w:val="0"/>
                <w:sz w:val="24"/>
                <w:szCs w:val="22"/>
                <w:vertAlign w:val="superscript"/>
                <w14:textFill>
                  <w14:solidFill>
                    <w14:schemeClr w14:val="tx1"/>
                  </w14:solidFill>
                </w14:textFill>
              </w:rPr>
              <w:t>2</w:t>
            </w:r>
            <w:r>
              <w:rPr>
                <w:rFonts w:hint="eastAsia"/>
                <w:color w:val="000000" w:themeColor="text1"/>
                <w:kern w:val="0"/>
                <w:sz w:val="24"/>
                <w:szCs w:val="22"/>
                <w14:textFill>
                  <w14:solidFill>
                    <w14:schemeClr w14:val="tx1"/>
                  </w14:solidFill>
                </w14:textFill>
              </w:rPr>
              <w:t>），项目全厂储煤棚面积</w:t>
            </w:r>
            <w:r>
              <w:rPr>
                <w:rFonts w:hint="eastAsia"/>
                <w:color w:val="000000" w:themeColor="text1"/>
                <w:kern w:val="0"/>
                <w:sz w:val="24"/>
                <w14:textFill>
                  <w14:solidFill>
                    <w14:schemeClr w14:val="tx1"/>
                  </w14:solidFill>
                </w14:textFill>
              </w:rPr>
              <w:t>23420.01m</w:t>
            </w:r>
            <w:r>
              <w:rPr>
                <w:rFonts w:hint="eastAsia"/>
                <w:color w:val="000000" w:themeColor="text1"/>
                <w:kern w:val="0"/>
                <w:sz w:val="24"/>
                <w:vertAlign w:val="superscript"/>
                <w14:textFill>
                  <w14:solidFill>
                    <w14:schemeClr w14:val="tx1"/>
                  </w14:solidFill>
                </w14:textFill>
              </w:rPr>
              <w:t>2</w:t>
            </w:r>
            <w:r>
              <w:rPr>
                <w:rFonts w:hint="eastAsia"/>
                <w:color w:val="000000" w:themeColor="text1"/>
                <w:kern w:val="0"/>
                <w:sz w:val="24"/>
                <w14:textFill>
                  <w14:solidFill>
                    <w14:schemeClr w14:val="tx1"/>
                  </w14:solidFill>
                </w14:textFill>
              </w:rPr>
              <w:t>。</w:t>
            </w:r>
          </w:p>
          <w:p w14:paraId="1A78C002">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则，</w:t>
            </w:r>
            <w:r>
              <w:rPr>
                <w:rFonts w:ascii="Cambria Math" w:hAnsi="Cambria Math" w:cs="Cambria Math"/>
                <w:color w:val="000000" w:themeColor="text1"/>
                <w:kern w:val="0"/>
                <w:sz w:val="24"/>
                <w:szCs w:val="22"/>
                <w14:textFill>
                  <w14:solidFill>
                    <w14:schemeClr w14:val="tx1"/>
                  </w14:solidFill>
                </w14:textFill>
              </w:rPr>
              <w:t>𝑃</w:t>
            </w:r>
            <w:r>
              <w:rPr>
                <w:rFonts w:hint="eastAsia" w:ascii="Cambria Math" w:hAnsi="Cambria Math" w:cs="Cambria Math"/>
                <w:color w:val="000000" w:themeColor="text1"/>
                <w:kern w:val="0"/>
                <w:sz w:val="24"/>
                <w:szCs w:val="22"/>
                <w14:textFill>
                  <w14:solidFill>
                    <w14:schemeClr w14:val="tx1"/>
                  </w14:solidFill>
                </w14:textFill>
              </w:rPr>
              <w:t>=</w:t>
            </w:r>
            <w:r>
              <w:rPr>
                <w:color w:val="000000" w:themeColor="text1"/>
                <w:kern w:val="0"/>
                <w:sz w:val="24"/>
                <w:szCs w:val="22"/>
                <w14:textFill>
                  <w14:solidFill>
                    <w14:schemeClr w14:val="tx1"/>
                  </w14:solidFill>
                </w14:textFill>
              </w:rPr>
              <w:t>{60000×40×（0.0017/0.0057）+2×31.1418×</w:t>
            </w:r>
            <w:r>
              <w:rPr>
                <w:rFonts w:hint="eastAsia"/>
                <w:color w:val="000000" w:themeColor="text1"/>
                <w:kern w:val="0"/>
                <w:sz w:val="24"/>
                <w:szCs w:val="22"/>
                <w14:textFill>
                  <w14:solidFill>
                    <w14:schemeClr w14:val="tx1"/>
                  </w14:solidFill>
                </w14:textFill>
              </w:rPr>
              <w:t>23420.01</w:t>
            </w:r>
            <w:r>
              <w:rPr>
                <w:color w:val="000000" w:themeColor="text1"/>
                <w:kern w:val="0"/>
                <w:sz w:val="24"/>
                <w:szCs w:val="22"/>
                <w14:textFill>
                  <w14:solidFill>
                    <w14:schemeClr w14:val="tx1"/>
                  </w14:solidFill>
                </w14:textFill>
              </w:rPr>
              <w:t>}×10</w:t>
            </w:r>
            <w:r>
              <w:rPr>
                <w:color w:val="000000" w:themeColor="text1"/>
                <w:kern w:val="0"/>
                <w:sz w:val="24"/>
                <w:szCs w:val="22"/>
                <w:vertAlign w:val="superscript"/>
                <w14:textFill>
                  <w14:solidFill>
                    <w14:schemeClr w14:val="tx1"/>
                  </w14:solidFill>
                </w14:textFill>
              </w:rPr>
              <w:t>−3</w:t>
            </w:r>
            <w:r>
              <w:rPr>
                <w:rFonts w:hint="eastAsia"/>
                <w:color w:val="000000" w:themeColor="text1"/>
                <w:kern w:val="0"/>
                <w:sz w:val="24"/>
                <w:szCs w:val="22"/>
                <w14:textFill>
                  <w14:solidFill>
                    <w14:schemeClr w14:val="tx1"/>
                  </w14:solidFill>
                </w14:textFill>
              </w:rPr>
              <w:t>=2174.47t</w:t>
            </w:r>
          </w:p>
          <w:p w14:paraId="256AD735">
            <w:pPr>
              <w:spacing w:line="440" w:lineRule="exact"/>
              <w:ind w:firstLine="480" w:firstLineChars="200"/>
              <w:rPr>
                <w:color w:val="000000" w:themeColor="text1"/>
                <w:kern w:val="0"/>
                <w:sz w:val="24"/>
                <w:szCs w:val="22"/>
                <w14:textFill>
                  <w14:solidFill>
                    <w14:schemeClr w14:val="tx1"/>
                  </w14:solidFill>
                </w14:textFill>
              </w:rPr>
            </w:pPr>
            <w:r>
              <w:rPr>
                <w:rFonts w:hint="eastAsia" w:ascii="宋体" w:hAnsi="宋体"/>
                <w:color w:val="000000" w:themeColor="text1"/>
                <w:kern w:val="0"/>
                <w:sz w:val="24"/>
                <w:szCs w:val="22"/>
                <w14:textFill>
                  <w14:solidFill>
                    <w14:schemeClr w14:val="tx1"/>
                  </w14:solidFill>
                </w14:textFill>
              </w:rPr>
              <w:t>②颗粒物排放量核算</w:t>
            </w:r>
          </w:p>
          <w:p w14:paraId="0ECED4DD">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工业企业固体物料堆场颗粒物排放量核算公式如下：</w:t>
            </w:r>
          </w:p>
          <w:p w14:paraId="2FC8D623">
            <w:pPr>
              <w:spacing w:line="440" w:lineRule="exact"/>
              <w:ind w:firstLine="480" w:firstLineChars="200"/>
              <w:rPr>
                <w:color w:val="000000" w:themeColor="text1"/>
                <w:kern w:val="0"/>
                <w:sz w:val="24"/>
                <w14:textFill>
                  <w14:solidFill>
                    <w14:schemeClr w14:val="tx1"/>
                  </w14:solidFill>
                </w14:textFill>
              </w:rPr>
            </w:pPr>
            <w:r>
              <w:rPr>
                <w:rFonts w:ascii="Cambria Math" w:hAnsi="Cambria Math" w:cs="Cambria Math"/>
                <w:color w:val="000000" w:themeColor="text1"/>
                <w:kern w:val="0"/>
                <w:sz w:val="24"/>
                <w14:textFill>
                  <w14:solidFill>
                    <w14:schemeClr w14:val="tx1"/>
                  </w14:solidFill>
                </w14:textFill>
              </w:rPr>
              <w:t>𝑈𝑐</w:t>
            </w:r>
            <w:r>
              <w:rPr>
                <w:color w:val="000000" w:themeColor="text1"/>
                <w:kern w:val="0"/>
                <w:sz w:val="24"/>
                <w14:textFill>
                  <w14:solidFill>
                    <w14:schemeClr w14:val="tx1"/>
                  </w14:solidFill>
                </w14:textFill>
              </w:rPr>
              <w:t xml:space="preserve"> = </w:t>
            </w:r>
            <w:r>
              <w:rPr>
                <w:rFonts w:ascii="Cambria Math" w:hAnsi="Cambria Math" w:cs="Cambria Math"/>
                <w:color w:val="000000" w:themeColor="text1"/>
                <w:kern w:val="0"/>
                <w:sz w:val="24"/>
                <w14:textFill>
                  <w14:solidFill>
                    <w14:schemeClr w14:val="tx1"/>
                  </w14:solidFill>
                </w14:textFill>
              </w:rPr>
              <w:t>𝑃</w:t>
            </w:r>
            <w:r>
              <w:rPr>
                <w:color w:val="000000" w:themeColor="text1"/>
                <w:kern w:val="0"/>
                <w:sz w:val="24"/>
                <w14:textFill>
                  <w14:solidFill>
                    <w14:schemeClr w14:val="tx1"/>
                  </w14:solidFill>
                </w14:textFill>
              </w:rPr>
              <w:t xml:space="preserve"> × (1 − </w:t>
            </w:r>
            <w:r>
              <w:rPr>
                <w:rFonts w:ascii="Cambria Math" w:hAnsi="Cambria Math" w:cs="Cambria Math"/>
                <w:color w:val="000000" w:themeColor="text1"/>
                <w:kern w:val="0"/>
                <w:sz w:val="24"/>
                <w14:textFill>
                  <w14:solidFill>
                    <w14:schemeClr w14:val="tx1"/>
                  </w14:solidFill>
                </w14:textFill>
              </w:rPr>
              <w:t>𝐶</w:t>
            </w:r>
            <w:r>
              <w:rPr>
                <w:rFonts w:ascii="Cambria Math" w:hAnsi="Cambria Math" w:cs="Cambria Math"/>
                <w:color w:val="000000" w:themeColor="text1"/>
                <w:kern w:val="0"/>
                <w:sz w:val="24"/>
                <w:vertAlign w:val="subscript"/>
                <w14:textFill>
                  <w14:solidFill>
                    <w14:schemeClr w14:val="tx1"/>
                  </w14:solidFill>
                </w14:textFill>
              </w:rPr>
              <w:t>𝑚</w:t>
            </w:r>
            <w:r>
              <w:rPr>
                <w:color w:val="000000" w:themeColor="text1"/>
                <w:kern w:val="0"/>
                <w:sz w:val="24"/>
                <w14:textFill>
                  <w14:solidFill>
                    <w14:schemeClr w14:val="tx1"/>
                  </w14:solidFill>
                </w14:textFill>
              </w:rPr>
              <w:t xml:space="preserve">) × (1 − </w:t>
            </w:r>
            <w:r>
              <w:rPr>
                <w:rFonts w:ascii="Cambria Math" w:hAnsi="Cambria Math" w:cs="Cambria Math"/>
                <w:color w:val="000000" w:themeColor="text1"/>
                <w:kern w:val="0"/>
                <w:sz w:val="24"/>
                <w14:textFill>
                  <w14:solidFill>
                    <w14:schemeClr w14:val="tx1"/>
                  </w14:solidFill>
                </w14:textFill>
              </w:rPr>
              <w:t>𝑇</w:t>
            </w:r>
            <w:r>
              <w:rPr>
                <w:rFonts w:ascii="Cambria Math" w:hAnsi="Cambria Math" w:cs="Cambria Math"/>
                <w:color w:val="000000" w:themeColor="text1"/>
                <w:kern w:val="0"/>
                <w:sz w:val="24"/>
                <w:vertAlign w:val="subscript"/>
                <w14:textFill>
                  <w14:solidFill>
                    <w14:schemeClr w14:val="tx1"/>
                  </w14:solidFill>
                </w14:textFill>
              </w:rPr>
              <w:t>𝑚</w:t>
            </w:r>
            <w:r>
              <w:rPr>
                <w:color w:val="000000" w:themeColor="text1"/>
                <w:kern w:val="0"/>
                <w:sz w:val="24"/>
                <w14:textFill>
                  <w14:solidFill>
                    <w14:schemeClr w14:val="tx1"/>
                  </w14:solidFill>
                </w14:textFill>
              </w:rPr>
              <w:t>)</w:t>
            </w:r>
          </w:p>
          <w:p w14:paraId="46CBCADD">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式中： P 指颗粒物产生量（t）；</w:t>
            </w:r>
          </w:p>
          <w:p w14:paraId="13326B70">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Uc指颗粒物排放量（t） ；</w:t>
            </w:r>
          </w:p>
          <w:p w14:paraId="1050516D">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Cm指颗粒物控制措施控制效率（%），见附录4，项目煤棚顶部设置喷淋抑尘系统，厂区配备洒水车，控制效率为74%；</w:t>
            </w:r>
          </w:p>
          <w:p w14:paraId="74507CBD">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Tm指堆场类型控制效率（%），见附录 5，项目设置密闭式厂房，喷淋洒水降尘，控制效率99%。</w:t>
            </w:r>
          </w:p>
          <w:p w14:paraId="4ECE5D10">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则，Uc</w:t>
            </w:r>
            <w:r>
              <w:rPr>
                <w:rFonts w:hint="eastAsia" w:ascii="Cambria Math" w:hAnsi="Cambria Math" w:cs="Cambria Math"/>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2174.47</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1-0.74</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（1-0.99）=5.65t。</w:t>
            </w:r>
          </w:p>
          <w:p w14:paraId="4D91229F">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经计算，项目煤炭装卸、堆存引起的扬尘产生量为2174.47t/a， 411.83kg/h，经全封闭煤棚阻隔，喷淋降尘后，</w:t>
            </w:r>
            <w:r>
              <w:rPr>
                <w:color w:val="000000" w:themeColor="text1"/>
                <w:kern w:val="0"/>
                <w:sz w:val="24"/>
                <w:szCs w:val="22"/>
                <w14:textFill>
                  <w14:solidFill>
                    <w14:schemeClr w14:val="tx1"/>
                  </w14:solidFill>
                </w14:textFill>
              </w:rPr>
              <w:t>颗粒物无组织逸散量为</w:t>
            </w:r>
            <w:r>
              <w:rPr>
                <w:rFonts w:hint="eastAsia"/>
                <w:color w:val="000000" w:themeColor="text1"/>
                <w:kern w:val="0"/>
                <w:sz w:val="24"/>
                <w:szCs w:val="22"/>
                <w14:textFill>
                  <w14:solidFill>
                    <w14:schemeClr w14:val="tx1"/>
                  </w14:solidFill>
                </w14:textFill>
              </w:rPr>
              <w:t>5.65</w:t>
            </w:r>
            <w:r>
              <w:rPr>
                <w:color w:val="000000" w:themeColor="text1"/>
                <w:kern w:val="0"/>
                <w:sz w:val="24"/>
                <w:szCs w:val="22"/>
                <w14:textFill>
                  <w14:solidFill>
                    <w14:schemeClr w14:val="tx1"/>
                  </w14:solidFill>
                </w14:textFill>
              </w:rPr>
              <w:t>t/a，排放速率为</w:t>
            </w:r>
            <w:r>
              <w:rPr>
                <w:rFonts w:hint="eastAsia"/>
                <w:color w:val="000000" w:themeColor="text1"/>
                <w:kern w:val="0"/>
                <w:sz w:val="24"/>
                <w:szCs w:val="22"/>
                <w14:textFill>
                  <w14:solidFill>
                    <w14:schemeClr w14:val="tx1"/>
                  </w14:solidFill>
                </w14:textFill>
              </w:rPr>
              <w:t>1.07</w:t>
            </w:r>
            <w:r>
              <w:rPr>
                <w:color w:val="000000" w:themeColor="text1"/>
                <w:kern w:val="0"/>
                <w:sz w:val="24"/>
                <w:szCs w:val="22"/>
                <w14:textFill>
                  <w14:solidFill>
                    <w14:schemeClr w14:val="tx1"/>
                  </w14:solidFill>
                </w14:textFill>
              </w:rPr>
              <w:t>kg/h，排放浓度＜1.0</w:t>
            </w:r>
            <w:r>
              <w:rPr>
                <w:color w:val="000000" w:themeColor="text1"/>
                <w:szCs w:val="21"/>
                <w14:textFill>
                  <w14:solidFill>
                    <w14:schemeClr w14:val="tx1"/>
                  </w14:solidFill>
                </w14:textFill>
              </w:rPr>
              <w:t xml:space="preserve"> </w:t>
            </w:r>
            <w:r>
              <w:rPr>
                <w:color w:val="000000" w:themeColor="text1"/>
                <w:kern w:val="0"/>
                <w:sz w:val="24"/>
                <w:szCs w:val="22"/>
                <w14:textFill>
                  <w14:solidFill>
                    <w14:schemeClr w14:val="tx1"/>
                  </w14:solidFill>
                </w14:textFill>
              </w:rPr>
              <w:t>mg/m</w:t>
            </w:r>
            <w:r>
              <w:rPr>
                <w:color w:val="000000" w:themeColor="text1"/>
                <w:kern w:val="0"/>
                <w:sz w:val="24"/>
                <w:szCs w:val="22"/>
                <w:vertAlign w:val="superscript"/>
                <w14:textFill>
                  <w14:solidFill>
                    <w14:schemeClr w14:val="tx1"/>
                  </w14:solidFill>
                </w14:textFill>
              </w:rPr>
              <w:t>3</w:t>
            </w:r>
            <w:r>
              <w:rPr>
                <w:color w:val="000000" w:themeColor="text1"/>
                <w:kern w:val="0"/>
                <w:sz w:val="24"/>
                <w:szCs w:val="22"/>
                <w14:textFill>
                  <w14:solidFill>
                    <w14:schemeClr w14:val="tx1"/>
                  </w14:solidFill>
                </w14:textFill>
              </w:rPr>
              <w:t>，满足《煤炭工业污染物排放标准》（GB20426-2006）表 5 煤炭工业无组织排放限值要求。</w:t>
            </w:r>
          </w:p>
          <w:p w14:paraId="39A61B03">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2</w:t>
            </w:r>
            <w:r>
              <w:rPr>
                <w:color w:val="000000" w:themeColor="text1"/>
                <w:kern w:val="0"/>
                <w:sz w:val="24"/>
                <w:szCs w:val="22"/>
                <w14:textFill>
                  <w14:solidFill>
                    <w14:schemeClr w14:val="tx1"/>
                  </w14:solidFill>
                </w14:textFill>
              </w:rPr>
              <w:t>）厂区道路运输扬尘</w:t>
            </w:r>
          </w:p>
          <w:p w14:paraId="346712CA">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道路扬尘主要为路面表层干化浮土在车轮的冲击、碾压和尾气排气筒的冲击下激起的二次扬尘。污染物以颗粒物（TSP）计。项目汽车运输采用40t自卸汽车，场内运输道路为沥青混凝土路面，行驶路程约为500m，车速小于15km/h。 项目运营期汽车运输总量为240万 t，运输车次约 6.0万辆·次/年。</w:t>
            </w:r>
          </w:p>
          <w:p w14:paraId="71489AE8">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根据《扬尘颗粒物排放清单编制技术指南（试行） 》（ 环保部公告 2014 年第 92 号），道路扬尘量根据下列公式计算：</w:t>
            </w:r>
          </w:p>
          <w:p w14:paraId="096BBA15">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=E</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×L</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×N</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×（1-</w:t>
            </w:r>
            <w:r>
              <w:rPr>
                <w:rFonts w:hint="eastAsia"/>
                <w:bCs/>
                <w:color w:val="000000" w:themeColor="text1"/>
                <w:sz w:val="32"/>
                <w:szCs w:val="32"/>
                <w14:textFill>
                  <w14:solidFill>
                    <w14:schemeClr w14:val="tx1"/>
                  </w14:solidFill>
                </w14:textFill>
              </w:rPr>
              <w:t>n</w:t>
            </w:r>
            <w:r>
              <w:rPr>
                <w:rFonts w:hint="eastAsia"/>
                <w:bCs/>
                <w:color w:val="000000" w:themeColor="text1"/>
                <w:sz w:val="32"/>
                <w:szCs w:val="32"/>
                <w:vertAlign w:val="subscript"/>
                <w14:textFill>
                  <w14:solidFill>
                    <w14:schemeClr w14:val="tx1"/>
                  </w14:solidFill>
                </w14:textFill>
              </w:rPr>
              <w:t>r</w:t>
            </w:r>
            <w:r>
              <w:rPr>
                <w:rFonts w:hint="eastAsia"/>
                <w:bCs/>
                <w:color w:val="000000" w:themeColor="text1"/>
                <w:sz w:val="24"/>
                <w14:textFill>
                  <w14:solidFill>
                    <w14:schemeClr w14:val="tx1"/>
                  </w14:solidFill>
                </w14:textFill>
              </w:rPr>
              <w:t>/365）×10</w:t>
            </w:r>
            <w:r>
              <w:rPr>
                <w:rFonts w:hint="eastAsia"/>
                <w:bCs/>
                <w:color w:val="000000" w:themeColor="text1"/>
                <w:sz w:val="24"/>
                <w:vertAlign w:val="superscript"/>
                <w14:textFill>
                  <w14:solidFill>
                    <w14:schemeClr w14:val="tx1"/>
                  </w14:solidFill>
                </w14:textFill>
              </w:rPr>
              <w:t>-6</w:t>
            </w:r>
          </w:p>
          <w:p w14:paraId="04CE7E97">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式中：</w:t>
            </w:r>
          </w:p>
          <w:p w14:paraId="00DB1ADC">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：道路扬尘源中颗粒物 P</w:t>
            </w:r>
            <w:r>
              <w:rPr>
                <w:rFonts w:hint="eastAsia"/>
                <w:bCs/>
                <w:color w:val="000000" w:themeColor="text1"/>
                <w:sz w:val="24"/>
                <w:vertAlign w:val="subscript"/>
                <w14:textFill>
                  <w14:solidFill>
                    <w14:schemeClr w14:val="tx1"/>
                  </w14:solidFill>
                </w14:textFill>
              </w:rPr>
              <w:t>Mi</w:t>
            </w:r>
            <w:r>
              <w:rPr>
                <w:rFonts w:hint="eastAsia"/>
                <w:bCs/>
                <w:color w:val="000000" w:themeColor="text1"/>
                <w:sz w:val="24"/>
                <w14:textFill>
                  <w14:solidFill>
                    <w14:schemeClr w14:val="tx1"/>
                  </w14:solidFill>
                </w14:textFill>
              </w:rPr>
              <w:t xml:space="preserve"> 的总排放量， t/a。</w:t>
            </w:r>
          </w:p>
          <w:p w14:paraId="70A21FA5">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E</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：道路扬尘源中颗粒物 P</w:t>
            </w:r>
            <w:r>
              <w:rPr>
                <w:rFonts w:hint="eastAsia"/>
                <w:bCs/>
                <w:color w:val="000000" w:themeColor="text1"/>
                <w:sz w:val="24"/>
                <w:vertAlign w:val="subscript"/>
                <w14:textFill>
                  <w14:solidFill>
                    <w14:schemeClr w14:val="tx1"/>
                  </w14:solidFill>
                </w14:textFill>
              </w:rPr>
              <w:t>Mi</w:t>
            </w:r>
            <w:r>
              <w:rPr>
                <w:rFonts w:hint="eastAsia"/>
                <w:bCs/>
                <w:color w:val="000000" w:themeColor="text1"/>
                <w:sz w:val="24"/>
                <w14:textFill>
                  <w14:solidFill>
                    <w14:schemeClr w14:val="tx1"/>
                  </w14:solidFill>
                </w14:textFill>
              </w:rPr>
              <w:t xml:space="preserve"> 平均排放系数，g/km·辆。</w:t>
            </w:r>
          </w:p>
          <w:p w14:paraId="16A4DFDA">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L</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：道路长度，取均值0.3km。</w:t>
            </w:r>
          </w:p>
          <w:p w14:paraId="4E2C6438">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N</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：一定时期内车辆在该段道路上的平均车流量，取6万辆·次/a（含往返） 。</w:t>
            </w:r>
          </w:p>
          <w:p w14:paraId="180D90C3">
            <w:pPr>
              <w:pStyle w:val="48"/>
              <w:adjustRightInd w:val="0"/>
              <w:snapToGrid w:val="0"/>
              <w:spacing w:line="440" w:lineRule="exact"/>
              <w:rPr>
                <w:bCs/>
                <w:color w:val="000000" w:themeColor="text1"/>
                <w:sz w:val="24"/>
                <w14:textFill>
                  <w14:solidFill>
                    <w14:schemeClr w14:val="tx1"/>
                  </w14:solidFill>
                </w14:textFill>
              </w:rPr>
            </w:pPr>
            <w:r>
              <w:rPr>
                <w:rFonts w:hint="eastAsia"/>
                <w:bCs/>
                <w:color w:val="000000" w:themeColor="text1"/>
                <w:sz w:val="32"/>
                <w:szCs w:val="32"/>
                <w14:textFill>
                  <w14:solidFill>
                    <w14:schemeClr w14:val="tx1"/>
                  </w14:solidFill>
                </w14:textFill>
              </w:rPr>
              <w:t>n</w:t>
            </w:r>
            <w:r>
              <w:rPr>
                <w:rFonts w:hint="eastAsia"/>
                <w:bCs/>
                <w:color w:val="000000" w:themeColor="text1"/>
                <w:sz w:val="32"/>
                <w:szCs w:val="32"/>
                <w:vertAlign w:val="subscript"/>
                <w14:textFill>
                  <w14:solidFill>
                    <w14:schemeClr w14:val="tx1"/>
                  </w14:solidFill>
                </w14:textFill>
              </w:rPr>
              <w:t>r</w:t>
            </w:r>
            <w:r>
              <w:rPr>
                <w:rFonts w:hint="eastAsia"/>
                <w:bCs/>
                <w:color w:val="000000" w:themeColor="text1"/>
                <w:sz w:val="24"/>
                <w14:textFill>
                  <w14:solidFill>
                    <w14:schemeClr w14:val="tx1"/>
                  </w14:solidFill>
                </w14:textFill>
              </w:rPr>
              <w:t>：不起尘天数，即一年中降水量大于0.25mm/d的天数。根据当地气象资料，项目取100d 计。</w:t>
            </w:r>
          </w:p>
          <w:p w14:paraId="5B774934">
            <w:pPr>
              <w:pStyle w:val="48"/>
              <w:adjustRightInd w:val="0"/>
              <w:snapToGrid w:val="0"/>
              <w:spacing w:line="440" w:lineRule="exact"/>
              <w:ind w:firstLine="420"/>
              <w:rPr>
                <w:bCs/>
                <w:color w:val="000000" w:themeColor="text1"/>
                <w:sz w:val="2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7456" behindDoc="0" locked="0" layoutInCell="1" allowOverlap="1">
                  <wp:simplePos x="0" y="0"/>
                  <wp:positionH relativeFrom="column">
                    <wp:posOffset>1103630</wp:posOffset>
                  </wp:positionH>
                  <wp:positionV relativeFrom="paragraph">
                    <wp:posOffset>271145</wp:posOffset>
                  </wp:positionV>
                  <wp:extent cx="3171190" cy="380365"/>
                  <wp:effectExtent l="0" t="0" r="0" b="635"/>
                  <wp:wrapNone/>
                  <wp:docPr id="1027376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76598" name="图片 1"/>
                          <pic:cNvPicPr>
                            <a:picLocks noChangeAspect="1"/>
                          </pic:cNvPicPr>
                        </pic:nvPicPr>
                        <pic:blipFill>
                          <a:blip r:embed="rId17"/>
                          <a:stretch>
                            <a:fillRect/>
                          </a:stretch>
                        </pic:blipFill>
                        <pic:spPr>
                          <a:xfrm>
                            <a:off x="0" y="0"/>
                            <a:ext cx="3171190" cy="380365"/>
                          </a:xfrm>
                          <a:prstGeom prst="rect">
                            <a:avLst/>
                          </a:prstGeom>
                        </pic:spPr>
                      </pic:pic>
                    </a:graphicData>
                  </a:graphic>
                </wp:anchor>
              </w:drawing>
            </w:r>
            <w:r>
              <w:rPr>
                <w:rFonts w:hint="eastAsia"/>
                <w:bCs/>
                <w:color w:val="000000" w:themeColor="text1"/>
                <w:sz w:val="24"/>
                <w14:textFill>
                  <w14:solidFill>
                    <w14:schemeClr w14:val="tx1"/>
                  </w14:solidFill>
                </w14:textFill>
              </w:rPr>
              <w:t>对于铺装道路，扬尘排放系数计算公式如下：</w:t>
            </w:r>
          </w:p>
          <w:p w14:paraId="0A402ADB">
            <w:pPr>
              <w:pStyle w:val="48"/>
              <w:adjustRightInd w:val="0"/>
              <w:snapToGrid w:val="0"/>
              <w:spacing w:line="440" w:lineRule="exact"/>
              <w:ind w:firstLine="480"/>
              <w:rPr>
                <w:bCs/>
                <w:color w:val="000000" w:themeColor="text1"/>
                <w:sz w:val="24"/>
                <w14:textFill>
                  <w14:solidFill>
                    <w14:schemeClr w14:val="tx1"/>
                  </w14:solidFill>
                </w14:textFill>
              </w:rPr>
            </w:pPr>
          </w:p>
          <w:p w14:paraId="5AB8DAAA">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式中：</w:t>
            </w:r>
          </w:p>
          <w:p w14:paraId="00A99410">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1）EPi 为铺装道路的扬尘中 PMi 排放系数，g/km（ 机动车行驶1km产生的道路扬尘质量）。</w:t>
            </w:r>
          </w:p>
          <w:p w14:paraId="04A1D74C">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2）ki为产生的扬尘中 PMi 的粒度乘数，推荐值取 3.23g/km。</w:t>
            </w:r>
          </w:p>
          <w:p w14:paraId="4FCD3BE7">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3）sL为道路积尘负荷， g/m</w:t>
            </w:r>
            <w:r>
              <w:rPr>
                <w:rFonts w:hint="eastAsia"/>
                <w:bCs/>
                <w:color w:val="000000" w:themeColor="text1"/>
                <w:sz w:val="24"/>
                <w:vertAlign w:val="superscript"/>
                <w14:textFill>
                  <w14:solidFill>
                    <w14:schemeClr w14:val="tx1"/>
                  </w14:solidFill>
                </w14:textFill>
              </w:rPr>
              <w:t>2</w:t>
            </w:r>
            <w:r>
              <w:rPr>
                <w:rFonts w:hint="eastAsia"/>
                <w:bCs/>
                <w:color w:val="000000" w:themeColor="text1"/>
                <w:sz w:val="24"/>
                <w14:textFill>
                  <w14:solidFill>
                    <w14:schemeClr w14:val="tx1"/>
                  </w14:solidFill>
                </w14:textFill>
              </w:rPr>
              <w:t>。取 1.0。</w:t>
            </w:r>
          </w:p>
          <w:p w14:paraId="0F7FE239">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4）W为平均车重，t。平均车重表示通过某等级道路所有车辆的平均重量。</w:t>
            </w:r>
          </w:p>
          <w:p w14:paraId="38165C01">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η</w:t>
            </w:r>
            <w:r>
              <w:rPr>
                <w:rFonts w:hint="eastAsia"/>
                <w:bCs/>
                <w:color w:val="000000" w:themeColor="text1"/>
                <w:sz w:val="24"/>
                <w14:textFill>
                  <w14:solidFill>
                    <w14:schemeClr w14:val="tx1"/>
                  </w14:solidFill>
                </w14:textFill>
              </w:rPr>
              <w:t xml:space="preserve"> 为污染控制技术对扬尘的去除效率， %；</w:t>
            </w:r>
          </w:p>
          <w:p w14:paraId="4CD46E26">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根据该指南中洒水 2 次/天控制效率为66%。 根据项目运行实际，对厂内运输道路进行洒水降尘，每天洒水 2 次以上，大风天气增加洒水次数。</w:t>
            </w:r>
          </w:p>
          <w:p w14:paraId="0C929534">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经计算，排放系数 Epi 为47.29g/km，道路运输扬尘排放量为0.62t/a。</w:t>
            </w:r>
          </w:p>
          <w:p w14:paraId="6E72A6DB">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同时，为减少运输车辆扬尘对周围环境的影响，按照环保要求，对运输车辆和非道路移动机械提出明确的环保管控要求：</w:t>
            </w:r>
          </w:p>
          <w:p w14:paraId="3F781DE3">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A.</w:t>
            </w:r>
            <w:r>
              <w:rPr>
                <w:rFonts w:hint="eastAsia"/>
                <w:color w:val="000000" w:themeColor="text1"/>
                <w14:textFill>
                  <w14:solidFill>
                    <w14:schemeClr w14:val="tx1"/>
                  </w14:solidFill>
                </w14:textFill>
              </w:rPr>
              <w:t xml:space="preserve"> </w:t>
            </w:r>
            <w:r>
              <w:rPr>
                <w:rFonts w:hint="eastAsia"/>
                <w:bCs/>
                <w:color w:val="000000" w:themeColor="text1"/>
                <w:sz w:val="24"/>
                <w14:textFill>
                  <w14:solidFill>
                    <w14:schemeClr w14:val="tx1"/>
                  </w14:solidFill>
                </w14:textFill>
              </w:rPr>
              <w:t>厂区至公路连接线全部水泥硬化，平时注意道路的维护</w:t>
            </w:r>
          </w:p>
          <w:p w14:paraId="7E1F70E4">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B.厂前运输道路定期洒水、清扫，保证路面不起尘；</w:t>
            </w:r>
          </w:p>
          <w:p w14:paraId="173ADC75">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C.运输车辆要严密遮盖，减少物料散落；</w:t>
            </w:r>
          </w:p>
          <w:p w14:paraId="48283145">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D.保持路面整洁、 湿润不起尘， 有效防止运输环节扬尘污染。车辆采用全封闭</w:t>
            </w:r>
            <w:r>
              <w:rPr>
                <w:rFonts w:hint="eastAsia"/>
                <w:bCs/>
                <w:color w:val="000000" w:themeColor="text1"/>
                <w:sz w:val="24"/>
                <w:lang w:eastAsia="zh-CN"/>
                <w14:textFill>
                  <w14:solidFill>
                    <w14:schemeClr w14:val="tx1"/>
                  </w14:solidFill>
                </w14:textFill>
              </w:rPr>
              <w:t>厢式</w:t>
            </w:r>
            <w:r>
              <w:rPr>
                <w:rFonts w:hint="eastAsia"/>
                <w:bCs/>
                <w:color w:val="000000" w:themeColor="text1"/>
                <w:sz w:val="24"/>
                <w14:textFill>
                  <w14:solidFill>
                    <w14:schemeClr w14:val="tx1"/>
                  </w14:solidFill>
                </w14:textFill>
              </w:rPr>
              <w:t>货车，装载高度不得超出车厢高度，避免出现因颠簸造成的遗撒现象。 不允许出现敞篷运输或是超载运输。</w:t>
            </w:r>
          </w:p>
          <w:p w14:paraId="48F709D2">
            <w:pPr>
              <w:pStyle w:val="48"/>
              <w:adjustRightInd w:val="0"/>
              <w:snapToGrid w:val="0"/>
              <w:spacing w:line="440" w:lineRule="exact"/>
              <w:ind w:firstLine="480"/>
              <w:rPr>
                <w:bCs/>
                <w:color w:val="000000" w:themeColor="text1"/>
                <w:sz w:val="24"/>
                <w14:textFill>
                  <w14:solidFill>
                    <w14:schemeClr w14:val="tx1"/>
                  </w14:solidFill>
                </w14:textFill>
              </w:rPr>
            </w:pPr>
          </w:p>
          <w:p w14:paraId="48408A64">
            <w:pPr>
              <w:pStyle w:val="48"/>
              <w:adjustRightInd w:val="0"/>
              <w:snapToGrid w:val="0"/>
              <w:spacing w:line="440" w:lineRule="exact"/>
              <w:ind w:firstLine="480"/>
              <w:rPr>
                <w:bCs/>
                <w:color w:val="000000" w:themeColor="text1"/>
                <w:sz w:val="24"/>
                <w14:textFill>
                  <w14:solidFill>
                    <w14:schemeClr w14:val="tx1"/>
                  </w14:solidFill>
                </w14:textFill>
              </w:rPr>
            </w:pPr>
          </w:p>
          <w:p w14:paraId="6BFB415E">
            <w:pPr>
              <w:pStyle w:val="48"/>
              <w:adjustRightInd w:val="0"/>
              <w:snapToGrid w:val="0"/>
              <w:spacing w:line="440" w:lineRule="exact"/>
              <w:ind w:firstLine="480"/>
              <w:rPr>
                <w:bCs/>
                <w:color w:val="000000" w:themeColor="text1"/>
                <w:sz w:val="24"/>
                <w14:textFill>
                  <w14:solidFill>
                    <w14:schemeClr w14:val="tx1"/>
                  </w14:solidFill>
                </w14:textFill>
              </w:rPr>
            </w:pPr>
          </w:p>
          <w:p w14:paraId="503EA462">
            <w:pPr>
              <w:pStyle w:val="48"/>
              <w:adjustRightInd w:val="0"/>
              <w:snapToGrid w:val="0"/>
              <w:spacing w:line="440" w:lineRule="exact"/>
              <w:ind w:firstLine="480"/>
              <w:rPr>
                <w:bCs/>
                <w:color w:val="000000" w:themeColor="text1"/>
                <w:sz w:val="24"/>
                <w14:textFill>
                  <w14:solidFill>
                    <w14:schemeClr w14:val="tx1"/>
                  </w14:solidFill>
                </w14:textFill>
              </w:rPr>
            </w:pPr>
          </w:p>
          <w:p w14:paraId="273B83C7">
            <w:pPr>
              <w:pStyle w:val="48"/>
              <w:adjustRightInd w:val="0"/>
              <w:snapToGrid w:val="0"/>
              <w:spacing w:line="440" w:lineRule="exact"/>
              <w:ind w:firstLine="480"/>
              <w:rPr>
                <w:bCs/>
                <w:color w:val="000000" w:themeColor="text1"/>
                <w:sz w:val="24"/>
                <w14:textFill>
                  <w14:solidFill>
                    <w14:schemeClr w14:val="tx1"/>
                  </w14:solidFill>
                </w14:textFill>
              </w:rPr>
            </w:pPr>
          </w:p>
          <w:p w14:paraId="44108022">
            <w:pPr>
              <w:pStyle w:val="48"/>
              <w:adjustRightInd w:val="0"/>
              <w:snapToGrid w:val="0"/>
              <w:spacing w:line="440" w:lineRule="exact"/>
              <w:ind w:firstLine="480"/>
              <w:rPr>
                <w:bCs/>
                <w:color w:val="000000" w:themeColor="text1"/>
                <w:sz w:val="24"/>
                <w14:textFill>
                  <w14:solidFill>
                    <w14:schemeClr w14:val="tx1"/>
                  </w14:solidFill>
                </w14:textFill>
              </w:rPr>
            </w:pPr>
          </w:p>
          <w:p w14:paraId="3C553851">
            <w:pPr>
              <w:pStyle w:val="48"/>
              <w:adjustRightInd w:val="0"/>
              <w:snapToGrid w:val="0"/>
              <w:spacing w:line="440" w:lineRule="exact"/>
              <w:ind w:firstLine="480"/>
              <w:rPr>
                <w:bCs/>
                <w:color w:val="000000" w:themeColor="text1"/>
                <w:sz w:val="24"/>
                <w14:textFill>
                  <w14:solidFill>
                    <w14:schemeClr w14:val="tx1"/>
                  </w14:solidFill>
                </w14:textFill>
              </w:rPr>
            </w:pPr>
          </w:p>
          <w:p w14:paraId="36B28924">
            <w:pPr>
              <w:pStyle w:val="48"/>
              <w:adjustRightInd w:val="0"/>
              <w:snapToGrid w:val="0"/>
              <w:spacing w:line="440" w:lineRule="exact"/>
              <w:ind w:firstLine="480"/>
              <w:rPr>
                <w:bCs/>
                <w:color w:val="000000" w:themeColor="text1"/>
                <w:sz w:val="24"/>
                <w14:textFill>
                  <w14:solidFill>
                    <w14:schemeClr w14:val="tx1"/>
                  </w14:solidFill>
                </w14:textFill>
              </w:rPr>
            </w:pPr>
          </w:p>
          <w:p w14:paraId="1AA28AB9">
            <w:pPr>
              <w:pStyle w:val="48"/>
              <w:adjustRightInd w:val="0"/>
              <w:snapToGrid w:val="0"/>
              <w:spacing w:line="440" w:lineRule="exact"/>
              <w:ind w:firstLine="480"/>
              <w:rPr>
                <w:bCs/>
                <w:color w:val="000000" w:themeColor="text1"/>
                <w:sz w:val="24"/>
                <w14:textFill>
                  <w14:solidFill>
                    <w14:schemeClr w14:val="tx1"/>
                  </w14:solidFill>
                </w14:textFill>
              </w:rPr>
            </w:pPr>
          </w:p>
          <w:p w14:paraId="5AE28447">
            <w:pPr>
              <w:pStyle w:val="48"/>
              <w:adjustRightInd w:val="0"/>
              <w:snapToGrid w:val="0"/>
              <w:spacing w:line="440" w:lineRule="exact"/>
              <w:ind w:firstLine="480"/>
              <w:rPr>
                <w:bCs/>
                <w:color w:val="000000" w:themeColor="text1"/>
                <w:sz w:val="24"/>
                <w14:textFill>
                  <w14:solidFill>
                    <w14:schemeClr w14:val="tx1"/>
                  </w14:solidFill>
                </w14:textFill>
              </w:rPr>
            </w:pPr>
          </w:p>
          <w:p w14:paraId="021BEA71">
            <w:pPr>
              <w:pStyle w:val="48"/>
              <w:adjustRightInd w:val="0"/>
              <w:snapToGrid w:val="0"/>
              <w:spacing w:line="440" w:lineRule="exact"/>
              <w:ind w:firstLine="480"/>
              <w:rPr>
                <w:bCs/>
                <w:color w:val="000000" w:themeColor="text1"/>
                <w:sz w:val="24"/>
                <w14:textFill>
                  <w14:solidFill>
                    <w14:schemeClr w14:val="tx1"/>
                  </w14:solidFill>
                </w14:textFill>
              </w:rPr>
            </w:pPr>
          </w:p>
          <w:p w14:paraId="35051C10">
            <w:pPr>
              <w:pStyle w:val="48"/>
              <w:adjustRightInd w:val="0"/>
              <w:snapToGrid w:val="0"/>
              <w:spacing w:line="440" w:lineRule="exact"/>
              <w:ind w:firstLine="480"/>
              <w:rPr>
                <w:rFonts w:hint="eastAsia"/>
                <w:bCs/>
                <w:color w:val="000000" w:themeColor="text1"/>
                <w:sz w:val="24"/>
                <w14:textFill>
                  <w14:solidFill>
                    <w14:schemeClr w14:val="tx1"/>
                  </w14:solidFill>
                </w14:textFill>
              </w:rPr>
            </w:pPr>
          </w:p>
          <w:p w14:paraId="38E2E4D7">
            <w:pPr>
              <w:pStyle w:val="48"/>
              <w:adjustRightInd w:val="0"/>
              <w:snapToGrid w:val="0"/>
              <w:spacing w:line="440" w:lineRule="exact"/>
              <w:ind w:firstLine="480"/>
              <w:rPr>
                <w:bCs/>
                <w:color w:val="000000" w:themeColor="text1"/>
                <w:sz w:val="24"/>
                <w14:textFill>
                  <w14:solidFill>
                    <w14:schemeClr w14:val="tx1"/>
                  </w14:solidFill>
                </w14:textFill>
              </w:rPr>
            </w:pPr>
          </w:p>
        </w:tc>
      </w:tr>
    </w:tbl>
    <w:p w14:paraId="73C5E420">
      <w:pPr>
        <w:adjustRightInd w:val="0"/>
        <w:snapToGrid w:val="0"/>
        <w:jc w:val="center"/>
        <w:rPr>
          <w:bCs/>
          <w:color w:val="000000" w:themeColor="text1"/>
          <w:szCs w:val="21"/>
          <w14:textFill>
            <w14:solidFill>
              <w14:schemeClr w14:val="tx1"/>
            </w14:solidFill>
          </w14:textFill>
        </w:rPr>
        <w:sectPr>
          <w:pgSz w:w="11907" w:h="16840"/>
          <w:pgMar w:top="1701" w:right="1531" w:bottom="2127"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728"/>
      </w:tblGrid>
      <w:tr w14:paraId="7C9BA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 w:type="pct"/>
            <w:tcMar>
              <w:left w:w="28" w:type="dxa"/>
              <w:right w:w="28" w:type="dxa"/>
            </w:tcMar>
            <w:vAlign w:val="center"/>
          </w:tcPr>
          <w:p w14:paraId="09CD9DE2">
            <w:pPr>
              <w:adjustRightInd w:val="0"/>
              <w:snapToGrid w:val="0"/>
              <w:jc w:val="center"/>
              <w:rPr>
                <w:bCs/>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运营期环境影响和保护措施</w:t>
            </w:r>
          </w:p>
        </w:tc>
        <w:tc>
          <w:tcPr>
            <w:tcW w:w="4840" w:type="pct"/>
            <w:vAlign w:val="center"/>
          </w:tcPr>
          <w:p w14:paraId="302E9D20">
            <w:pPr>
              <w:pStyle w:val="4"/>
              <w:adjustRightInd/>
              <w:spacing w:before="0" w:after="0" w:line="440" w:lineRule="exact"/>
              <w:ind w:firstLine="482" w:firstLineChars="20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w:t>
            </w:r>
            <w:r>
              <w:rPr>
                <w:rFonts w:hint="eastAsia" w:ascii="Times New Roman" w:hAnsi="Times New Roman" w:eastAsia="宋体"/>
                <w:color w:val="000000" w:themeColor="text1"/>
                <w:sz w:val="24"/>
                <w14:textFill>
                  <w14:solidFill>
                    <w14:schemeClr w14:val="tx1"/>
                  </w14:solidFill>
                </w14:textFill>
              </w:rPr>
              <w:t>8</w:t>
            </w:r>
            <w:r>
              <w:rPr>
                <w:rFonts w:ascii="Times New Roman" w:hAnsi="Times New Roman" w:eastAsia="宋体"/>
                <w:color w:val="000000" w:themeColor="text1"/>
                <w:sz w:val="24"/>
                <w14:textFill>
                  <w14:solidFill>
                    <w14:schemeClr w14:val="tx1"/>
                  </w14:solidFill>
                </w14:textFill>
              </w:rPr>
              <w:t>）废气污染源参数</w:t>
            </w:r>
          </w:p>
          <w:p w14:paraId="074EAD0B">
            <w:pPr>
              <w:pStyle w:val="4"/>
              <w:adjustRightInd/>
              <w:spacing w:before="0" w:after="0" w:line="440" w:lineRule="exact"/>
              <w:ind w:firstLine="480" w:firstLineChars="200"/>
              <w:jc w:val="both"/>
              <w:rPr>
                <w:rFonts w:ascii="Times New Roman" w:hAnsi="Times New Roman" w:eastAsia="宋体"/>
                <w:b w:val="0"/>
                <w:bCs/>
                <w:color w:val="000000" w:themeColor="text1"/>
                <w:sz w:val="24"/>
                <w14:textFill>
                  <w14:solidFill>
                    <w14:schemeClr w14:val="tx1"/>
                  </w14:solidFill>
                </w14:textFill>
              </w:rPr>
            </w:pPr>
            <w:r>
              <w:rPr>
                <w:rFonts w:ascii="Times New Roman" w:hAnsi="Times New Roman" w:eastAsia="宋体"/>
                <w:b w:val="0"/>
                <w:bCs/>
                <w:color w:val="000000" w:themeColor="text1"/>
                <w:sz w:val="24"/>
                <w14:textFill>
                  <w14:solidFill>
                    <w14:schemeClr w14:val="tx1"/>
                  </w14:solidFill>
                </w14:textFill>
              </w:rPr>
              <w:t>项目废气污染源源强核算结果及相关参数一览表见表4-</w:t>
            </w:r>
            <w:r>
              <w:rPr>
                <w:rFonts w:hint="eastAsia" w:ascii="Times New Roman" w:hAnsi="Times New Roman" w:eastAsia="宋体"/>
                <w:b w:val="0"/>
                <w:bCs/>
                <w:color w:val="000000" w:themeColor="text1"/>
                <w:sz w:val="24"/>
                <w14:textFill>
                  <w14:solidFill>
                    <w14:schemeClr w14:val="tx1"/>
                  </w14:solidFill>
                </w14:textFill>
              </w:rPr>
              <w:t>1</w:t>
            </w:r>
            <w:r>
              <w:rPr>
                <w:rFonts w:ascii="Times New Roman" w:hAnsi="Times New Roman" w:eastAsia="宋体"/>
                <w:b w:val="0"/>
                <w:bCs/>
                <w:color w:val="000000" w:themeColor="text1"/>
                <w:sz w:val="24"/>
                <w14:textFill>
                  <w14:solidFill>
                    <w14:schemeClr w14:val="tx1"/>
                  </w14:solidFill>
                </w14:textFill>
              </w:rPr>
              <w:t>。</w:t>
            </w:r>
          </w:p>
          <w:p w14:paraId="70513F5B">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1</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 xml:space="preserve"> </w:t>
            </w:r>
            <w:r>
              <w:rPr>
                <w:b/>
                <w:color w:val="000000" w:themeColor="text1"/>
                <w:sz w:val="24"/>
                <w14:textFill>
                  <w14:solidFill>
                    <w14:schemeClr w14:val="tx1"/>
                  </w14:solidFill>
                </w14:textFill>
              </w:rPr>
              <w:t xml:space="preserve">  项目</w:t>
            </w:r>
            <w:r>
              <w:rPr>
                <w:rFonts w:hint="eastAsia"/>
                <w:b/>
                <w:color w:val="000000" w:themeColor="text1"/>
                <w:sz w:val="24"/>
                <w14:textFill>
                  <w14:solidFill>
                    <w14:schemeClr w14:val="tx1"/>
                  </w14:solidFill>
                </w14:textFill>
              </w:rPr>
              <w:t>无组织</w:t>
            </w:r>
            <w:r>
              <w:rPr>
                <w:b/>
                <w:color w:val="000000" w:themeColor="text1"/>
                <w:sz w:val="24"/>
                <w14:textFill>
                  <w14:solidFill>
                    <w14:schemeClr w14:val="tx1"/>
                  </w14:solidFill>
                </w14:textFill>
              </w:rPr>
              <w:t>废气污染源源强核算结果及相关参数一览表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7"/>
              <w:gridCol w:w="717"/>
              <w:gridCol w:w="717"/>
              <w:gridCol w:w="718"/>
              <w:gridCol w:w="715"/>
              <w:gridCol w:w="2440"/>
              <w:gridCol w:w="1438"/>
              <w:gridCol w:w="575"/>
              <w:gridCol w:w="863"/>
              <w:gridCol w:w="848"/>
              <w:gridCol w:w="633"/>
              <w:gridCol w:w="793"/>
              <w:gridCol w:w="588"/>
            </w:tblGrid>
            <w:tr w14:paraId="1F2F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83" w:type="pct"/>
                  <w:vMerge w:val="restart"/>
                  <w:vAlign w:val="center"/>
                </w:tcPr>
                <w:p w14:paraId="77F88762">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装置</w:t>
                  </w:r>
                  <w:r>
                    <w:rPr>
                      <w:rFonts w:hint="eastAsia"/>
                      <w:color w:val="000000" w:themeColor="text1"/>
                      <w:kern w:val="0"/>
                      <w:sz w:val="18"/>
                      <w:szCs w:val="18"/>
                      <w14:textFill>
                        <w14:solidFill>
                          <w14:schemeClr w14:val="tx1"/>
                        </w14:solidFill>
                      </w14:textFill>
                    </w:rPr>
                    <w:t>/</w:t>
                  </w:r>
                  <w:r>
                    <w:rPr>
                      <w:color w:val="000000" w:themeColor="text1"/>
                      <w:kern w:val="0"/>
                      <w:sz w:val="18"/>
                      <w:szCs w:val="18"/>
                      <w14:textFill>
                        <w14:solidFill>
                          <w14:schemeClr w14:val="tx1"/>
                        </w14:solidFill>
                      </w14:textFill>
                    </w:rPr>
                    <w:t>污染源</w:t>
                  </w:r>
                </w:p>
              </w:tc>
              <w:tc>
                <w:tcPr>
                  <w:tcW w:w="287" w:type="pct"/>
                  <w:vMerge w:val="restart"/>
                  <w:vAlign w:val="center"/>
                </w:tcPr>
                <w:p w14:paraId="146EA83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w:t>
                  </w:r>
                </w:p>
              </w:tc>
              <w:tc>
                <w:tcPr>
                  <w:tcW w:w="860" w:type="pct"/>
                  <w:gridSpan w:val="3"/>
                  <w:vAlign w:val="center"/>
                </w:tcPr>
                <w:p w14:paraId="743862A7">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污染物产生</w:t>
                  </w:r>
                </w:p>
              </w:tc>
              <w:tc>
                <w:tcPr>
                  <w:tcW w:w="1781" w:type="pct"/>
                  <w:gridSpan w:val="3"/>
                  <w:vAlign w:val="center"/>
                </w:tcPr>
                <w:p w14:paraId="322D999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处理措施</w:t>
                  </w:r>
                </w:p>
              </w:tc>
              <w:tc>
                <w:tcPr>
                  <w:tcW w:w="1254" w:type="pct"/>
                  <w:gridSpan w:val="4"/>
                  <w:vAlign w:val="center"/>
                </w:tcPr>
                <w:p w14:paraId="1A6A896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污染物排放情况</w:t>
                  </w:r>
                </w:p>
              </w:tc>
              <w:tc>
                <w:tcPr>
                  <w:tcW w:w="235" w:type="pct"/>
                  <w:vMerge w:val="restart"/>
                  <w:vAlign w:val="center"/>
                </w:tcPr>
                <w:p w14:paraId="04251F5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排放时间(h/a)</w:t>
                  </w:r>
                </w:p>
              </w:tc>
            </w:tr>
            <w:tr w14:paraId="3A29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83" w:type="pct"/>
                  <w:vMerge w:val="continue"/>
                  <w:vAlign w:val="center"/>
                </w:tcPr>
                <w:p w14:paraId="6A55635E">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68D1FC44">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restart"/>
                  <w:vAlign w:val="center"/>
                </w:tcPr>
                <w:p w14:paraId="5AC7A4D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核算</w:t>
                  </w:r>
                </w:p>
                <w:p w14:paraId="380C2B78">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方法</w:t>
                  </w:r>
                </w:p>
              </w:tc>
              <w:tc>
                <w:tcPr>
                  <w:tcW w:w="287" w:type="pct"/>
                  <w:vAlign w:val="center"/>
                </w:tcPr>
                <w:p w14:paraId="45EC602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浓度</w:t>
                  </w:r>
                </w:p>
              </w:tc>
              <w:tc>
                <w:tcPr>
                  <w:tcW w:w="286" w:type="pct"/>
                  <w:vAlign w:val="center"/>
                </w:tcPr>
                <w:p w14:paraId="18309B0C">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速率</w:t>
                  </w:r>
                </w:p>
              </w:tc>
              <w:tc>
                <w:tcPr>
                  <w:tcW w:w="976" w:type="pct"/>
                  <w:vMerge w:val="restart"/>
                  <w:vAlign w:val="center"/>
                </w:tcPr>
                <w:p w14:paraId="1BB8D2A9">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工艺</w:t>
                  </w:r>
                </w:p>
              </w:tc>
              <w:tc>
                <w:tcPr>
                  <w:tcW w:w="575" w:type="pct"/>
                  <w:vMerge w:val="restart"/>
                  <w:vAlign w:val="center"/>
                </w:tcPr>
                <w:p w14:paraId="1C7652D2">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效率%</w:t>
                  </w:r>
                </w:p>
              </w:tc>
              <w:tc>
                <w:tcPr>
                  <w:tcW w:w="230" w:type="pct"/>
                  <w:vMerge w:val="restart"/>
                  <w:vAlign w:val="center"/>
                </w:tcPr>
                <w:p w14:paraId="02540953">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是否可行技术</w:t>
                  </w:r>
                </w:p>
              </w:tc>
              <w:tc>
                <w:tcPr>
                  <w:tcW w:w="345" w:type="pct"/>
                  <w:vMerge w:val="restart"/>
                  <w:vAlign w:val="center"/>
                </w:tcPr>
                <w:p w14:paraId="6CF6701E">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核算</w:t>
                  </w:r>
                </w:p>
                <w:p w14:paraId="45382D3B">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方法</w:t>
                  </w:r>
                </w:p>
              </w:tc>
              <w:tc>
                <w:tcPr>
                  <w:tcW w:w="339" w:type="pct"/>
                  <w:vAlign w:val="center"/>
                </w:tcPr>
                <w:p w14:paraId="172C046E">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浓度</w:t>
                  </w:r>
                </w:p>
              </w:tc>
              <w:tc>
                <w:tcPr>
                  <w:tcW w:w="253" w:type="pct"/>
                  <w:vAlign w:val="center"/>
                </w:tcPr>
                <w:p w14:paraId="0EB2BB3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速率</w:t>
                  </w:r>
                </w:p>
              </w:tc>
              <w:tc>
                <w:tcPr>
                  <w:tcW w:w="317" w:type="pct"/>
                  <w:vAlign w:val="center"/>
                </w:tcPr>
                <w:p w14:paraId="79C4085C">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排放量</w:t>
                  </w:r>
                </w:p>
              </w:tc>
              <w:tc>
                <w:tcPr>
                  <w:tcW w:w="235" w:type="pct"/>
                  <w:vMerge w:val="continue"/>
                  <w:vAlign w:val="center"/>
                </w:tcPr>
                <w:p w14:paraId="7081AF26">
                  <w:pPr>
                    <w:spacing w:line="360" w:lineRule="exact"/>
                    <w:contextualSpacing/>
                    <w:jc w:val="center"/>
                    <w:rPr>
                      <w:color w:val="000000" w:themeColor="text1"/>
                      <w:kern w:val="0"/>
                      <w:sz w:val="18"/>
                      <w:szCs w:val="18"/>
                      <w14:textFill>
                        <w14:solidFill>
                          <w14:schemeClr w14:val="tx1"/>
                        </w14:solidFill>
                      </w14:textFill>
                    </w:rPr>
                  </w:pPr>
                </w:p>
              </w:tc>
            </w:tr>
            <w:tr w14:paraId="3A92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83" w:type="pct"/>
                  <w:vMerge w:val="continue"/>
                  <w:vAlign w:val="center"/>
                </w:tcPr>
                <w:p w14:paraId="5B1E3CEC">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321410B0">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46D0F971">
                  <w:pPr>
                    <w:spacing w:line="360" w:lineRule="exact"/>
                    <w:contextualSpacing/>
                    <w:jc w:val="center"/>
                    <w:rPr>
                      <w:color w:val="000000" w:themeColor="text1"/>
                      <w:kern w:val="0"/>
                      <w:sz w:val="18"/>
                      <w:szCs w:val="18"/>
                      <w14:textFill>
                        <w14:solidFill>
                          <w14:schemeClr w14:val="tx1"/>
                        </w14:solidFill>
                      </w14:textFill>
                    </w:rPr>
                  </w:pPr>
                </w:p>
              </w:tc>
              <w:tc>
                <w:tcPr>
                  <w:tcW w:w="287" w:type="pct"/>
                  <w:vAlign w:val="center"/>
                </w:tcPr>
                <w:p w14:paraId="59FE4528">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mg/m</w:t>
                  </w:r>
                  <w:r>
                    <w:rPr>
                      <w:color w:val="000000" w:themeColor="text1"/>
                      <w:kern w:val="0"/>
                      <w:sz w:val="18"/>
                      <w:szCs w:val="18"/>
                      <w:vertAlign w:val="superscript"/>
                      <w14:textFill>
                        <w14:solidFill>
                          <w14:schemeClr w14:val="tx1"/>
                        </w14:solidFill>
                      </w14:textFill>
                    </w:rPr>
                    <w:t>3</w:t>
                  </w:r>
                </w:p>
              </w:tc>
              <w:tc>
                <w:tcPr>
                  <w:tcW w:w="286" w:type="pct"/>
                  <w:vAlign w:val="center"/>
                </w:tcPr>
                <w:p w14:paraId="0AAFF8F5">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kg/h</w:t>
                  </w:r>
                </w:p>
              </w:tc>
              <w:tc>
                <w:tcPr>
                  <w:tcW w:w="976" w:type="pct"/>
                  <w:vMerge w:val="continue"/>
                  <w:vAlign w:val="center"/>
                </w:tcPr>
                <w:p w14:paraId="1BEE9849">
                  <w:pPr>
                    <w:spacing w:line="360" w:lineRule="exact"/>
                    <w:contextualSpacing/>
                    <w:jc w:val="center"/>
                    <w:rPr>
                      <w:color w:val="000000" w:themeColor="text1"/>
                      <w:kern w:val="0"/>
                      <w:sz w:val="18"/>
                      <w:szCs w:val="18"/>
                      <w14:textFill>
                        <w14:solidFill>
                          <w14:schemeClr w14:val="tx1"/>
                        </w14:solidFill>
                      </w14:textFill>
                    </w:rPr>
                  </w:pPr>
                </w:p>
              </w:tc>
              <w:tc>
                <w:tcPr>
                  <w:tcW w:w="575" w:type="pct"/>
                  <w:vMerge w:val="continue"/>
                  <w:vAlign w:val="center"/>
                </w:tcPr>
                <w:p w14:paraId="2B54F4B9">
                  <w:pPr>
                    <w:spacing w:line="360" w:lineRule="exact"/>
                    <w:contextualSpacing/>
                    <w:jc w:val="center"/>
                    <w:rPr>
                      <w:color w:val="000000" w:themeColor="text1"/>
                      <w:kern w:val="0"/>
                      <w:sz w:val="18"/>
                      <w:szCs w:val="18"/>
                      <w14:textFill>
                        <w14:solidFill>
                          <w14:schemeClr w14:val="tx1"/>
                        </w14:solidFill>
                      </w14:textFill>
                    </w:rPr>
                  </w:pPr>
                </w:p>
              </w:tc>
              <w:tc>
                <w:tcPr>
                  <w:tcW w:w="230" w:type="pct"/>
                  <w:vMerge w:val="continue"/>
                  <w:vAlign w:val="center"/>
                </w:tcPr>
                <w:p w14:paraId="753D2CA1">
                  <w:pPr>
                    <w:spacing w:line="360" w:lineRule="exact"/>
                    <w:contextualSpacing/>
                    <w:jc w:val="center"/>
                    <w:rPr>
                      <w:color w:val="000000" w:themeColor="text1"/>
                      <w:kern w:val="0"/>
                      <w:sz w:val="18"/>
                      <w:szCs w:val="18"/>
                      <w14:textFill>
                        <w14:solidFill>
                          <w14:schemeClr w14:val="tx1"/>
                        </w14:solidFill>
                      </w14:textFill>
                    </w:rPr>
                  </w:pPr>
                </w:p>
              </w:tc>
              <w:tc>
                <w:tcPr>
                  <w:tcW w:w="345" w:type="pct"/>
                  <w:vMerge w:val="continue"/>
                  <w:vAlign w:val="center"/>
                </w:tcPr>
                <w:p w14:paraId="46E60B02">
                  <w:pPr>
                    <w:spacing w:line="360" w:lineRule="exact"/>
                    <w:contextualSpacing/>
                    <w:jc w:val="center"/>
                    <w:rPr>
                      <w:color w:val="000000" w:themeColor="text1"/>
                      <w:kern w:val="0"/>
                      <w:sz w:val="18"/>
                      <w:szCs w:val="18"/>
                      <w14:textFill>
                        <w14:solidFill>
                          <w14:schemeClr w14:val="tx1"/>
                        </w14:solidFill>
                      </w14:textFill>
                    </w:rPr>
                  </w:pPr>
                </w:p>
              </w:tc>
              <w:tc>
                <w:tcPr>
                  <w:tcW w:w="339" w:type="pct"/>
                  <w:vAlign w:val="center"/>
                </w:tcPr>
                <w:p w14:paraId="02412293">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mg/m</w:t>
                  </w:r>
                  <w:r>
                    <w:rPr>
                      <w:color w:val="000000" w:themeColor="text1"/>
                      <w:kern w:val="0"/>
                      <w:sz w:val="18"/>
                      <w:szCs w:val="18"/>
                      <w:vertAlign w:val="superscript"/>
                      <w14:textFill>
                        <w14:solidFill>
                          <w14:schemeClr w14:val="tx1"/>
                        </w14:solidFill>
                      </w14:textFill>
                    </w:rPr>
                    <w:t>3</w:t>
                  </w:r>
                </w:p>
              </w:tc>
              <w:tc>
                <w:tcPr>
                  <w:tcW w:w="253" w:type="pct"/>
                  <w:vAlign w:val="center"/>
                </w:tcPr>
                <w:p w14:paraId="17D80286">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kg/h</w:t>
                  </w:r>
                </w:p>
              </w:tc>
              <w:tc>
                <w:tcPr>
                  <w:tcW w:w="317" w:type="pct"/>
                  <w:vAlign w:val="center"/>
                </w:tcPr>
                <w:p w14:paraId="54E58D19">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t/a</w:t>
                  </w:r>
                </w:p>
              </w:tc>
              <w:tc>
                <w:tcPr>
                  <w:tcW w:w="235" w:type="pct"/>
                  <w:vMerge w:val="continue"/>
                  <w:vAlign w:val="center"/>
                </w:tcPr>
                <w:p w14:paraId="0562CE54">
                  <w:pPr>
                    <w:spacing w:line="360" w:lineRule="exact"/>
                    <w:contextualSpacing/>
                    <w:jc w:val="center"/>
                    <w:rPr>
                      <w:color w:val="000000" w:themeColor="text1"/>
                      <w:kern w:val="0"/>
                      <w:sz w:val="18"/>
                      <w:szCs w:val="18"/>
                      <w14:textFill>
                        <w14:solidFill>
                          <w14:schemeClr w14:val="tx1"/>
                        </w14:solidFill>
                      </w14:textFill>
                    </w:rPr>
                  </w:pPr>
                </w:p>
              </w:tc>
            </w:tr>
            <w:tr w14:paraId="1560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83" w:type="pct"/>
                  <w:vAlign w:val="center"/>
                </w:tcPr>
                <w:p w14:paraId="35A8D628">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储存堆放、装料</w:t>
                  </w:r>
                </w:p>
              </w:tc>
              <w:tc>
                <w:tcPr>
                  <w:tcW w:w="287" w:type="pct"/>
                  <w:vAlign w:val="center"/>
                </w:tcPr>
                <w:p w14:paraId="292C7C72">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287" w:type="pct"/>
                  <w:vAlign w:val="center"/>
                </w:tcPr>
                <w:p w14:paraId="2AAEF8EF">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287" w:type="pct"/>
                  <w:vAlign w:val="center"/>
                </w:tcPr>
                <w:p w14:paraId="1590A24C">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86" w:type="pct"/>
                  <w:vAlign w:val="center"/>
                </w:tcPr>
                <w:p w14:paraId="68AEFD4C">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411.83</w:t>
                  </w:r>
                </w:p>
              </w:tc>
              <w:tc>
                <w:tcPr>
                  <w:tcW w:w="976" w:type="pct"/>
                  <w:vAlign w:val="center"/>
                </w:tcPr>
                <w:p w14:paraId="1C383596">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煤棚全封闭，顶部设置喷雾降尘设施，在工作时洒水抑尘；煤棚安装视频监控设施，并</w:t>
                  </w:r>
                  <w:r>
                    <w:rPr>
                      <w:rFonts w:hint="eastAsia"/>
                      <w:color w:val="000000" w:themeColor="text1"/>
                      <w:kern w:val="0"/>
                      <w:sz w:val="18"/>
                      <w:szCs w:val="18"/>
                      <w:lang w:eastAsia="zh-CN"/>
                      <w14:textFill>
                        <w14:solidFill>
                          <w14:schemeClr w14:val="tx1"/>
                        </w14:solidFill>
                      </w14:textFill>
                    </w:rPr>
                    <w:t>与</w:t>
                  </w:r>
                  <w:r>
                    <w:rPr>
                      <w:rFonts w:hint="eastAsia"/>
                      <w:color w:val="000000" w:themeColor="text1"/>
                      <w:kern w:val="0"/>
                      <w:sz w:val="18"/>
                      <w:szCs w:val="18"/>
                      <w14:textFill>
                        <w14:solidFill>
                          <w14:schemeClr w14:val="tx1"/>
                        </w14:solidFill>
                      </w14:textFill>
                    </w:rPr>
                    <w:t>环保部门平台联网。</w:t>
                  </w:r>
                </w:p>
              </w:tc>
              <w:tc>
                <w:tcPr>
                  <w:tcW w:w="575" w:type="pct"/>
                  <w:vAlign w:val="center"/>
                </w:tcPr>
                <w:p w14:paraId="7AF37837">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粉尘控制措施控制效率：74</w:t>
                  </w:r>
                </w:p>
                <w:p w14:paraId="336C8154">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堆场类型控制效率：99</w:t>
                  </w:r>
                </w:p>
              </w:tc>
              <w:tc>
                <w:tcPr>
                  <w:tcW w:w="230" w:type="pct"/>
                  <w:vAlign w:val="center"/>
                </w:tcPr>
                <w:p w14:paraId="64AA3214">
                  <w:pPr>
                    <w:spacing w:line="360" w:lineRule="exact"/>
                    <w:contextualSpacing/>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是</w:t>
                  </w:r>
                </w:p>
              </w:tc>
              <w:tc>
                <w:tcPr>
                  <w:tcW w:w="345" w:type="pct"/>
                  <w:vAlign w:val="center"/>
                </w:tcPr>
                <w:p w14:paraId="70501CCD">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339" w:type="pct"/>
                  <w:vAlign w:val="center"/>
                </w:tcPr>
                <w:p w14:paraId="4C6DE81F">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253" w:type="pct"/>
                  <w:vAlign w:val="center"/>
                </w:tcPr>
                <w:p w14:paraId="2F6ECCA6">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1.07</w:t>
                  </w:r>
                </w:p>
              </w:tc>
              <w:tc>
                <w:tcPr>
                  <w:tcW w:w="317" w:type="pct"/>
                  <w:vAlign w:val="center"/>
                </w:tcPr>
                <w:p w14:paraId="48ADB88C">
                  <w:pPr>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5.65</w:t>
                  </w:r>
                </w:p>
              </w:tc>
              <w:tc>
                <w:tcPr>
                  <w:tcW w:w="235" w:type="pct"/>
                  <w:vAlign w:val="center"/>
                </w:tcPr>
                <w:p w14:paraId="4B8DAE32">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5280</w:t>
                  </w:r>
                </w:p>
              </w:tc>
            </w:tr>
            <w:tr w14:paraId="7E93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83" w:type="pct"/>
                  <w:vAlign w:val="center"/>
                </w:tcPr>
                <w:p w14:paraId="369E923B">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厂区道路运输</w:t>
                  </w:r>
                </w:p>
              </w:tc>
              <w:tc>
                <w:tcPr>
                  <w:tcW w:w="287" w:type="pct"/>
                  <w:vAlign w:val="center"/>
                </w:tcPr>
                <w:p w14:paraId="7C5CB726">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287" w:type="pct"/>
                  <w:vAlign w:val="center"/>
                </w:tcPr>
                <w:p w14:paraId="0BEB2538">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公式计算法</w:t>
                  </w:r>
                </w:p>
              </w:tc>
              <w:tc>
                <w:tcPr>
                  <w:tcW w:w="287" w:type="pct"/>
                  <w:vAlign w:val="center"/>
                </w:tcPr>
                <w:p w14:paraId="56FF84EC">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86" w:type="pct"/>
                  <w:vAlign w:val="center"/>
                </w:tcPr>
                <w:p w14:paraId="239B38B0">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976" w:type="pct"/>
                  <w:vAlign w:val="center"/>
                </w:tcPr>
                <w:p w14:paraId="14DA8172">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场内道路绿化，封闭运输，配备洒水车，定期洒水，厂区地面及进出厂区道路混凝土硬化。</w:t>
                  </w:r>
                </w:p>
              </w:tc>
              <w:tc>
                <w:tcPr>
                  <w:tcW w:w="575" w:type="pct"/>
                  <w:vAlign w:val="center"/>
                </w:tcPr>
                <w:p w14:paraId="1DA4AD29">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66</w:t>
                  </w:r>
                </w:p>
              </w:tc>
              <w:tc>
                <w:tcPr>
                  <w:tcW w:w="230" w:type="pct"/>
                  <w:vAlign w:val="center"/>
                </w:tcPr>
                <w:p w14:paraId="5193C0F4">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是</w:t>
                  </w:r>
                </w:p>
              </w:tc>
              <w:tc>
                <w:tcPr>
                  <w:tcW w:w="345" w:type="pct"/>
                  <w:vAlign w:val="center"/>
                </w:tcPr>
                <w:p w14:paraId="2C5E4049">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公式计算法</w:t>
                  </w:r>
                </w:p>
              </w:tc>
              <w:tc>
                <w:tcPr>
                  <w:tcW w:w="339" w:type="pct"/>
                  <w:vAlign w:val="center"/>
                </w:tcPr>
                <w:p w14:paraId="36D4FCB9">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253" w:type="pct"/>
                  <w:vAlign w:val="center"/>
                </w:tcPr>
                <w:p w14:paraId="23F014A2">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317" w:type="pct"/>
                  <w:vAlign w:val="center"/>
                </w:tcPr>
                <w:p w14:paraId="4C545302">
                  <w:pPr>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0.62</w:t>
                  </w:r>
                </w:p>
              </w:tc>
              <w:tc>
                <w:tcPr>
                  <w:tcW w:w="235" w:type="pct"/>
                  <w:vAlign w:val="center"/>
                </w:tcPr>
                <w:p w14:paraId="5A014A7E">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5280</w:t>
                  </w:r>
                </w:p>
              </w:tc>
            </w:tr>
          </w:tbl>
          <w:p w14:paraId="02068B35">
            <w:pPr>
              <w:pStyle w:val="6"/>
              <w:rPr>
                <w:color w:val="000000" w:themeColor="text1"/>
                <w14:textFill>
                  <w14:solidFill>
                    <w14:schemeClr w14:val="tx1"/>
                  </w14:solidFill>
                </w14:textFill>
              </w:rPr>
            </w:pPr>
          </w:p>
          <w:p w14:paraId="50172F1E">
            <w:pPr>
              <w:rPr>
                <w:color w:val="000000" w:themeColor="text1"/>
                <w14:textFill>
                  <w14:solidFill>
                    <w14:schemeClr w14:val="tx1"/>
                  </w14:solidFill>
                </w14:textFill>
              </w:rPr>
            </w:pPr>
          </w:p>
          <w:p w14:paraId="24777AF4">
            <w:pPr>
              <w:rPr>
                <w:color w:val="000000" w:themeColor="text1"/>
                <w14:textFill>
                  <w14:solidFill>
                    <w14:schemeClr w14:val="tx1"/>
                  </w14:solidFill>
                </w14:textFill>
              </w:rPr>
            </w:pPr>
          </w:p>
          <w:p w14:paraId="16B4A016">
            <w:pPr>
              <w:rPr>
                <w:color w:val="000000" w:themeColor="text1"/>
                <w14:textFill>
                  <w14:solidFill>
                    <w14:schemeClr w14:val="tx1"/>
                  </w14:solidFill>
                </w14:textFill>
              </w:rPr>
            </w:pPr>
          </w:p>
          <w:p w14:paraId="2A6E1D5F">
            <w:pPr>
              <w:rPr>
                <w:color w:val="000000" w:themeColor="text1"/>
                <w14:textFill>
                  <w14:solidFill>
                    <w14:schemeClr w14:val="tx1"/>
                  </w14:solidFill>
                </w14:textFill>
              </w:rPr>
            </w:pPr>
          </w:p>
          <w:p w14:paraId="5D6993E3">
            <w:pPr>
              <w:rPr>
                <w:color w:val="000000" w:themeColor="text1"/>
                <w14:textFill>
                  <w14:solidFill>
                    <w14:schemeClr w14:val="tx1"/>
                  </w14:solidFill>
                </w14:textFill>
              </w:rPr>
            </w:pPr>
          </w:p>
          <w:p w14:paraId="365B4528">
            <w:pPr>
              <w:rPr>
                <w:color w:val="000000" w:themeColor="text1"/>
                <w14:textFill>
                  <w14:solidFill>
                    <w14:schemeClr w14:val="tx1"/>
                  </w14:solidFill>
                </w14:textFill>
              </w:rPr>
            </w:pPr>
          </w:p>
          <w:p w14:paraId="6678D344">
            <w:pPr>
              <w:rPr>
                <w:color w:val="000000" w:themeColor="text1"/>
                <w14:textFill>
                  <w14:solidFill>
                    <w14:schemeClr w14:val="tx1"/>
                  </w14:solidFill>
                </w14:textFill>
              </w:rPr>
            </w:pPr>
          </w:p>
          <w:p w14:paraId="0EF7E07B">
            <w:pPr>
              <w:rPr>
                <w:color w:val="000000" w:themeColor="text1"/>
                <w14:textFill>
                  <w14:solidFill>
                    <w14:schemeClr w14:val="tx1"/>
                  </w14:solidFill>
                </w14:textFill>
              </w:rPr>
            </w:pPr>
          </w:p>
          <w:p w14:paraId="566B8C6C">
            <w:pPr>
              <w:rPr>
                <w:color w:val="000000" w:themeColor="text1"/>
                <w14:textFill>
                  <w14:solidFill>
                    <w14:schemeClr w14:val="tx1"/>
                  </w14:solidFill>
                </w14:textFill>
              </w:rPr>
            </w:pPr>
          </w:p>
          <w:p w14:paraId="76F6FED8">
            <w:pPr>
              <w:rPr>
                <w:color w:val="000000" w:themeColor="text1"/>
                <w14:textFill>
                  <w14:solidFill>
                    <w14:schemeClr w14:val="tx1"/>
                  </w14:solidFill>
                </w14:textFill>
              </w:rPr>
            </w:pPr>
          </w:p>
        </w:tc>
      </w:tr>
    </w:tbl>
    <w:p w14:paraId="7B98BA54">
      <w:pPr>
        <w:adjustRightInd w:val="0"/>
        <w:snapToGrid w:val="0"/>
        <w:jc w:val="center"/>
        <w:rPr>
          <w:bCs/>
          <w:color w:val="000000" w:themeColor="text1"/>
          <w:szCs w:val="21"/>
          <w14:textFill>
            <w14:solidFill>
              <w14:schemeClr w14:val="tx1"/>
            </w14:solidFill>
          </w14:textFill>
        </w:rPr>
        <w:sectPr>
          <w:pgSz w:w="16840" w:h="11907" w:orient="landscape"/>
          <w:pgMar w:top="1531" w:right="1701" w:bottom="1531" w:left="2126"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71"/>
      </w:tblGrid>
      <w:tr w14:paraId="3D3BD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557" w:type="dxa"/>
            <w:tcMar>
              <w:left w:w="28" w:type="dxa"/>
              <w:right w:w="28" w:type="dxa"/>
            </w:tcMar>
            <w:vAlign w:val="center"/>
          </w:tcPr>
          <w:p w14:paraId="2D31128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运营</w:t>
            </w:r>
          </w:p>
          <w:p w14:paraId="4EA112DF">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期环</w:t>
            </w:r>
          </w:p>
          <w:p w14:paraId="145DCD94">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境影</w:t>
            </w:r>
          </w:p>
          <w:p w14:paraId="6DA47510">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响和</w:t>
            </w:r>
          </w:p>
          <w:p w14:paraId="592BDFE5">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保护</w:t>
            </w:r>
          </w:p>
          <w:p w14:paraId="0339426A">
            <w:pPr>
              <w:adjustRightInd w:val="0"/>
              <w:snapToGrid w:val="0"/>
              <w:jc w:val="center"/>
              <w:rPr>
                <w:bCs/>
                <w:color w:val="000000" w:themeColor="text1"/>
                <w:szCs w:val="21"/>
                <w14:textFill>
                  <w14:solidFill>
                    <w14:schemeClr w14:val="tx1"/>
                  </w14:solidFill>
                </w14:textFill>
              </w:rPr>
            </w:pPr>
            <w:r>
              <w:rPr>
                <w:bCs/>
                <w:color w:val="000000" w:themeColor="text1"/>
                <w:sz w:val="24"/>
                <w14:textFill>
                  <w14:solidFill>
                    <w14:schemeClr w14:val="tx1"/>
                  </w14:solidFill>
                </w14:textFill>
              </w:rPr>
              <w:t>措施</w:t>
            </w:r>
          </w:p>
        </w:tc>
        <w:tc>
          <w:tcPr>
            <w:tcW w:w="8380" w:type="dxa"/>
            <w:vAlign w:val="center"/>
          </w:tcPr>
          <w:p w14:paraId="46B59767">
            <w:pPr>
              <w:spacing w:line="42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大气污染物排放量核算见表4-</w:t>
            </w:r>
            <w:r>
              <w:rPr>
                <w:rFonts w:hint="eastAsia"/>
                <w:color w:val="000000" w:themeColor="text1"/>
                <w:sz w:val="24"/>
                <w:szCs w:val="22"/>
                <w14:textFill>
                  <w14:solidFill>
                    <w14:schemeClr w14:val="tx1"/>
                  </w14:solidFill>
                </w14:textFill>
              </w:rPr>
              <w:t>2</w:t>
            </w:r>
            <w:r>
              <w:rPr>
                <w:color w:val="000000" w:themeColor="text1"/>
                <w:sz w:val="24"/>
                <w:szCs w:val="22"/>
                <w14:textFill>
                  <w14:solidFill>
                    <w14:schemeClr w14:val="tx1"/>
                  </w14:solidFill>
                </w14:textFill>
              </w:rPr>
              <w:t>，大气污染物年排放量核算见表4-</w:t>
            </w:r>
            <w:r>
              <w:rPr>
                <w:rFonts w:hint="eastAsia"/>
                <w:color w:val="000000" w:themeColor="text1"/>
                <w:sz w:val="24"/>
                <w:szCs w:val="22"/>
                <w14:textFill>
                  <w14:solidFill>
                    <w14:schemeClr w14:val="tx1"/>
                  </w14:solidFill>
                </w14:textFill>
              </w:rPr>
              <w:t>3</w:t>
            </w:r>
            <w:r>
              <w:rPr>
                <w:color w:val="000000" w:themeColor="text1"/>
                <w:sz w:val="24"/>
                <w:szCs w:val="22"/>
                <w14:textFill>
                  <w14:solidFill>
                    <w14:schemeClr w14:val="tx1"/>
                  </w14:solidFill>
                </w14:textFill>
              </w:rPr>
              <w:t>。</w:t>
            </w:r>
          </w:p>
          <w:p w14:paraId="3F7E1B6B">
            <w:pPr>
              <w:widowControl/>
              <w:spacing w:line="440" w:lineRule="exact"/>
              <w:ind w:firstLine="482" w:firstLineChars="200"/>
              <w:rPr>
                <w:b/>
                <w:snapToGrid w:val="0"/>
                <w:color w:val="000000" w:themeColor="text1"/>
                <w:kern w:val="0"/>
                <w:sz w:val="24"/>
                <w:szCs w:val="20"/>
                <w14:textFill>
                  <w14:solidFill>
                    <w14:schemeClr w14:val="tx1"/>
                  </w14:solidFill>
                </w14:textFill>
              </w:rPr>
            </w:pPr>
            <w:r>
              <w:rPr>
                <w:b/>
                <w:snapToGrid w:val="0"/>
                <w:color w:val="000000" w:themeColor="text1"/>
                <w:kern w:val="0"/>
                <w:sz w:val="24"/>
                <w:szCs w:val="20"/>
                <w14:textFill>
                  <w14:solidFill>
                    <w14:schemeClr w14:val="tx1"/>
                  </w14:solidFill>
                </w14:textFill>
              </w:rPr>
              <w:t>表4-</w:t>
            </w:r>
            <w:r>
              <w:rPr>
                <w:rFonts w:hint="eastAsia"/>
                <w:b/>
                <w:snapToGrid w:val="0"/>
                <w:color w:val="000000" w:themeColor="text1"/>
                <w:kern w:val="0"/>
                <w:sz w:val="24"/>
                <w:szCs w:val="20"/>
                <w14:textFill>
                  <w14:solidFill>
                    <w14:schemeClr w14:val="tx1"/>
                  </w14:solidFill>
                </w14:textFill>
              </w:rPr>
              <w:t>2</w:t>
            </w:r>
            <w:r>
              <w:rPr>
                <w:b/>
                <w:snapToGrid w:val="0"/>
                <w:color w:val="000000" w:themeColor="text1"/>
                <w:kern w:val="0"/>
                <w:sz w:val="24"/>
                <w:szCs w:val="20"/>
                <w14:textFill>
                  <w14:solidFill>
                    <w14:schemeClr w14:val="tx1"/>
                  </w14:solidFill>
                </w14:textFill>
              </w:rPr>
              <w:t xml:space="preserve"> </w:t>
            </w:r>
            <w:r>
              <w:rPr>
                <w:rFonts w:hint="eastAsia"/>
                <w:b/>
                <w:snapToGrid w:val="0"/>
                <w:color w:val="000000" w:themeColor="text1"/>
                <w:kern w:val="0"/>
                <w:sz w:val="24"/>
                <w:szCs w:val="20"/>
                <w14:textFill>
                  <w14:solidFill>
                    <w14:schemeClr w14:val="tx1"/>
                  </w14:solidFill>
                </w14:textFill>
              </w:rPr>
              <w:t xml:space="preserve">  </w:t>
            </w:r>
            <w:r>
              <w:rPr>
                <w:b/>
                <w:snapToGrid w:val="0"/>
                <w:color w:val="000000" w:themeColor="text1"/>
                <w:kern w:val="0"/>
                <w:sz w:val="24"/>
                <w:szCs w:val="20"/>
                <w14:textFill>
                  <w14:solidFill>
                    <w14:schemeClr w14:val="tx1"/>
                  </w14:solidFill>
                </w14:textFill>
              </w:rPr>
              <w:t xml:space="preserve"> 大气污染物无组织排放量核算表</w:t>
            </w:r>
          </w:p>
          <w:tbl>
            <w:tblPr>
              <w:tblStyle w:val="27"/>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5"/>
              <w:gridCol w:w="1145"/>
              <w:gridCol w:w="850"/>
              <w:gridCol w:w="3261"/>
              <w:gridCol w:w="1133"/>
              <w:gridCol w:w="890"/>
              <w:gridCol w:w="751"/>
            </w:tblGrid>
            <w:tr w14:paraId="3025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246" w:type="pct"/>
                  <w:vMerge w:val="restart"/>
                  <w:vAlign w:val="center"/>
                </w:tcPr>
                <w:p w14:paraId="63EEAFE9">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序号</w:t>
                  </w:r>
                </w:p>
              </w:tc>
              <w:tc>
                <w:tcPr>
                  <w:tcW w:w="678" w:type="pct"/>
                  <w:vMerge w:val="restart"/>
                  <w:vAlign w:val="center"/>
                </w:tcPr>
                <w:p w14:paraId="56DF67E4">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产污环节</w:t>
                  </w:r>
                </w:p>
              </w:tc>
              <w:tc>
                <w:tcPr>
                  <w:tcW w:w="503" w:type="pct"/>
                  <w:vMerge w:val="restart"/>
                  <w:vAlign w:val="center"/>
                </w:tcPr>
                <w:p w14:paraId="53A18565">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污染物</w:t>
                  </w:r>
                </w:p>
              </w:tc>
              <w:tc>
                <w:tcPr>
                  <w:tcW w:w="1931" w:type="pct"/>
                  <w:vMerge w:val="restart"/>
                  <w:vAlign w:val="center"/>
                </w:tcPr>
                <w:p w14:paraId="76875F49">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主要污染防治措施</w:t>
                  </w:r>
                </w:p>
              </w:tc>
              <w:tc>
                <w:tcPr>
                  <w:tcW w:w="1198" w:type="pct"/>
                  <w:gridSpan w:val="2"/>
                  <w:vAlign w:val="center"/>
                </w:tcPr>
                <w:p w14:paraId="425F6D6E">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排放标准</w:t>
                  </w:r>
                </w:p>
              </w:tc>
              <w:tc>
                <w:tcPr>
                  <w:tcW w:w="444" w:type="pct"/>
                  <w:vMerge w:val="restart"/>
                  <w:vAlign w:val="center"/>
                </w:tcPr>
                <w:p w14:paraId="61F5DCD1">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年排放量/（t/a）</w:t>
                  </w:r>
                </w:p>
              </w:tc>
            </w:tr>
            <w:tr w14:paraId="6C7C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Merge w:val="continue"/>
                  <w:vAlign w:val="center"/>
                </w:tcPr>
                <w:p w14:paraId="1B2A1F13">
                  <w:pPr>
                    <w:adjustRightInd w:val="0"/>
                    <w:snapToGrid w:val="0"/>
                    <w:spacing w:line="360" w:lineRule="exact"/>
                    <w:jc w:val="center"/>
                    <w:rPr>
                      <w:color w:val="000000" w:themeColor="text1"/>
                      <w:sz w:val="18"/>
                      <w:szCs w:val="18"/>
                      <w14:textFill>
                        <w14:solidFill>
                          <w14:schemeClr w14:val="tx1"/>
                        </w14:solidFill>
                      </w14:textFill>
                    </w:rPr>
                  </w:pPr>
                </w:p>
              </w:tc>
              <w:tc>
                <w:tcPr>
                  <w:tcW w:w="678" w:type="pct"/>
                  <w:vMerge w:val="continue"/>
                  <w:vAlign w:val="center"/>
                </w:tcPr>
                <w:p w14:paraId="39F6DCF1">
                  <w:pPr>
                    <w:adjustRightInd w:val="0"/>
                    <w:snapToGrid w:val="0"/>
                    <w:spacing w:line="360" w:lineRule="exact"/>
                    <w:jc w:val="center"/>
                    <w:rPr>
                      <w:color w:val="000000" w:themeColor="text1"/>
                      <w:sz w:val="18"/>
                      <w:szCs w:val="18"/>
                      <w14:textFill>
                        <w14:solidFill>
                          <w14:schemeClr w14:val="tx1"/>
                        </w14:solidFill>
                      </w14:textFill>
                    </w:rPr>
                  </w:pPr>
                </w:p>
              </w:tc>
              <w:tc>
                <w:tcPr>
                  <w:tcW w:w="503" w:type="pct"/>
                  <w:vMerge w:val="continue"/>
                  <w:vAlign w:val="center"/>
                </w:tcPr>
                <w:p w14:paraId="4E86D680">
                  <w:pPr>
                    <w:adjustRightInd w:val="0"/>
                    <w:snapToGrid w:val="0"/>
                    <w:spacing w:line="360" w:lineRule="exact"/>
                    <w:jc w:val="center"/>
                    <w:rPr>
                      <w:color w:val="000000" w:themeColor="text1"/>
                      <w:sz w:val="18"/>
                      <w:szCs w:val="18"/>
                      <w14:textFill>
                        <w14:solidFill>
                          <w14:schemeClr w14:val="tx1"/>
                        </w14:solidFill>
                      </w14:textFill>
                    </w:rPr>
                  </w:pPr>
                </w:p>
              </w:tc>
              <w:tc>
                <w:tcPr>
                  <w:tcW w:w="1931" w:type="pct"/>
                  <w:vMerge w:val="continue"/>
                  <w:vAlign w:val="center"/>
                </w:tcPr>
                <w:p w14:paraId="25DFDB3F">
                  <w:pPr>
                    <w:adjustRightInd w:val="0"/>
                    <w:snapToGrid w:val="0"/>
                    <w:spacing w:line="360" w:lineRule="exact"/>
                    <w:jc w:val="center"/>
                    <w:rPr>
                      <w:color w:val="000000" w:themeColor="text1"/>
                      <w:sz w:val="18"/>
                      <w:szCs w:val="18"/>
                      <w14:textFill>
                        <w14:solidFill>
                          <w14:schemeClr w14:val="tx1"/>
                        </w14:solidFill>
                      </w14:textFill>
                    </w:rPr>
                  </w:pPr>
                </w:p>
              </w:tc>
              <w:tc>
                <w:tcPr>
                  <w:tcW w:w="671" w:type="pct"/>
                  <w:vAlign w:val="center"/>
                </w:tcPr>
                <w:p w14:paraId="17EAC533">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标准名称</w:t>
                  </w:r>
                </w:p>
              </w:tc>
              <w:tc>
                <w:tcPr>
                  <w:tcW w:w="527" w:type="pct"/>
                  <w:vAlign w:val="center"/>
                </w:tcPr>
                <w:p w14:paraId="249BE9AE">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浓度限值mg/m</w:t>
                  </w:r>
                  <w:r>
                    <w:rPr>
                      <w:color w:val="000000" w:themeColor="text1"/>
                      <w:sz w:val="18"/>
                      <w:szCs w:val="18"/>
                      <w:vertAlign w:val="superscript"/>
                      <w14:textFill>
                        <w14:solidFill>
                          <w14:schemeClr w14:val="tx1"/>
                        </w14:solidFill>
                      </w14:textFill>
                    </w:rPr>
                    <w:t>3</w:t>
                  </w:r>
                </w:p>
              </w:tc>
              <w:tc>
                <w:tcPr>
                  <w:tcW w:w="444" w:type="pct"/>
                  <w:vMerge w:val="continue"/>
                  <w:vAlign w:val="center"/>
                </w:tcPr>
                <w:p w14:paraId="0C607BE0">
                  <w:pPr>
                    <w:adjustRightInd w:val="0"/>
                    <w:snapToGrid w:val="0"/>
                    <w:spacing w:line="360" w:lineRule="exact"/>
                    <w:jc w:val="center"/>
                    <w:rPr>
                      <w:color w:val="000000" w:themeColor="text1"/>
                      <w:sz w:val="18"/>
                      <w:szCs w:val="18"/>
                      <w14:textFill>
                        <w14:solidFill>
                          <w14:schemeClr w14:val="tx1"/>
                        </w14:solidFill>
                      </w14:textFill>
                    </w:rPr>
                  </w:pPr>
                </w:p>
              </w:tc>
            </w:tr>
            <w:tr w14:paraId="4D89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Align w:val="center"/>
                </w:tcPr>
                <w:p w14:paraId="10C36273">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678" w:type="pct"/>
                  <w:vAlign w:val="center"/>
                </w:tcPr>
                <w:p w14:paraId="32A481E9">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储存堆放、装料</w:t>
                  </w:r>
                </w:p>
              </w:tc>
              <w:tc>
                <w:tcPr>
                  <w:tcW w:w="503" w:type="pct"/>
                  <w:vAlign w:val="center"/>
                </w:tcPr>
                <w:p w14:paraId="6C18A0F5">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1931" w:type="pct"/>
                  <w:vAlign w:val="center"/>
                </w:tcPr>
                <w:p w14:paraId="07E3C4A1">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煤棚全封闭，顶部设置喷雾降尘设施，在工作时洒水抑尘；煤棚安装视频监控设施，并</w:t>
                  </w:r>
                  <w:r>
                    <w:rPr>
                      <w:rFonts w:hint="eastAsia"/>
                      <w:color w:val="000000" w:themeColor="text1"/>
                      <w:kern w:val="0"/>
                      <w:sz w:val="18"/>
                      <w:szCs w:val="18"/>
                      <w:lang w:eastAsia="zh-CN"/>
                      <w14:textFill>
                        <w14:solidFill>
                          <w14:schemeClr w14:val="tx1"/>
                        </w14:solidFill>
                      </w14:textFill>
                    </w:rPr>
                    <w:t>与</w:t>
                  </w:r>
                  <w:r>
                    <w:rPr>
                      <w:rFonts w:hint="eastAsia"/>
                      <w:color w:val="000000" w:themeColor="text1"/>
                      <w:kern w:val="0"/>
                      <w:sz w:val="18"/>
                      <w:szCs w:val="18"/>
                      <w14:textFill>
                        <w14:solidFill>
                          <w14:schemeClr w14:val="tx1"/>
                        </w14:solidFill>
                      </w14:textFill>
                    </w:rPr>
                    <w:t>环保部门平台联网。</w:t>
                  </w:r>
                </w:p>
              </w:tc>
              <w:tc>
                <w:tcPr>
                  <w:tcW w:w="671" w:type="pct"/>
                  <w:vMerge w:val="restart"/>
                  <w:vAlign w:val="center"/>
                </w:tcPr>
                <w:p w14:paraId="47FAFE13">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《煤炭工业污染物排放标准》（GB20426-2006）表 5 煤炭工业无组织排放限值</w:t>
                  </w:r>
                </w:p>
              </w:tc>
              <w:tc>
                <w:tcPr>
                  <w:tcW w:w="527" w:type="pct"/>
                  <w:vMerge w:val="restart"/>
                  <w:vAlign w:val="center"/>
                </w:tcPr>
                <w:p w14:paraId="02F1F17A">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444" w:type="pct"/>
                  <w:vAlign w:val="center"/>
                </w:tcPr>
                <w:p w14:paraId="16C98F3E">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5.65</w:t>
                  </w:r>
                </w:p>
              </w:tc>
            </w:tr>
            <w:tr w14:paraId="2A42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246" w:type="pct"/>
                  <w:vAlign w:val="center"/>
                </w:tcPr>
                <w:p w14:paraId="71ED84F8">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678" w:type="pct"/>
                  <w:vAlign w:val="center"/>
                </w:tcPr>
                <w:p w14:paraId="40130439">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厂区道路运输</w:t>
                  </w:r>
                </w:p>
              </w:tc>
              <w:tc>
                <w:tcPr>
                  <w:tcW w:w="503" w:type="pct"/>
                  <w:vAlign w:val="center"/>
                </w:tcPr>
                <w:p w14:paraId="3495C85D">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1931" w:type="pct"/>
                  <w:vAlign w:val="center"/>
                </w:tcPr>
                <w:p w14:paraId="71346077">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场内道路绿化，封闭运输，配备洒水车，定期洒水，厂区地面及进出厂区道路混凝土硬化。</w:t>
                  </w:r>
                </w:p>
              </w:tc>
              <w:tc>
                <w:tcPr>
                  <w:tcW w:w="671" w:type="pct"/>
                  <w:vMerge w:val="continue"/>
                  <w:vAlign w:val="center"/>
                </w:tcPr>
                <w:p w14:paraId="0165966B">
                  <w:pPr>
                    <w:adjustRightInd w:val="0"/>
                    <w:snapToGrid w:val="0"/>
                    <w:spacing w:line="360" w:lineRule="exact"/>
                    <w:jc w:val="center"/>
                    <w:rPr>
                      <w:color w:val="000000" w:themeColor="text1"/>
                      <w:kern w:val="0"/>
                      <w:sz w:val="18"/>
                      <w:szCs w:val="18"/>
                      <w14:textFill>
                        <w14:solidFill>
                          <w14:schemeClr w14:val="tx1"/>
                        </w14:solidFill>
                      </w14:textFill>
                    </w:rPr>
                  </w:pPr>
                </w:p>
              </w:tc>
              <w:tc>
                <w:tcPr>
                  <w:tcW w:w="527" w:type="pct"/>
                  <w:vMerge w:val="continue"/>
                  <w:vAlign w:val="center"/>
                </w:tcPr>
                <w:p w14:paraId="31482A9D">
                  <w:pPr>
                    <w:adjustRightInd w:val="0"/>
                    <w:snapToGrid w:val="0"/>
                    <w:spacing w:line="360" w:lineRule="exact"/>
                    <w:jc w:val="center"/>
                    <w:rPr>
                      <w:color w:val="000000" w:themeColor="text1"/>
                      <w:kern w:val="0"/>
                      <w:sz w:val="18"/>
                      <w:szCs w:val="18"/>
                      <w14:textFill>
                        <w14:solidFill>
                          <w14:schemeClr w14:val="tx1"/>
                        </w14:solidFill>
                      </w14:textFill>
                    </w:rPr>
                  </w:pPr>
                </w:p>
              </w:tc>
              <w:tc>
                <w:tcPr>
                  <w:tcW w:w="444" w:type="pct"/>
                  <w:vAlign w:val="center"/>
                </w:tcPr>
                <w:p w14:paraId="3897952A">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0.62</w:t>
                  </w:r>
                </w:p>
              </w:tc>
            </w:tr>
            <w:tr w14:paraId="2B97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924" w:type="pct"/>
                  <w:gridSpan w:val="2"/>
                  <w:vAlign w:val="center"/>
                </w:tcPr>
                <w:p w14:paraId="4AA658F1">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无组织排放量总计</w:t>
                  </w:r>
                </w:p>
              </w:tc>
              <w:tc>
                <w:tcPr>
                  <w:tcW w:w="3632" w:type="pct"/>
                  <w:gridSpan w:val="4"/>
                  <w:vAlign w:val="center"/>
                </w:tcPr>
                <w:p w14:paraId="6AAF0305">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444" w:type="pct"/>
                  <w:vAlign w:val="center"/>
                </w:tcPr>
                <w:p w14:paraId="5713BF1E">
                  <w:pPr>
                    <w:adjustRightInd w:val="0"/>
                    <w:snapToGrid w:val="0"/>
                    <w:spacing w:line="360" w:lineRule="exact"/>
                    <w:jc w:val="center"/>
                    <w:textAlignment w:val="bottom"/>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6.27</w:t>
                  </w:r>
                </w:p>
              </w:tc>
            </w:tr>
          </w:tbl>
          <w:p w14:paraId="76241DAD">
            <w:pPr>
              <w:widowControl/>
              <w:spacing w:line="440" w:lineRule="exact"/>
              <w:ind w:firstLine="482" w:firstLineChars="200"/>
              <w:rPr>
                <w:b/>
                <w:snapToGrid w:val="0"/>
                <w:color w:val="000000" w:themeColor="text1"/>
                <w:kern w:val="0"/>
                <w:sz w:val="24"/>
                <w:szCs w:val="20"/>
                <w14:textFill>
                  <w14:solidFill>
                    <w14:schemeClr w14:val="tx1"/>
                  </w14:solidFill>
                </w14:textFill>
              </w:rPr>
            </w:pPr>
            <w:r>
              <w:rPr>
                <w:b/>
                <w:snapToGrid w:val="0"/>
                <w:color w:val="000000" w:themeColor="text1"/>
                <w:kern w:val="0"/>
                <w:sz w:val="24"/>
                <w:szCs w:val="20"/>
                <w14:textFill>
                  <w14:solidFill>
                    <w14:schemeClr w14:val="tx1"/>
                  </w14:solidFill>
                </w14:textFill>
              </w:rPr>
              <w:t>表4-</w:t>
            </w:r>
            <w:r>
              <w:rPr>
                <w:rFonts w:hint="eastAsia"/>
                <w:b/>
                <w:snapToGrid w:val="0"/>
                <w:color w:val="000000" w:themeColor="text1"/>
                <w:kern w:val="0"/>
                <w:sz w:val="24"/>
                <w:szCs w:val="20"/>
                <w14:textFill>
                  <w14:solidFill>
                    <w14:schemeClr w14:val="tx1"/>
                  </w14:solidFill>
                </w14:textFill>
              </w:rPr>
              <w:t>3</w:t>
            </w:r>
            <w:r>
              <w:rPr>
                <w:b/>
                <w:snapToGrid w:val="0"/>
                <w:color w:val="000000" w:themeColor="text1"/>
                <w:kern w:val="0"/>
                <w:sz w:val="24"/>
                <w:szCs w:val="20"/>
                <w14:textFill>
                  <w14:solidFill>
                    <w14:schemeClr w14:val="tx1"/>
                  </w14:solidFill>
                </w14:textFill>
              </w:rPr>
              <w:t xml:space="preserve">     大气污染物年排放量核算表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3584"/>
              <w:gridCol w:w="2952"/>
            </w:tblGrid>
            <w:tr w14:paraId="0C7B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2936603">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2123" w:type="pct"/>
                  <w:vAlign w:val="center"/>
                </w:tcPr>
                <w:p w14:paraId="4BBD7E25">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w:t>
                  </w:r>
                </w:p>
              </w:tc>
              <w:tc>
                <w:tcPr>
                  <w:tcW w:w="1748" w:type="pct"/>
                  <w:vAlign w:val="center"/>
                </w:tcPr>
                <w:p w14:paraId="3F9D315A">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年排放量/（t/a）</w:t>
                  </w:r>
                </w:p>
              </w:tc>
            </w:tr>
            <w:tr w14:paraId="48F1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82F318C">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2123" w:type="pct"/>
                  <w:vAlign w:val="center"/>
                </w:tcPr>
                <w:p w14:paraId="758CB46D">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1748" w:type="pct"/>
                  <w:vAlign w:val="center"/>
                </w:tcPr>
                <w:p w14:paraId="31F2C15E">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6.27</w:t>
                  </w:r>
                </w:p>
              </w:tc>
            </w:tr>
          </w:tbl>
          <w:p w14:paraId="634F8EC9">
            <w:pPr>
              <w:pStyle w:val="4"/>
              <w:adjustRightInd/>
              <w:spacing w:before="0" w:after="0" w:line="440" w:lineRule="exact"/>
              <w:ind w:firstLine="482" w:firstLineChars="200"/>
              <w:rPr>
                <w:rFonts w:ascii="Times New Roman" w:hAnsi="Times New Roman" w:eastAsia="宋体"/>
                <w:color w:val="000000" w:themeColor="text1"/>
                <w:sz w:val="24"/>
                <w14:textFill>
                  <w14:solidFill>
                    <w14:schemeClr w14:val="tx1"/>
                  </w14:solidFill>
                </w14:textFill>
              </w:rPr>
            </w:pPr>
            <w:r>
              <w:rPr>
                <w:rFonts w:hint="eastAsia" w:ascii="Times New Roman" w:hAnsi="Times New Roman" w:eastAsia="宋体"/>
                <w:color w:val="000000" w:themeColor="text1"/>
                <w:sz w:val="24"/>
                <w14:textFill>
                  <w14:solidFill>
                    <w14:schemeClr w14:val="tx1"/>
                  </w14:solidFill>
                </w14:textFill>
              </w:rPr>
              <w:t>（9）</w:t>
            </w:r>
            <w:r>
              <w:rPr>
                <w:rFonts w:ascii="Times New Roman" w:hAnsi="Times New Roman" w:eastAsia="宋体"/>
                <w:color w:val="000000" w:themeColor="text1"/>
                <w:sz w:val="24"/>
                <w14:textFill>
                  <w14:solidFill>
                    <w14:schemeClr w14:val="tx1"/>
                  </w14:solidFill>
                </w14:textFill>
              </w:rPr>
              <w:t>非正常工况</w:t>
            </w:r>
          </w:p>
          <w:p w14:paraId="7E25A914">
            <w:pPr>
              <w:pStyle w:val="65"/>
              <w:adjustRightInd/>
              <w:spacing w:line="440" w:lineRule="exact"/>
              <w:ind w:firstLine="480" w:firstLineChars="200"/>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非正常工况指生产过程中开停车、设备检修、工艺设备运转异常等，以及污染物排放控制措施达不到应有效率等情况下的排放。</w:t>
            </w:r>
            <w:r>
              <w:rPr>
                <w:rFonts w:hint="eastAsia" w:ascii="Times New Roman" w:hAnsi="Times New Roman" w:cs="Times New Roman"/>
                <w:color w:val="000000" w:themeColor="text1"/>
                <w14:textFill>
                  <w14:solidFill>
                    <w14:schemeClr w14:val="tx1"/>
                  </w14:solidFill>
                </w14:textFill>
              </w:rPr>
              <w:t>项目为煤炭储存棚建设项目，主要进行煤炭装卸、存储，不涉及非正常情况。</w:t>
            </w:r>
          </w:p>
          <w:p w14:paraId="05D47255">
            <w:pPr>
              <w:pStyle w:val="5"/>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（10）污染防治可行性技术分析</w:t>
            </w:r>
          </w:p>
          <w:p w14:paraId="4232E957">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项目采取的废气无组织控制措施如下：</w:t>
            </w:r>
          </w:p>
          <w:p w14:paraId="362E8CDE">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a、项目采用全封闭储棚及生产车间，配备喷淋抑尘设施；煤棚已安装视频监控设施，并</w:t>
            </w:r>
            <w:r>
              <w:rPr>
                <w:rFonts w:hint="eastAsia"/>
                <w:color w:val="000000" w:themeColor="text1"/>
                <w:sz w:val="24"/>
                <w:lang w:eastAsia="zh-CN"/>
                <w14:textFill>
                  <w14:solidFill>
                    <w14:schemeClr w14:val="tx1"/>
                  </w14:solidFill>
                </w14:textFill>
              </w:rPr>
              <w:t>与</w:t>
            </w:r>
            <w:r>
              <w:rPr>
                <w:rFonts w:hint="eastAsia"/>
                <w:color w:val="000000" w:themeColor="text1"/>
                <w:sz w:val="24"/>
                <w14:textFill>
                  <w14:solidFill>
                    <w14:schemeClr w14:val="tx1"/>
                  </w14:solidFill>
                </w14:textFill>
              </w:rPr>
              <w:t>环保部门平台联网。</w:t>
            </w:r>
          </w:p>
          <w:p w14:paraId="32DEE775">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b、为降低运输扬尘产生量，项目通过降低行驶速度、厂区设洒水车、道路硬化、路面定期清扫等方式降低无组织粉尘。</w:t>
            </w:r>
          </w:p>
          <w:p w14:paraId="2C623FEF">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c、制定严格的规章制度，明确员工责任制度。在事故情况下，采取及时有效的措施，避免对周边大气环境的影响。</w:t>
            </w:r>
          </w:p>
          <w:p w14:paraId="503B71CA">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项目采取的无组织控制措施符合相关技术规范无组织控制措施要求，采取措施后，无组织排放的颗粒物能满足《煤炭工业污染物排放标准》（GB20426-2006）表 5 煤炭工业无组织排放限值。</w:t>
            </w:r>
          </w:p>
          <w:p w14:paraId="11B16A07">
            <w:pPr>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11</w:t>
            </w:r>
            <w:r>
              <w:rPr>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大气监测计划</w:t>
            </w:r>
          </w:p>
          <w:p w14:paraId="5E3D447D">
            <w:pPr>
              <w:spacing w:line="440" w:lineRule="exact"/>
              <w:ind w:firstLine="480" w:firstLineChars="200"/>
              <w:rPr>
                <w:color w:val="000000" w:themeColor="text1"/>
                <w:sz w:val="24"/>
                <w14:textFill>
                  <w14:solidFill>
                    <w14:schemeClr w14:val="tx1"/>
                  </w14:solidFill>
                </w14:textFill>
              </w:rPr>
            </w:pPr>
            <w:r>
              <w:rPr>
                <w:rFonts w:hint="eastAsia"/>
                <w:snapToGrid w:val="0"/>
                <w:color w:val="000000" w:themeColor="text1"/>
                <w:sz w:val="24"/>
                <w:szCs w:val="20"/>
                <w14:textFill>
                  <w14:solidFill>
                    <w14:schemeClr w14:val="tx1"/>
                  </w14:solidFill>
                </w14:textFill>
              </w:rPr>
              <w:t>根据工程特点，污染源、污染物排放情况及《排污单位自行监测技术指南  总则》（HJ 819-2017），项目建成后，全厂大气环境监测计划如下：</w:t>
            </w:r>
          </w:p>
          <w:p w14:paraId="6F796738">
            <w:pPr>
              <w:keepNext/>
              <w:widowControl/>
              <w:spacing w:line="440" w:lineRule="exact"/>
              <w:ind w:left="482"/>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4</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大气环境</w:t>
            </w:r>
            <w:r>
              <w:rPr>
                <w:b/>
                <w:color w:val="000000" w:themeColor="text1"/>
                <w:sz w:val="24"/>
                <w14:textFill>
                  <w14:solidFill>
                    <w14:schemeClr w14:val="tx1"/>
                  </w14:solidFill>
                </w14:textFill>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9"/>
              <w:gridCol w:w="861"/>
              <w:gridCol w:w="2836"/>
              <w:gridCol w:w="851"/>
              <w:gridCol w:w="3448"/>
            </w:tblGrid>
            <w:tr w14:paraId="061D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266" w:type="pct"/>
                  <w:vAlign w:val="center"/>
                </w:tcPr>
                <w:p w14:paraId="1F79BA32">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类别</w:t>
                  </w:r>
                </w:p>
              </w:tc>
              <w:tc>
                <w:tcPr>
                  <w:tcW w:w="510" w:type="pct"/>
                  <w:vAlign w:val="center"/>
                </w:tcPr>
                <w:p w14:paraId="1BE8C48B">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监测点位</w:t>
                  </w:r>
                </w:p>
              </w:tc>
              <w:tc>
                <w:tcPr>
                  <w:tcW w:w="1679" w:type="pct"/>
                  <w:vAlign w:val="center"/>
                </w:tcPr>
                <w:p w14:paraId="4BC8BAB3">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监测指标</w:t>
                  </w:r>
                </w:p>
              </w:tc>
              <w:tc>
                <w:tcPr>
                  <w:tcW w:w="504" w:type="pct"/>
                  <w:vAlign w:val="center"/>
                </w:tcPr>
                <w:p w14:paraId="6EAF3353">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w:t>
                  </w:r>
                </w:p>
              </w:tc>
              <w:tc>
                <w:tcPr>
                  <w:tcW w:w="2041" w:type="pct"/>
                  <w:vAlign w:val="center"/>
                </w:tcPr>
                <w:p w14:paraId="5250F03C">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执行排放标准</w:t>
                  </w:r>
                </w:p>
              </w:tc>
            </w:tr>
            <w:tr w14:paraId="7C98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266" w:type="pct"/>
                  <w:vAlign w:val="center"/>
                </w:tcPr>
                <w:p w14:paraId="25C8A6B6">
                  <w:pPr>
                    <w:widowControl/>
                    <w:wordWrap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废气</w:t>
                  </w:r>
                </w:p>
              </w:tc>
              <w:tc>
                <w:tcPr>
                  <w:tcW w:w="510" w:type="pct"/>
                  <w:vAlign w:val="center"/>
                </w:tcPr>
                <w:p w14:paraId="1DB0651E">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厂界</w:t>
                  </w:r>
                </w:p>
              </w:tc>
              <w:tc>
                <w:tcPr>
                  <w:tcW w:w="1679" w:type="pct"/>
                  <w:vAlign w:val="center"/>
                </w:tcPr>
                <w:p w14:paraId="1323F0F0">
                  <w:pPr>
                    <w:pStyle w:val="12"/>
                    <w:adjustRightInd w:val="0"/>
                    <w:spacing w:line="360" w:lineRule="exact"/>
                    <w:jc w:val="center"/>
                    <w:rPr>
                      <w:rFonts w:ascii="Times New Roman" w:hAnsi="Times New Roman" w:cs="Times New Roman"/>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504" w:type="pct"/>
                  <w:vAlign w:val="center"/>
                </w:tcPr>
                <w:p w14:paraId="64DEF423">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1次/年</w:t>
                  </w:r>
                </w:p>
              </w:tc>
              <w:tc>
                <w:tcPr>
                  <w:tcW w:w="2041" w:type="pct"/>
                  <w:vAlign w:val="center"/>
                </w:tcPr>
                <w:p w14:paraId="5848D175">
                  <w:pPr>
                    <w:pStyle w:val="12"/>
                    <w:adjustRightInd w:val="0"/>
                    <w:spacing w:line="360" w:lineRule="exact"/>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《煤炭工业污染物排放标准》（GB20426-2006）</w:t>
                  </w:r>
                </w:p>
              </w:tc>
            </w:tr>
          </w:tbl>
          <w:p w14:paraId="7CD4D5DC">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bCs/>
                <w:color w:val="000000" w:themeColor="text1"/>
                <w:sz w:val="24"/>
                <w14:textFill>
                  <w14:solidFill>
                    <w14:schemeClr w14:val="tx1"/>
                  </w14:solidFill>
                </w14:textFill>
              </w:rPr>
              <w:t>2</w:t>
            </w:r>
            <w:r>
              <w:rPr>
                <w:b/>
                <w:bCs/>
                <w:snapToGrid w:val="0"/>
                <w:color w:val="000000" w:themeColor="text1"/>
                <w:kern w:val="0"/>
                <w:sz w:val="24"/>
                <w:szCs w:val="22"/>
                <w14:textFill>
                  <w14:solidFill>
                    <w14:schemeClr w14:val="tx1"/>
                  </w14:solidFill>
                </w14:textFill>
              </w:rPr>
              <w:t>、</w:t>
            </w:r>
            <w:r>
              <w:rPr>
                <w:b/>
                <w:snapToGrid w:val="0"/>
                <w:color w:val="000000" w:themeColor="text1"/>
                <w:kern w:val="0"/>
                <w:sz w:val="24"/>
                <w:szCs w:val="22"/>
                <w14:textFill>
                  <w14:solidFill>
                    <w14:schemeClr w14:val="tx1"/>
                  </w14:solidFill>
                </w14:textFill>
              </w:rPr>
              <w:t>水环境影响分析</w:t>
            </w:r>
          </w:p>
          <w:p w14:paraId="0C1D42F3">
            <w:pPr>
              <w:pStyle w:val="18"/>
              <w:spacing w:line="440" w:lineRule="exact"/>
              <w:ind w:firstLine="480" w:firstLineChars="200"/>
              <w:rPr>
                <w:color w:val="000000" w:themeColor="text1"/>
                <w:sz w:val="24"/>
                <w14:textFill>
                  <w14:solidFill>
                    <w14:schemeClr w14:val="tx1"/>
                  </w14:solidFill>
                </w14:textFill>
              </w:rPr>
            </w:pPr>
            <w:bookmarkStart w:id="17" w:name="_Hlk163496189"/>
            <w:r>
              <w:rPr>
                <w:rFonts w:hint="eastAsia"/>
                <w:color w:val="000000" w:themeColor="text1"/>
                <w:sz w:val="24"/>
                <w14:textFill>
                  <w14:solidFill>
                    <w14:schemeClr w14:val="tx1"/>
                  </w14:solidFill>
                </w14:textFill>
              </w:rPr>
              <w:t>项目抑尘用水全部蒸发损耗；不新增劳动定员，无新增生活废水。</w:t>
            </w:r>
            <w:r>
              <w:rPr>
                <w:bCs/>
                <w:color w:val="000000" w:themeColor="text1"/>
                <w:sz w:val="24"/>
                <w14:textFill>
                  <w14:solidFill>
                    <w14:schemeClr w14:val="tx1"/>
                  </w14:solidFill>
                </w14:textFill>
              </w:rPr>
              <w:t>项目不会对地表水环境造成影响。</w:t>
            </w:r>
            <w:bookmarkEnd w:id="17"/>
          </w:p>
          <w:p w14:paraId="599E18A7">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snapToGrid w:val="0"/>
                <w:color w:val="000000" w:themeColor="text1"/>
                <w:kern w:val="0"/>
                <w:sz w:val="24"/>
                <w:szCs w:val="22"/>
                <w14:textFill>
                  <w14:solidFill>
                    <w14:schemeClr w14:val="tx1"/>
                  </w14:solidFill>
                </w14:textFill>
              </w:rPr>
              <w:t>3、声环境影响分析</w:t>
            </w:r>
          </w:p>
          <w:p w14:paraId="2124973C">
            <w:pPr>
              <w:tabs>
                <w:tab w:val="left" w:pos="0"/>
              </w:tabs>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（1）噪声预测</w:t>
            </w:r>
          </w:p>
          <w:p w14:paraId="13CAA71A">
            <w:pPr>
              <w:tabs>
                <w:tab w:val="left" w:pos="0"/>
              </w:tabs>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项目噪声污染源主要为</w:t>
            </w:r>
            <w:r>
              <w:rPr>
                <w:rFonts w:hint="eastAsia"/>
                <w:color w:val="000000" w:themeColor="text1"/>
                <w:sz w:val="24"/>
                <w14:textFill>
                  <w14:solidFill>
                    <w14:schemeClr w14:val="tx1"/>
                  </w14:solidFill>
                </w14:textFill>
              </w:rPr>
              <w:t>装载设备</w:t>
            </w:r>
            <w:r>
              <w:rPr>
                <w:color w:val="000000" w:themeColor="text1"/>
                <w:sz w:val="24"/>
                <w14:textFill>
                  <w14:solidFill>
                    <w14:schemeClr w14:val="tx1"/>
                  </w14:solidFill>
                </w14:textFill>
              </w:rPr>
              <w:t>等运行时产生的噪声，声级值在</w:t>
            </w:r>
            <w:r>
              <w:rPr>
                <w:rFonts w:hint="eastAsia"/>
                <w:color w:val="000000" w:themeColor="text1"/>
                <w:sz w:val="24"/>
                <w14:textFill>
                  <w14:solidFill>
                    <w14:schemeClr w14:val="tx1"/>
                  </w14:solidFill>
                </w14:textFill>
              </w:rPr>
              <w:t>80-90</w:t>
            </w:r>
            <w:r>
              <w:rPr>
                <w:color w:val="000000" w:themeColor="text1"/>
                <w:sz w:val="24"/>
                <w14:textFill>
                  <w14:solidFill>
                    <w14:schemeClr w14:val="tx1"/>
                  </w14:solidFill>
                </w14:textFill>
              </w:rPr>
              <w:t>dB（A）。通过选用低噪声设备、加装基础减振、</w:t>
            </w:r>
            <w:r>
              <w:rPr>
                <w:rFonts w:hint="eastAsia"/>
                <w:color w:val="000000" w:themeColor="text1"/>
                <w:sz w:val="24"/>
                <w14:textFill>
                  <w14:solidFill>
                    <w14:schemeClr w14:val="tx1"/>
                  </w14:solidFill>
                </w14:textFill>
              </w:rPr>
              <w:t>车间</w:t>
            </w:r>
            <w:r>
              <w:rPr>
                <w:color w:val="000000" w:themeColor="text1"/>
                <w:sz w:val="24"/>
                <w14:textFill>
                  <w14:solidFill>
                    <w14:schemeClr w14:val="tx1"/>
                  </w14:solidFill>
                </w14:textFill>
              </w:rPr>
              <w:t>隔声等措施，噪声污染源位置与采取防治措施后源强见表4-</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w:t>
            </w:r>
          </w:p>
          <w:p w14:paraId="60793CCD">
            <w:pPr>
              <w:tabs>
                <w:tab w:val="left" w:pos="0"/>
              </w:tabs>
              <w:spacing w:line="440" w:lineRule="exact"/>
              <w:ind w:firstLine="482" w:firstLineChars="200"/>
              <w:rPr>
                <w:color w:val="000000" w:themeColor="text1"/>
                <w14:textFill>
                  <w14:solidFill>
                    <w14:schemeClr w14:val="tx1"/>
                  </w14:solidFill>
                </w14:textFill>
              </w:rPr>
            </w:pPr>
            <w:r>
              <w:rPr>
                <w:b/>
                <w:bCs/>
                <w:color w:val="000000" w:themeColor="text1"/>
                <w:sz w:val="24"/>
                <w14:textFill>
                  <w14:solidFill>
                    <w14:schemeClr w14:val="tx1"/>
                  </w14:solidFill>
                </w14:textFill>
              </w:rPr>
              <w:t>表4-</w:t>
            </w: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 xml:space="preserve">     项目主要噪声源强一览表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1552"/>
              <w:gridCol w:w="1282"/>
              <w:gridCol w:w="1236"/>
              <w:gridCol w:w="679"/>
              <w:gridCol w:w="1454"/>
              <w:gridCol w:w="1159"/>
            </w:tblGrid>
            <w:tr w14:paraId="18D4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641" w:type="pct"/>
                  <w:vAlign w:val="center"/>
                </w:tcPr>
                <w:p w14:paraId="261E72B2">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919" w:type="pct"/>
                  <w:vAlign w:val="center"/>
                </w:tcPr>
                <w:p w14:paraId="7922D18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声源名称</w:t>
                  </w:r>
                </w:p>
              </w:tc>
              <w:tc>
                <w:tcPr>
                  <w:tcW w:w="759" w:type="pct"/>
                  <w:vAlign w:val="center"/>
                </w:tcPr>
                <w:p w14:paraId="47CE2BF2">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产生</w:t>
                  </w:r>
                  <w:r>
                    <w:rPr>
                      <w:color w:val="000000" w:themeColor="text1"/>
                      <w:szCs w:val="21"/>
                      <w14:textFill>
                        <w14:solidFill>
                          <w14:schemeClr w14:val="tx1"/>
                        </w14:solidFill>
                      </w14:textFill>
                    </w:rPr>
                    <w:t>源强</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dB(A)</w:t>
                  </w:r>
                  <w:r>
                    <w:rPr>
                      <w:rFonts w:hint="eastAsia"/>
                      <w:color w:val="000000" w:themeColor="text1"/>
                      <w:szCs w:val="21"/>
                      <w14:textFill>
                        <w14:solidFill>
                          <w14:schemeClr w14:val="tx1"/>
                        </w14:solidFill>
                      </w14:textFill>
                    </w:rPr>
                    <w:t>）</w:t>
                  </w:r>
                </w:p>
              </w:tc>
              <w:tc>
                <w:tcPr>
                  <w:tcW w:w="732" w:type="pct"/>
                  <w:vAlign w:val="center"/>
                </w:tcPr>
                <w:p w14:paraId="4B78CA6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声源控制措施</w:t>
                  </w:r>
                </w:p>
              </w:tc>
              <w:tc>
                <w:tcPr>
                  <w:tcW w:w="402" w:type="pct"/>
                  <w:vAlign w:val="center"/>
                </w:tcPr>
                <w:p w14:paraId="73F9323F">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运行时段</w:t>
                  </w:r>
                </w:p>
              </w:tc>
              <w:tc>
                <w:tcPr>
                  <w:tcW w:w="861" w:type="pct"/>
                  <w:vAlign w:val="center"/>
                </w:tcPr>
                <w:p w14:paraId="3A098583">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w:t>
                  </w:r>
                  <w:r>
                    <w:rPr>
                      <w:color w:val="000000" w:themeColor="text1"/>
                      <w:szCs w:val="21"/>
                      <w14:textFill>
                        <w14:solidFill>
                          <w14:schemeClr w14:val="tx1"/>
                        </w14:solidFill>
                      </w14:textFill>
                    </w:rPr>
                    <w:t>源强</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dB(A)</w:t>
                  </w:r>
                  <w:r>
                    <w:rPr>
                      <w:rFonts w:hint="eastAsia"/>
                      <w:color w:val="000000" w:themeColor="text1"/>
                      <w:szCs w:val="21"/>
                      <w14:textFill>
                        <w14:solidFill>
                          <w14:schemeClr w14:val="tx1"/>
                        </w14:solidFill>
                      </w14:textFill>
                    </w:rPr>
                    <w:t>）</w:t>
                  </w:r>
                </w:p>
              </w:tc>
              <w:tc>
                <w:tcPr>
                  <w:tcW w:w="686" w:type="pct"/>
                  <w:vAlign w:val="center"/>
                </w:tcPr>
                <w:p w14:paraId="1A53B85A">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持续时间（h）</w:t>
                  </w:r>
                </w:p>
              </w:tc>
            </w:tr>
            <w:tr w14:paraId="6023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jc w:val="center"/>
              </w:trPr>
              <w:tc>
                <w:tcPr>
                  <w:tcW w:w="641" w:type="pct"/>
                  <w:vMerge w:val="restart"/>
                  <w:vAlign w:val="center"/>
                </w:tcPr>
                <w:p w14:paraId="19E86A8C">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煤棚</w:t>
                  </w:r>
                </w:p>
              </w:tc>
              <w:tc>
                <w:tcPr>
                  <w:tcW w:w="919" w:type="pct"/>
                  <w:vAlign w:val="center"/>
                </w:tcPr>
                <w:p w14:paraId="044C3369">
                  <w:pPr>
                    <w:adjustRightInd w:val="0"/>
                    <w:snapToGrid w:val="0"/>
                    <w:spacing w:line="360" w:lineRule="exact"/>
                    <w:jc w:val="center"/>
                    <w:rPr>
                      <w:rFonts w:ascii="宋体"/>
                      <w:color w:val="000000" w:themeColor="text1"/>
                      <w:szCs w:val="21"/>
                      <w14:textFill>
                        <w14:solidFill>
                          <w14:schemeClr w14:val="tx1"/>
                        </w14:solidFill>
                      </w14:textFill>
                    </w:rPr>
                  </w:pPr>
                  <w:r>
                    <w:rPr>
                      <w:rFonts w:hint="eastAsia"/>
                      <w:color w:val="000000" w:themeColor="text1"/>
                      <w:kern w:val="0"/>
                      <w:szCs w:val="20"/>
                      <w14:textFill>
                        <w14:solidFill>
                          <w14:schemeClr w14:val="tx1"/>
                        </w14:solidFill>
                      </w14:textFill>
                    </w:rPr>
                    <w:t>装载设备</w:t>
                  </w:r>
                </w:p>
              </w:tc>
              <w:tc>
                <w:tcPr>
                  <w:tcW w:w="759" w:type="pct"/>
                  <w:vAlign w:val="center"/>
                </w:tcPr>
                <w:p w14:paraId="7A5CFF9C">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90</w:t>
                  </w:r>
                </w:p>
              </w:tc>
              <w:tc>
                <w:tcPr>
                  <w:tcW w:w="732" w:type="pct"/>
                  <w:vMerge w:val="restart"/>
                  <w:vAlign w:val="center"/>
                </w:tcPr>
                <w:p w14:paraId="5CC6F3EA">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低噪声设备、基础减振、</w:t>
                  </w:r>
                  <w:r>
                    <w:rPr>
                      <w:rFonts w:hint="eastAsia"/>
                      <w:color w:val="000000" w:themeColor="text1"/>
                      <w:szCs w:val="21"/>
                      <w14:textFill>
                        <w14:solidFill>
                          <w14:schemeClr w14:val="tx1"/>
                        </w14:solidFill>
                      </w14:textFill>
                    </w:rPr>
                    <w:t>车间</w:t>
                  </w:r>
                  <w:r>
                    <w:rPr>
                      <w:color w:val="000000" w:themeColor="text1"/>
                      <w:szCs w:val="21"/>
                      <w14:textFill>
                        <w14:solidFill>
                          <w14:schemeClr w14:val="tx1"/>
                        </w14:solidFill>
                      </w14:textFill>
                    </w:rPr>
                    <w:t>隔声</w:t>
                  </w:r>
                </w:p>
              </w:tc>
              <w:tc>
                <w:tcPr>
                  <w:tcW w:w="402" w:type="pct"/>
                  <w:vMerge w:val="restart"/>
                  <w:tcBorders>
                    <w:top w:val="single" w:color="000000" w:sz="4" w:space="0"/>
                  </w:tcBorders>
                  <w:vAlign w:val="center"/>
                </w:tcPr>
                <w:p w14:paraId="578835B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w:t>
                  </w:r>
                  <w:r>
                    <w:rPr>
                      <w:rFonts w:hint="eastAsia"/>
                      <w:color w:val="000000" w:themeColor="text1"/>
                      <w:szCs w:val="21"/>
                      <w14:textFill>
                        <w14:solidFill>
                          <w14:schemeClr w14:val="tx1"/>
                        </w14:solidFill>
                      </w14:textFill>
                    </w:rPr>
                    <w:t>夜</w:t>
                  </w:r>
                </w:p>
              </w:tc>
              <w:tc>
                <w:tcPr>
                  <w:tcW w:w="861" w:type="pct"/>
                  <w:tcBorders>
                    <w:top w:val="single" w:color="000000" w:sz="4" w:space="0"/>
                  </w:tcBorders>
                  <w:vAlign w:val="center"/>
                </w:tcPr>
                <w:p w14:paraId="1F829CC8">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75</w:t>
                  </w:r>
                </w:p>
              </w:tc>
              <w:tc>
                <w:tcPr>
                  <w:tcW w:w="686" w:type="pct"/>
                  <w:vMerge w:val="restart"/>
                  <w:vAlign w:val="center"/>
                </w:tcPr>
                <w:p w14:paraId="70C56791">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4800</w:t>
                  </w:r>
                </w:p>
              </w:tc>
            </w:tr>
            <w:tr w14:paraId="28EC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641" w:type="pct"/>
                  <w:vMerge w:val="continue"/>
                  <w:vAlign w:val="center"/>
                </w:tcPr>
                <w:p w14:paraId="3ADF0F0C">
                  <w:pPr>
                    <w:adjustRightInd w:val="0"/>
                    <w:snapToGrid w:val="0"/>
                    <w:spacing w:line="360" w:lineRule="exact"/>
                    <w:jc w:val="center"/>
                    <w:rPr>
                      <w:color w:val="000000" w:themeColor="text1"/>
                      <w:szCs w:val="21"/>
                      <w14:textFill>
                        <w14:solidFill>
                          <w14:schemeClr w14:val="tx1"/>
                        </w14:solidFill>
                      </w14:textFill>
                    </w:rPr>
                  </w:pPr>
                </w:p>
              </w:tc>
              <w:tc>
                <w:tcPr>
                  <w:tcW w:w="919" w:type="pct"/>
                  <w:vAlign w:val="center"/>
                </w:tcPr>
                <w:p w14:paraId="1A510E09">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kern w:val="0"/>
                      <w:szCs w:val="20"/>
                      <w14:textFill>
                        <w14:solidFill>
                          <w14:schemeClr w14:val="tx1"/>
                        </w14:solidFill>
                      </w14:textFill>
                    </w:rPr>
                    <w:t>洒水车</w:t>
                  </w:r>
                </w:p>
              </w:tc>
              <w:tc>
                <w:tcPr>
                  <w:tcW w:w="759" w:type="pct"/>
                  <w:vAlign w:val="center"/>
                </w:tcPr>
                <w:p w14:paraId="32943E78">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80</w:t>
                  </w:r>
                </w:p>
              </w:tc>
              <w:tc>
                <w:tcPr>
                  <w:tcW w:w="732" w:type="pct"/>
                  <w:vMerge w:val="continue"/>
                  <w:vAlign w:val="center"/>
                </w:tcPr>
                <w:p w14:paraId="7C2D5B34">
                  <w:pPr>
                    <w:adjustRightInd w:val="0"/>
                    <w:snapToGrid w:val="0"/>
                    <w:spacing w:line="360" w:lineRule="exact"/>
                    <w:jc w:val="center"/>
                    <w:rPr>
                      <w:color w:val="000000" w:themeColor="text1"/>
                      <w:szCs w:val="21"/>
                      <w14:textFill>
                        <w14:solidFill>
                          <w14:schemeClr w14:val="tx1"/>
                        </w14:solidFill>
                      </w14:textFill>
                    </w:rPr>
                  </w:pPr>
                </w:p>
              </w:tc>
              <w:tc>
                <w:tcPr>
                  <w:tcW w:w="402" w:type="pct"/>
                  <w:vMerge w:val="continue"/>
                  <w:vAlign w:val="center"/>
                </w:tcPr>
                <w:p w14:paraId="7310E362">
                  <w:pPr>
                    <w:adjustRightInd w:val="0"/>
                    <w:snapToGrid w:val="0"/>
                    <w:spacing w:line="360" w:lineRule="exact"/>
                    <w:jc w:val="center"/>
                    <w:rPr>
                      <w:color w:val="000000" w:themeColor="text1"/>
                      <w:szCs w:val="21"/>
                      <w14:textFill>
                        <w14:solidFill>
                          <w14:schemeClr w14:val="tx1"/>
                        </w14:solidFill>
                      </w14:textFill>
                    </w:rPr>
                  </w:pPr>
                </w:p>
              </w:tc>
              <w:tc>
                <w:tcPr>
                  <w:tcW w:w="861" w:type="pct"/>
                  <w:tcBorders>
                    <w:top w:val="single" w:color="000000" w:sz="4" w:space="0"/>
                  </w:tcBorders>
                  <w:vAlign w:val="center"/>
                </w:tcPr>
                <w:p w14:paraId="69F00C6D">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65</w:t>
                  </w:r>
                </w:p>
              </w:tc>
              <w:tc>
                <w:tcPr>
                  <w:tcW w:w="686" w:type="pct"/>
                  <w:vMerge w:val="continue"/>
                  <w:vAlign w:val="center"/>
                </w:tcPr>
                <w:p w14:paraId="3919AC1B">
                  <w:pPr>
                    <w:adjustRightInd w:val="0"/>
                    <w:snapToGrid w:val="0"/>
                    <w:spacing w:line="360" w:lineRule="exact"/>
                    <w:jc w:val="center"/>
                    <w:rPr>
                      <w:color w:val="000000" w:themeColor="text1"/>
                      <w:szCs w:val="21"/>
                      <w14:textFill>
                        <w14:solidFill>
                          <w14:schemeClr w14:val="tx1"/>
                        </w14:solidFill>
                      </w14:textFill>
                    </w:rPr>
                  </w:pPr>
                </w:p>
              </w:tc>
            </w:tr>
          </w:tbl>
          <w:p w14:paraId="279BBAB4">
            <w:pPr>
              <w:tabs>
                <w:tab w:val="left" w:pos="0"/>
              </w:tabs>
              <w:spacing w:line="440" w:lineRule="exact"/>
              <w:ind w:firstLine="480" w:firstLineChars="200"/>
              <w:outlineLvl w:val="2"/>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预测范围、点位、因子</w:t>
            </w:r>
          </w:p>
          <w:p w14:paraId="1C565BF1">
            <w:pPr>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噪声预测范围为：厂界外1m；</w:t>
            </w:r>
          </w:p>
          <w:p w14:paraId="3811EA25">
            <w:pPr>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预测点位：厂界四周各设1个点位，共4个预测点位。</w:t>
            </w:r>
          </w:p>
          <w:p w14:paraId="22504CC2">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噪声预测因子：等效连续A声级。</w:t>
            </w:r>
          </w:p>
          <w:p w14:paraId="7D9D749B">
            <w:pPr>
              <w:tabs>
                <w:tab w:val="left" w:pos="0"/>
              </w:tabs>
              <w:spacing w:line="440" w:lineRule="exact"/>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w:t>
            </w:r>
            <w:r>
              <w:rPr>
                <w:color w:val="000000" w:themeColor="text1"/>
                <w:sz w:val="24"/>
                <w14:textFill>
                  <w14:solidFill>
                    <w14:schemeClr w14:val="tx1"/>
                  </w14:solidFill>
                </w14:textFill>
              </w:rPr>
              <w:t>预测模式及参数选取</w:t>
            </w:r>
          </w:p>
          <w:p w14:paraId="1C8F5F1D">
            <w:pPr>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采用《环境影响评价技术导则   声环境》（HJ2.4-2021）中推荐的模型。</w:t>
            </w:r>
          </w:p>
          <w:p w14:paraId="70E01D16">
            <w:pPr>
              <w:spacing w:line="440" w:lineRule="exact"/>
              <w:ind w:firstLine="500" w:firstLineChars="200"/>
              <w:rPr>
                <w:color w:val="000000" w:themeColor="text1"/>
                <w:spacing w:val="5"/>
                <w:sz w:val="24"/>
                <w14:textFill>
                  <w14:solidFill>
                    <w14:schemeClr w14:val="tx1"/>
                  </w14:solidFill>
                </w14:textFill>
              </w:rPr>
            </w:pPr>
            <w:bookmarkStart w:id="18" w:name="_Hlk106357392"/>
            <w:r>
              <w:rPr>
                <w:rFonts w:hint="eastAsia" w:ascii="宋体" w:hAnsi="宋体" w:cs="宋体"/>
                <w:color w:val="000000" w:themeColor="text1"/>
                <w:spacing w:val="5"/>
                <w:sz w:val="24"/>
                <w14:textFill>
                  <w14:solidFill>
                    <w14:schemeClr w14:val="tx1"/>
                  </w14:solidFill>
                </w14:textFill>
              </w:rPr>
              <w:t>④</w:t>
            </w:r>
            <w:r>
              <w:rPr>
                <w:color w:val="000000" w:themeColor="text1"/>
                <w:spacing w:val="5"/>
                <w:sz w:val="24"/>
                <w14:textFill>
                  <w14:solidFill>
                    <w14:schemeClr w14:val="tx1"/>
                  </w14:solidFill>
                </w14:textFill>
              </w:rPr>
              <w:t>噪声预测点位</w:t>
            </w:r>
          </w:p>
          <w:p w14:paraId="60C8BC64">
            <w:pPr>
              <w:spacing w:line="440" w:lineRule="exact"/>
              <w:ind w:firstLine="500" w:firstLineChars="200"/>
              <w:rPr>
                <w:color w:val="000000" w:themeColor="text1"/>
                <w:spacing w:val="5"/>
                <w:sz w:val="24"/>
                <w14:textFill>
                  <w14:solidFill>
                    <w14:schemeClr w14:val="tx1"/>
                  </w14:solidFill>
                </w14:textFill>
              </w:rPr>
            </w:pPr>
            <w:r>
              <w:rPr>
                <w:color w:val="000000" w:themeColor="text1"/>
                <w:spacing w:val="5"/>
                <w:sz w:val="24"/>
                <w14:textFill>
                  <w14:solidFill>
                    <w14:schemeClr w14:val="tx1"/>
                  </w14:solidFill>
                </w14:textFill>
              </w:rPr>
              <w:t>预测四周厂界噪声值，以厂区西南角为坐标原点(0,0)。</w:t>
            </w:r>
          </w:p>
          <w:bookmarkEnd w:id="18"/>
          <w:p w14:paraId="0FF03BA5">
            <w:pPr>
              <w:spacing w:line="440" w:lineRule="exact"/>
              <w:ind w:firstLine="480" w:firstLineChars="200"/>
              <w:outlineLvl w:val="2"/>
              <w:rPr>
                <w:color w:val="000000" w:themeColor="text1"/>
                <w:sz w:val="24"/>
                <w:szCs w:val="22"/>
                <w14:textFill>
                  <w14:solidFill>
                    <w14:schemeClr w14:val="tx1"/>
                  </w14:solidFill>
                </w14:textFill>
              </w:rPr>
            </w:pPr>
            <w:r>
              <w:rPr>
                <w:rFonts w:hint="eastAsia" w:ascii="宋体" w:hAnsi="宋体" w:cs="宋体"/>
                <w:color w:val="000000" w:themeColor="text1"/>
                <w:sz w:val="24"/>
                <w:szCs w:val="22"/>
                <w14:textFill>
                  <w14:solidFill>
                    <w14:schemeClr w14:val="tx1"/>
                  </w14:solidFill>
                </w14:textFill>
              </w:rPr>
              <w:t>⑤</w:t>
            </w:r>
            <w:r>
              <w:rPr>
                <w:color w:val="000000" w:themeColor="text1"/>
                <w:sz w:val="24"/>
                <w:szCs w:val="22"/>
                <w14:textFill>
                  <w14:solidFill>
                    <w14:schemeClr w14:val="tx1"/>
                  </w14:solidFill>
                </w14:textFill>
              </w:rPr>
              <w:t>预测结果与评价</w:t>
            </w:r>
          </w:p>
          <w:p w14:paraId="0E2CF153">
            <w:pPr>
              <w:spacing w:line="440" w:lineRule="exac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根据预测模式，计算出厂界噪声预测结果见表4-</w:t>
            </w:r>
            <w:r>
              <w:rPr>
                <w:rFonts w:hint="eastAsia"/>
                <w:color w:val="000000" w:themeColor="text1"/>
                <w:kern w:val="0"/>
                <w:sz w:val="24"/>
                <w14:textFill>
                  <w14:solidFill>
                    <w14:schemeClr w14:val="tx1"/>
                  </w14:solidFill>
                </w14:textFill>
              </w:rPr>
              <w:t>6</w:t>
            </w:r>
            <w:r>
              <w:rPr>
                <w:color w:val="000000" w:themeColor="text1"/>
                <w:kern w:val="0"/>
                <w:sz w:val="24"/>
                <w14:textFill>
                  <w14:solidFill>
                    <w14:schemeClr w14:val="tx1"/>
                  </w14:solidFill>
                </w14:textFill>
              </w:rPr>
              <w:t>。</w:t>
            </w:r>
          </w:p>
          <w:p w14:paraId="6D32C275">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6</w:t>
            </w:r>
            <w:r>
              <w:rPr>
                <w:b/>
                <w:color w:val="000000" w:themeColor="text1"/>
                <w:sz w:val="24"/>
                <w14:textFill>
                  <w14:solidFill>
                    <w14:schemeClr w14:val="tx1"/>
                  </w14:solidFill>
                </w14:textFill>
              </w:rPr>
              <w:t xml:space="preserve">        噪声预测结果                                                            单位：dB（A）</w:t>
            </w:r>
          </w:p>
          <w:tbl>
            <w:tblPr>
              <w:tblStyle w:val="27"/>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623"/>
              <w:gridCol w:w="1723"/>
              <w:gridCol w:w="716"/>
              <w:gridCol w:w="722"/>
              <w:gridCol w:w="864"/>
              <w:gridCol w:w="717"/>
              <w:gridCol w:w="725"/>
              <w:gridCol w:w="1437"/>
              <w:gridCol w:w="923"/>
            </w:tblGrid>
            <w:tr w14:paraId="7A8EE4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restart"/>
                  <w:vAlign w:val="center"/>
                </w:tcPr>
                <w:p w14:paraId="4F5B0361">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1020" w:type="pct"/>
                  <w:vMerge w:val="restart"/>
                  <w:vAlign w:val="center"/>
                </w:tcPr>
                <w:p w14:paraId="719D8A42">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预测点</w:t>
                  </w:r>
                </w:p>
              </w:tc>
              <w:tc>
                <w:tcPr>
                  <w:tcW w:w="851" w:type="pct"/>
                  <w:gridSpan w:val="2"/>
                  <w:tcBorders>
                    <w:right w:val="single" w:color="auto" w:sz="4" w:space="0"/>
                  </w:tcBorders>
                  <w:vAlign w:val="center"/>
                </w:tcPr>
                <w:p w14:paraId="43CE0701">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现状值</w:t>
                  </w:r>
                </w:p>
              </w:tc>
              <w:tc>
                <w:tcPr>
                  <w:tcW w:w="511" w:type="pct"/>
                  <w:vMerge w:val="restart"/>
                  <w:tcBorders>
                    <w:left w:val="single" w:color="auto" w:sz="4" w:space="0"/>
                  </w:tcBorders>
                  <w:vAlign w:val="center"/>
                </w:tcPr>
                <w:p w14:paraId="51EF831C">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贡献值</w:t>
                  </w:r>
                </w:p>
              </w:tc>
              <w:tc>
                <w:tcPr>
                  <w:tcW w:w="853" w:type="pct"/>
                  <w:gridSpan w:val="2"/>
                  <w:tcBorders>
                    <w:left w:val="single" w:color="auto" w:sz="4" w:space="0"/>
                  </w:tcBorders>
                  <w:vAlign w:val="center"/>
                </w:tcPr>
                <w:p w14:paraId="6C85A987">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预测值</w:t>
                  </w:r>
                </w:p>
              </w:tc>
              <w:tc>
                <w:tcPr>
                  <w:tcW w:w="850" w:type="pct"/>
                  <w:vMerge w:val="restart"/>
                  <w:vAlign w:val="center"/>
                </w:tcPr>
                <w:p w14:paraId="5EC59082">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w:t>
                  </w:r>
                </w:p>
              </w:tc>
              <w:tc>
                <w:tcPr>
                  <w:tcW w:w="546" w:type="pct"/>
                  <w:vMerge w:val="restart"/>
                  <w:vAlign w:val="center"/>
                </w:tcPr>
                <w:p w14:paraId="5C45BDCA">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达标情况</w:t>
                  </w:r>
                </w:p>
              </w:tc>
            </w:tr>
            <w:tr w14:paraId="5CD3EE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continue"/>
                  <w:vAlign w:val="center"/>
                </w:tcPr>
                <w:p w14:paraId="56D43424">
                  <w:pPr>
                    <w:spacing w:line="360" w:lineRule="exact"/>
                    <w:jc w:val="center"/>
                    <w:rPr>
                      <w:color w:val="000000" w:themeColor="text1"/>
                      <w14:textFill>
                        <w14:solidFill>
                          <w14:schemeClr w14:val="tx1"/>
                        </w14:solidFill>
                      </w14:textFill>
                    </w:rPr>
                  </w:pPr>
                </w:p>
              </w:tc>
              <w:tc>
                <w:tcPr>
                  <w:tcW w:w="1020" w:type="pct"/>
                  <w:vMerge w:val="continue"/>
                  <w:vAlign w:val="center"/>
                </w:tcPr>
                <w:p w14:paraId="25E11FEC">
                  <w:pPr>
                    <w:spacing w:line="360" w:lineRule="exact"/>
                    <w:jc w:val="center"/>
                    <w:rPr>
                      <w:color w:val="000000" w:themeColor="text1"/>
                      <w14:textFill>
                        <w14:solidFill>
                          <w14:schemeClr w14:val="tx1"/>
                        </w14:solidFill>
                      </w14:textFill>
                    </w:rPr>
                  </w:pPr>
                </w:p>
              </w:tc>
              <w:tc>
                <w:tcPr>
                  <w:tcW w:w="424" w:type="pct"/>
                  <w:tcBorders>
                    <w:right w:val="single" w:color="auto" w:sz="4" w:space="0"/>
                  </w:tcBorders>
                  <w:vAlign w:val="center"/>
                </w:tcPr>
                <w:p w14:paraId="48926837">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427" w:type="pct"/>
                  <w:tcBorders>
                    <w:right w:val="single" w:color="auto" w:sz="4" w:space="0"/>
                  </w:tcBorders>
                  <w:vAlign w:val="center"/>
                </w:tcPr>
                <w:p w14:paraId="33B4EAC3">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511" w:type="pct"/>
                  <w:vMerge w:val="continue"/>
                  <w:tcBorders>
                    <w:left w:val="single" w:color="auto" w:sz="4" w:space="0"/>
                  </w:tcBorders>
                  <w:vAlign w:val="center"/>
                </w:tcPr>
                <w:p w14:paraId="3E9EFA14">
                  <w:pPr>
                    <w:spacing w:line="360" w:lineRule="exact"/>
                    <w:jc w:val="center"/>
                    <w:rPr>
                      <w:color w:val="000000" w:themeColor="text1"/>
                      <w14:textFill>
                        <w14:solidFill>
                          <w14:schemeClr w14:val="tx1"/>
                        </w14:solidFill>
                      </w14:textFill>
                    </w:rPr>
                  </w:pPr>
                </w:p>
              </w:tc>
              <w:tc>
                <w:tcPr>
                  <w:tcW w:w="424" w:type="pct"/>
                  <w:tcBorders>
                    <w:left w:val="single" w:color="auto" w:sz="4" w:space="0"/>
                  </w:tcBorders>
                  <w:vAlign w:val="center"/>
                </w:tcPr>
                <w:p w14:paraId="73ECB6CA">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429" w:type="pct"/>
                  <w:tcBorders>
                    <w:left w:val="single" w:color="auto" w:sz="4" w:space="0"/>
                  </w:tcBorders>
                  <w:vAlign w:val="center"/>
                </w:tcPr>
                <w:p w14:paraId="5B2D684E">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850" w:type="pct"/>
                  <w:vMerge w:val="continue"/>
                  <w:vAlign w:val="center"/>
                </w:tcPr>
                <w:p w14:paraId="78075B2A">
                  <w:pPr>
                    <w:spacing w:line="360" w:lineRule="exact"/>
                    <w:jc w:val="center"/>
                    <w:rPr>
                      <w:color w:val="000000" w:themeColor="text1"/>
                      <w:szCs w:val="21"/>
                      <w14:textFill>
                        <w14:solidFill>
                          <w14:schemeClr w14:val="tx1"/>
                        </w14:solidFill>
                      </w14:textFill>
                    </w:rPr>
                  </w:pPr>
                </w:p>
              </w:tc>
              <w:tc>
                <w:tcPr>
                  <w:tcW w:w="546" w:type="pct"/>
                  <w:vMerge w:val="continue"/>
                  <w:vAlign w:val="center"/>
                </w:tcPr>
                <w:p w14:paraId="4D414A80">
                  <w:pPr>
                    <w:adjustRightInd w:val="0"/>
                    <w:snapToGrid w:val="0"/>
                    <w:spacing w:line="360" w:lineRule="exact"/>
                    <w:jc w:val="center"/>
                    <w:rPr>
                      <w:color w:val="000000" w:themeColor="text1"/>
                      <w:szCs w:val="21"/>
                      <w14:textFill>
                        <w14:solidFill>
                          <w14:schemeClr w14:val="tx1"/>
                        </w14:solidFill>
                      </w14:textFill>
                    </w:rPr>
                  </w:pPr>
                </w:p>
              </w:tc>
            </w:tr>
            <w:tr w14:paraId="59427A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Align w:val="center"/>
                </w:tcPr>
                <w:p w14:paraId="4967568D">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020" w:type="pct"/>
                  <w:vAlign w:val="center"/>
                </w:tcPr>
                <w:p w14:paraId="1C704880">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东厂界</w:t>
                  </w:r>
                </w:p>
              </w:tc>
              <w:tc>
                <w:tcPr>
                  <w:tcW w:w="424" w:type="pct"/>
                  <w:vAlign w:val="center"/>
                </w:tcPr>
                <w:p w14:paraId="1A9A11D9">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52.9</w:t>
                  </w:r>
                </w:p>
              </w:tc>
              <w:tc>
                <w:tcPr>
                  <w:tcW w:w="427" w:type="pct"/>
                  <w:tcBorders>
                    <w:left w:val="single" w:color="auto" w:sz="4" w:space="0"/>
                    <w:bottom w:val="single" w:color="auto" w:sz="4" w:space="0"/>
                    <w:right w:val="single" w:color="auto" w:sz="4" w:space="0"/>
                  </w:tcBorders>
                  <w:vAlign w:val="center"/>
                </w:tcPr>
                <w:p w14:paraId="23AB5FEA">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42.4</w:t>
                  </w:r>
                </w:p>
              </w:tc>
              <w:tc>
                <w:tcPr>
                  <w:tcW w:w="511" w:type="pct"/>
                  <w:tcBorders>
                    <w:left w:val="single" w:color="auto" w:sz="4" w:space="0"/>
                  </w:tcBorders>
                  <w:vAlign w:val="center"/>
                </w:tcPr>
                <w:p w14:paraId="008B62B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w:t>
                  </w:r>
                </w:p>
              </w:tc>
              <w:tc>
                <w:tcPr>
                  <w:tcW w:w="424" w:type="pct"/>
                  <w:tcBorders>
                    <w:left w:val="single" w:color="auto" w:sz="4" w:space="0"/>
                  </w:tcBorders>
                  <w:vAlign w:val="center"/>
                </w:tcPr>
                <w:p w14:paraId="7E55A2C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52.9</w:t>
                  </w:r>
                </w:p>
              </w:tc>
              <w:tc>
                <w:tcPr>
                  <w:tcW w:w="429" w:type="pct"/>
                  <w:tcBorders>
                    <w:left w:val="single" w:color="auto" w:sz="4" w:space="0"/>
                  </w:tcBorders>
                  <w:vAlign w:val="center"/>
                </w:tcPr>
                <w:p w14:paraId="36525F8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42.8</w:t>
                  </w:r>
                </w:p>
              </w:tc>
              <w:tc>
                <w:tcPr>
                  <w:tcW w:w="850" w:type="pct"/>
                  <w:vMerge w:val="restart"/>
                  <w:vAlign w:val="center"/>
                </w:tcPr>
                <w:p w14:paraId="1128462B">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昼间≤6</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dB(A)</w:t>
                  </w:r>
                </w:p>
                <w:p w14:paraId="51189DF6">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夜</w:t>
                  </w:r>
                  <w:r>
                    <w:rPr>
                      <w:color w:val="000000" w:themeColor="text1"/>
                      <w:szCs w:val="21"/>
                      <w14:textFill>
                        <w14:solidFill>
                          <w14:schemeClr w14:val="tx1"/>
                        </w14:solidFill>
                      </w14:textFill>
                    </w:rPr>
                    <w:t>间≤</w:t>
                  </w:r>
                  <w:r>
                    <w:rPr>
                      <w:rFonts w:hint="eastAsia"/>
                      <w:color w:val="000000" w:themeColor="text1"/>
                      <w:szCs w:val="21"/>
                      <w14:textFill>
                        <w14:solidFill>
                          <w14:schemeClr w14:val="tx1"/>
                        </w14:solidFill>
                      </w14:textFill>
                    </w:rPr>
                    <w:t>50</w:t>
                  </w:r>
                  <w:r>
                    <w:rPr>
                      <w:color w:val="000000" w:themeColor="text1"/>
                      <w:szCs w:val="21"/>
                      <w14:textFill>
                        <w14:solidFill>
                          <w14:schemeClr w14:val="tx1"/>
                        </w14:solidFill>
                      </w14:textFill>
                    </w:rPr>
                    <w:t>dB(A)</w:t>
                  </w:r>
                </w:p>
              </w:tc>
              <w:tc>
                <w:tcPr>
                  <w:tcW w:w="546" w:type="pct"/>
                  <w:vAlign w:val="center"/>
                </w:tcPr>
                <w:p w14:paraId="3870C501">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74458E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6" w:hRule="atLeast"/>
              </w:trPr>
              <w:tc>
                <w:tcPr>
                  <w:tcW w:w="369" w:type="pct"/>
                  <w:vAlign w:val="center"/>
                </w:tcPr>
                <w:p w14:paraId="6668107D">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020" w:type="pct"/>
                  <w:vAlign w:val="center"/>
                </w:tcPr>
                <w:p w14:paraId="414D719D">
                  <w:pPr>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西</w:t>
                  </w:r>
                  <w:r>
                    <w:rPr>
                      <w:color w:val="000000" w:themeColor="text1"/>
                      <w14:textFill>
                        <w14:solidFill>
                          <w14:schemeClr w14:val="tx1"/>
                        </w14:solidFill>
                      </w14:textFill>
                    </w:rPr>
                    <w:t>厂界</w:t>
                  </w:r>
                </w:p>
              </w:tc>
              <w:tc>
                <w:tcPr>
                  <w:tcW w:w="424" w:type="pct"/>
                  <w:vAlign w:val="center"/>
                </w:tcPr>
                <w:p w14:paraId="530C6495">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52.6</w:t>
                  </w:r>
                </w:p>
              </w:tc>
              <w:tc>
                <w:tcPr>
                  <w:tcW w:w="427" w:type="pct"/>
                  <w:tcBorders>
                    <w:left w:val="single" w:color="auto" w:sz="4" w:space="0"/>
                    <w:bottom w:val="single" w:color="auto" w:sz="4" w:space="0"/>
                    <w:right w:val="single" w:color="auto" w:sz="4" w:space="0"/>
                  </w:tcBorders>
                  <w:vAlign w:val="center"/>
                </w:tcPr>
                <w:p w14:paraId="1D7B8C16">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42.6</w:t>
                  </w:r>
                </w:p>
              </w:tc>
              <w:tc>
                <w:tcPr>
                  <w:tcW w:w="511" w:type="pct"/>
                  <w:tcBorders>
                    <w:left w:val="single" w:color="auto" w:sz="4" w:space="0"/>
                  </w:tcBorders>
                  <w:vAlign w:val="center"/>
                </w:tcPr>
                <w:p w14:paraId="27B9E74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40</w:t>
                  </w:r>
                </w:p>
              </w:tc>
              <w:tc>
                <w:tcPr>
                  <w:tcW w:w="424" w:type="pct"/>
                  <w:tcBorders>
                    <w:left w:val="single" w:color="auto" w:sz="4" w:space="0"/>
                  </w:tcBorders>
                  <w:vAlign w:val="center"/>
                </w:tcPr>
                <w:p w14:paraId="21EB87D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52.8</w:t>
                  </w:r>
                </w:p>
              </w:tc>
              <w:tc>
                <w:tcPr>
                  <w:tcW w:w="429" w:type="pct"/>
                  <w:tcBorders>
                    <w:left w:val="single" w:color="auto" w:sz="4" w:space="0"/>
                  </w:tcBorders>
                  <w:vAlign w:val="center"/>
                </w:tcPr>
                <w:p w14:paraId="63C6D0D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44.5</w:t>
                  </w:r>
                </w:p>
              </w:tc>
              <w:tc>
                <w:tcPr>
                  <w:tcW w:w="850" w:type="pct"/>
                  <w:vMerge w:val="continue"/>
                  <w:vAlign w:val="center"/>
                </w:tcPr>
                <w:p w14:paraId="5D45C4FB">
                  <w:pPr>
                    <w:spacing w:line="360" w:lineRule="exact"/>
                    <w:jc w:val="center"/>
                    <w:rPr>
                      <w:color w:val="000000" w:themeColor="text1"/>
                      <w14:textFill>
                        <w14:solidFill>
                          <w14:schemeClr w14:val="tx1"/>
                        </w14:solidFill>
                      </w14:textFill>
                    </w:rPr>
                  </w:pPr>
                </w:p>
              </w:tc>
              <w:tc>
                <w:tcPr>
                  <w:tcW w:w="546" w:type="pct"/>
                  <w:vAlign w:val="center"/>
                </w:tcPr>
                <w:p w14:paraId="58A2AFF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0EA6F9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5" w:hRule="atLeast"/>
              </w:trPr>
              <w:tc>
                <w:tcPr>
                  <w:tcW w:w="369" w:type="pct"/>
                  <w:vAlign w:val="center"/>
                </w:tcPr>
                <w:p w14:paraId="2B718F5F">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020" w:type="pct"/>
                  <w:vAlign w:val="center"/>
                </w:tcPr>
                <w:p w14:paraId="3E95F02D">
                  <w:pPr>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南</w:t>
                  </w:r>
                  <w:r>
                    <w:rPr>
                      <w:color w:val="000000" w:themeColor="text1"/>
                      <w14:textFill>
                        <w14:solidFill>
                          <w14:schemeClr w14:val="tx1"/>
                        </w14:solidFill>
                      </w14:textFill>
                    </w:rPr>
                    <w:t>厂界</w:t>
                  </w:r>
                </w:p>
              </w:tc>
              <w:tc>
                <w:tcPr>
                  <w:tcW w:w="424" w:type="pct"/>
                  <w:vAlign w:val="center"/>
                </w:tcPr>
                <w:p w14:paraId="192BBED3">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53.7</w:t>
                  </w:r>
                </w:p>
              </w:tc>
              <w:tc>
                <w:tcPr>
                  <w:tcW w:w="427" w:type="pct"/>
                  <w:tcBorders>
                    <w:left w:val="single" w:color="auto" w:sz="4" w:space="0"/>
                    <w:bottom w:val="single" w:color="auto" w:sz="4" w:space="0"/>
                    <w:right w:val="single" w:color="auto" w:sz="4" w:space="0"/>
                  </w:tcBorders>
                  <w:vAlign w:val="center"/>
                </w:tcPr>
                <w:p w14:paraId="3E445B47">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42.3</w:t>
                  </w:r>
                </w:p>
              </w:tc>
              <w:tc>
                <w:tcPr>
                  <w:tcW w:w="511" w:type="pct"/>
                  <w:tcBorders>
                    <w:left w:val="single" w:color="auto" w:sz="4" w:space="0"/>
                  </w:tcBorders>
                  <w:vAlign w:val="center"/>
                </w:tcPr>
                <w:p w14:paraId="5F6E763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34</w:t>
                  </w:r>
                </w:p>
              </w:tc>
              <w:tc>
                <w:tcPr>
                  <w:tcW w:w="424" w:type="pct"/>
                  <w:tcBorders>
                    <w:left w:val="single" w:color="auto" w:sz="4" w:space="0"/>
                  </w:tcBorders>
                  <w:vAlign w:val="center"/>
                </w:tcPr>
                <w:p w14:paraId="2BBA7B3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53.8</w:t>
                  </w:r>
                </w:p>
              </w:tc>
              <w:tc>
                <w:tcPr>
                  <w:tcW w:w="429" w:type="pct"/>
                  <w:tcBorders>
                    <w:left w:val="single" w:color="auto" w:sz="4" w:space="0"/>
                  </w:tcBorders>
                  <w:vAlign w:val="center"/>
                </w:tcPr>
                <w:p w14:paraId="2C14E4C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42.9</w:t>
                  </w:r>
                </w:p>
              </w:tc>
              <w:tc>
                <w:tcPr>
                  <w:tcW w:w="850" w:type="pct"/>
                  <w:vMerge w:val="continue"/>
                  <w:vAlign w:val="center"/>
                </w:tcPr>
                <w:p w14:paraId="3898DE23">
                  <w:pPr>
                    <w:spacing w:line="360" w:lineRule="exact"/>
                    <w:jc w:val="center"/>
                    <w:rPr>
                      <w:color w:val="000000" w:themeColor="text1"/>
                      <w14:textFill>
                        <w14:solidFill>
                          <w14:schemeClr w14:val="tx1"/>
                        </w14:solidFill>
                      </w14:textFill>
                    </w:rPr>
                  </w:pPr>
                </w:p>
              </w:tc>
              <w:tc>
                <w:tcPr>
                  <w:tcW w:w="546" w:type="pct"/>
                  <w:vAlign w:val="center"/>
                </w:tcPr>
                <w:p w14:paraId="5B8EC1A0">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4B230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52" w:hRule="atLeast"/>
              </w:trPr>
              <w:tc>
                <w:tcPr>
                  <w:tcW w:w="369" w:type="pct"/>
                  <w:vAlign w:val="center"/>
                </w:tcPr>
                <w:p w14:paraId="36CFF5E2">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020" w:type="pct"/>
                  <w:vAlign w:val="center"/>
                </w:tcPr>
                <w:p w14:paraId="6318BCAF">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北厂界</w:t>
                  </w:r>
                </w:p>
              </w:tc>
              <w:tc>
                <w:tcPr>
                  <w:tcW w:w="424" w:type="pct"/>
                  <w:vAlign w:val="center"/>
                </w:tcPr>
                <w:p w14:paraId="470B80C2">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54.1</w:t>
                  </w:r>
                </w:p>
              </w:tc>
              <w:tc>
                <w:tcPr>
                  <w:tcW w:w="427" w:type="pct"/>
                  <w:tcBorders>
                    <w:left w:val="single" w:color="auto" w:sz="4" w:space="0"/>
                    <w:right w:val="single" w:color="auto" w:sz="4" w:space="0"/>
                  </w:tcBorders>
                  <w:vAlign w:val="center"/>
                </w:tcPr>
                <w:p w14:paraId="1F575DA2">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42.1</w:t>
                  </w:r>
                </w:p>
              </w:tc>
              <w:tc>
                <w:tcPr>
                  <w:tcW w:w="511" w:type="pct"/>
                  <w:tcBorders>
                    <w:left w:val="single" w:color="auto" w:sz="4" w:space="0"/>
                  </w:tcBorders>
                  <w:vAlign w:val="center"/>
                </w:tcPr>
                <w:p w14:paraId="75AFCA7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38</w:t>
                  </w:r>
                </w:p>
              </w:tc>
              <w:tc>
                <w:tcPr>
                  <w:tcW w:w="424" w:type="pct"/>
                  <w:tcBorders>
                    <w:left w:val="single" w:color="auto" w:sz="4" w:space="0"/>
                  </w:tcBorders>
                  <w:vAlign w:val="center"/>
                </w:tcPr>
                <w:p w14:paraId="73F652E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54.2</w:t>
                  </w:r>
                </w:p>
              </w:tc>
              <w:tc>
                <w:tcPr>
                  <w:tcW w:w="429" w:type="pct"/>
                  <w:tcBorders>
                    <w:left w:val="single" w:color="auto" w:sz="4" w:space="0"/>
                  </w:tcBorders>
                  <w:vAlign w:val="center"/>
                </w:tcPr>
                <w:p w14:paraId="4BD7398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43.5</w:t>
                  </w:r>
                </w:p>
              </w:tc>
              <w:tc>
                <w:tcPr>
                  <w:tcW w:w="850" w:type="pct"/>
                  <w:vMerge w:val="continue"/>
                  <w:vAlign w:val="center"/>
                </w:tcPr>
                <w:p w14:paraId="1AC64F74">
                  <w:pPr>
                    <w:spacing w:line="360" w:lineRule="exact"/>
                    <w:jc w:val="center"/>
                    <w:rPr>
                      <w:color w:val="000000" w:themeColor="text1"/>
                      <w14:textFill>
                        <w14:solidFill>
                          <w14:schemeClr w14:val="tx1"/>
                        </w14:solidFill>
                      </w14:textFill>
                    </w:rPr>
                  </w:pPr>
                </w:p>
              </w:tc>
              <w:tc>
                <w:tcPr>
                  <w:tcW w:w="546" w:type="pct"/>
                  <w:vAlign w:val="center"/>
                </w:tcPr>
                <w:p w14:paraId="44E2C81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bl>
          <w:p w14:paraId="19F5D1B2">
            <w:pPr>
              <w:spacing w:line="440" w:lineRule="exact"/>
              <w:ind w:firstLine="480" w:firstLineChars="200"/>
              <w:outlineLvl w:val="2"/>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运营期噪声源对各厂界的贡献值在32～40dB（A）之间，叠加现状值后，厂界昼间噪声预测值在52.8～54.2dB（A）之间、夜间噪声预测值在42.8～44.5dB（A）之间，满足《工业企业厂界环境噪声排放标准》（GB12348-2008）2类标准。</w:t>
            </w:r>
          </w:p>
          <w:p w14:paraId="067A6545">
            <w:pPr>
              <w:tabs>
                <w:tab w:val="left" w:pos="0"/>
              </w:tabs>
              <w:spacing w:line="440" w:lineRule="exact"/>
              <w:ind w:firstLine="480" w:firstLineChars="200"/>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采取</w:t>
            </w:r>
            <w:r>
              <w:rPr>
                <w:rFonts w:hint="eastAsia"/>
                <w:color w:val="000000" w:themeColor="text1"/>
                <w:sz w:val="24"/>
                <w14:textFill>
                  <w14:solidFill>
                    <w14:schemeClr w14:val="tx1"/>
                  </w14:solidFill>
                </w14:textFill>
              </w:rPr>
              <w:t>降噪</w:t>
            </w:r>
            <w:r>
              <w:rPr>
                <w:color w:val="000000" w:themeColor="text1"/>
                <w:sz w:val="24"/>
                <w14:textFill>
                  <w14:solidFill>
                    <w14:schemeClr w14:val="tx1"/>
                  </w14:solidFill>
                </w14:textFill>
              </w:rPr>
              <w:t>措施后，项目噪声对周围环境的影响较小</w:t>
            </w:r>
            <w:r>
              <w:rPr>
                <w:rFonts w:hint="eastAsia"/>
                <w:color w:val="000000" w:themeColor="text1"/>
                <w:sz w:val="24"/>
                <w14:textFill>
                  <w14:solidFill>
                    <w14:schemeClr w14:val="tx1"/>
                  </w14:solidFill>
                </w14:textFill>
              </w:rPr>
              <w:t>。</w:t>
            </w:r>
          </w:p>
          <w:p w14:paraId="208BC61C">
            <w:pPr>
              <w:tabs>
                <w:tab w:val="left" w:pos="0"/>
              </w:tabs>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（2）监测计划</w:t>
            </w:r>
          </w:p>
          <w:p w14:paraId="2D3BE2EF">
            <w:pPr>
              <w:adjustRightInd w:val="0"/>
              <w:snapToGrid w:val="0"/>
              <w:spacing w:line="440" w:lineRule="exact"/>
              <w:ind w:firstLine="480" w:firstLineChars="200"/>
              <w:rPr>
                <w:snapToGrid w:val="0"/>
                <w:color w:val="000000" w:themeColor="text1"/>
                <w:sz w:val="24"/>
                <w:szCs w:val="20"/>
                <w14:textFill>
                  <w14:solidFill>
                    <w14:schemeClr w14:val="tx1"/>
                  </w14:solidFill>
                </w14:textFill>
              </w:rPr>
            </w:pPr>
            <w:r>
              <w:rPr>
                <w:rFonts w:hint="eastAsia"/>
                <w:snapToGrid w:val="0"/>
                <w:color w:val="000000" w:themeColor="text1"/>
                <w:sz w:val="24"/>
                <w:szCs w:val="20"/>
                <w14:textFill>
                  <w14:solidFill>
                    <w14:schemeClr w14:val="tx1"/>
                  </w14:solidFill>
                </w14:textFill>
              </w:rPr>
              <w:t>根据《排污许可证申请与核发技术规范 工业噪声》（HJ 1301—2023）</w:t>
            </w:r>
            <w:r>
              <w:rPr>
                <w:snapToGrid w:val="0"/>
                <w:color w:val="000000" w:themeColor="text1"/>
                <w:sz w:val="24"/>
                <w:szCs w:val="20"/>
                <w14:textFill>
                  <w14:solidFill>
                    <w14:schemeClr w14:val="tx1"/>
                  </w14:solidFill>
                </w14:textFill>
              </w:rPr>
              <w:t>，</w:t>
            </w:r>
            <w:r>
              <w:rPr>
                <w:rFonts w:hint="eastAsia"/>
                <w:snapToGrid w:val="0"/>
                <w:color w:val="000000" w:themeColor="text1"/>
                <w:sz w:val="24"/>
                <w:szCs w:val="20"/>
                <w14:textFill>
                  <w14:solidFill>
                    <w14:schemeClr w14:val="tx1"/>
                  </w14:solidFill>
                </w14:textFill>
              </w:rPr>
              <w:t>全厂噪声监测技术见下表。</w:t>
            </w:r>
          </w:p>
          <w:p w14:paraId="6D7DBE97">
            <w:pPr>
              <w:keepNext/>
              <w:widowControl/>
              <w:spacing w:line="360" w:lineRule="exact"/>
              <w:ind w:left="482"/>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7</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声环境</w:t>
            </w:r>
            <w:r>
              <w:rPr>
                <w:b/>
                <w:color w:val="000000" w:themeColor="text1"/>
                <w:sz w:val="24"/>
                <w14:textFill>
                  <w14:solidFill>
                    <w14:schemeClr w14:val="tx1"/>
                  </w14:solidFill>
                </w14:textFill>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093"/>
              <w:gridCol w:w="1843"/>
              <w:gridCol w:w="1419"/>
              <w:gridCol w:w="2311"/>
            </w:tblGrid>
            <w:tr w14:paraId="4647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1" w:type="pct"/>
                  <w:vAlign w:val="center"/>
                </w:tcPr>
                <w:p w14:paraId="0C05A9E9">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类别</w:t>
                  </w:r>
                </w:p>
              </w:tc>
              <w:tc>
                <w:tcPr>
                  <w:tcW w:w="1239" w:type="pct"/>
                  <w:vAlign w:val="center"/>
                </w:tcPr>
                <w:p w14:paraId="5053F748">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监测点位</w:t>
                  </w:r>
                </w:p>
              </w:tc>
              <w:tc>
                <w:tcPr>
                  <w:tcW w:w="1091" w:type="pct"/>
                  <w:vAlign w:val="center"/>
                </w:tcPr>
                <w:p w14:paraId="4042625E">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监测指标</w:t>
                  </w:r>
                </w:p>
              </w:tc>
              <w:tc>
                <w:tcPr>
                  <w:tcW w:w="840" w:type="pct"/>
                  <w:vAlign w:val="center"/>
                </w:tcPr>
                <w:p w14:paraId="4DC4887D">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监测频次</w:t>
                  </w:r>
                </w:p>
              </w:tc>
              <w:tc>
                <w:tcPr>
                  <w:tcW w:w="1368" w:type="pct"/>
                  <w:vAlign w:val="center"/>
                </w:tcPr>
                <w:p w14:paraId="07B5032C">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执行排放标准</w:t>
                  </w:r>
                </w:p>
              </w:tc>
            </w:tr>
            <w:tr w14:paraId="5FC6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461" w:type="pct"/>
                  <w:vAlign w:val="center"/>
                </w:tcPr>
                <w:p w14:paraId="3C62517D">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1239" w:type="pct"/>
                  <w:vAlign w:val="center"/>
                </w:tcPr>
                <w:p w14:paraId="22DCEDDF">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厂界外1m处</w:t>
                  </w:r>
                </w:p>
              </w:tc>
              <w:tc>
                <w:tcPr>
                  <w:tcW w:w="1091" w:type="pct"/>
                  <w:vAlign w:val="center"/>
                </w:tcPr>
                <w:p w14:paraId="109E461A">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等效A声级</w:t>
                  </w:r>
                </w:p>
              </w:tc>
              <w:tc>
                <w:tcPr>
                  <w:tcW w:w="840" w:type="pct"/>
                  <w:vAlign w:val="center"/>
                </w:tcPr>
                <w:p w14:paraId="22F40EDE">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1次/季度</w:t>
                  </w:r>
                </w:p>
              </w:tc>
              <w:tc>
                <w:tcPr>
                  <w:tcW w:w="1368" w:type="pct"/>
                  <w:vAlign w:val="center"/>
                </w:tcPr>
                <w:p w14:paraId="07EB0FB4">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《工业企业厂界环境噪声排放标准》（GB12348-2008）2类标准</w:t>
                  </w:r>
                </w:p>
              </w:tc>
            </w:tr>
          </w:tbl>
          <w:p w14:paraId="4C76F3B4">
            <w:pPr>
              <w:tabs>
                <w:tab w:val="left" w:pos="0"/>
              </w:tabs>
              <w:spacing w:line="440" w:lineRule="exact"/>
              <w:ind w:firstLine="480" w:firstLineChars="200"/>
              <w:rPr>
                <w:color w:val="000000" w:themeColor="text1"/>
                <w:sz w:val="24"/>
                <w14:textFill>
                  <w14:solidFill>
                    <w14:schemeClr w14:val="tx1"/>
                  </w14:solidFill>
                </w14:textFill>
              </w:rPr>
            </w:pPr>
          </w:p>
          <w:p w14:paraId="0A70167D">
            <w:pPr>
              <w:tabs>
                <w:tab w:val="left" w:pos="0"/>
              </w:tabs>
              <w:spacing w:line="440" w:lineRule="exact"/>
              <w:ind w:firstLine="480" w:firstLineChars="200"/>
              <w:rPr>
                <w:color w:val="000000" w:themeColor="text1"/>
                <w:sz w:val="24"/>
                <w14:textFill>
                  <w14:solidFill>
                    <w14:schemeClr w14:val="tx1"/>
                  </w14:solidFill>
                </w14:textFill>
              </w:rPr>
            </w:pPr>
          </w:p>
          <w:p w14:paraId="091B6193">
            <w:pPr>
              <w:tabs>
                <w:tab w:val="left" w:pos="0"/>
              </w:tabs>
              <w:spacing w:line="440" w:lineRule="exact"/>
              <w:ind w:firstLine="480" w:firstLineChars="200"/>
              <w:rPr>
                <w:color w:val="000000" w:themeColor="text1"/>
                <w:sz w:val="24"/>
                <w14:textFill>
                  <w14:solidFill>
                    <w14:schemeClr w14:val="tx1"/>
                  </w14:solidFill>
                </w14:textFill>
              </w:rPr>
            </w:pPr>
          </w:p>
          <w:p w14:paraId="1752EB4C">
            <w:pPr>
              <w:tabs>
                <w:tab w:val="left" w:pos="0"/>
              </w:tabs>
              <w:spacing w:line="440" w:lineRule="exact"/>
              <w:ind w:firstLine="480" w:firstLineChars="200"/>
              <w:rPr>
                <w:color w:val="000000" w:themeColor="text1"/>
                <w:sz w:val="24"/>
                <w14:textFill>
                  <w14:solidFill>
                    <w14:schemeClr w14:val="tx1"/>
                  </w14:solidFill>
                </w14:textFill>
              </w:rPr>
            </w:pPr>
          </w:p>
          <w:p w14:paraId="6726A9DF">
            <w:pPr>
              <w:tabs>
                <w:tab w:val="left" w:pos="0"/>
              </w:tabs>
              <w:spacing w:line="440" w:lineRule="exact"/>
              <w:ind w:firstLine="480" w:firstLineChars="200"/>
              <w:rPr>
                <w:color w:val="000000" w:themeColor="text1"/>
                <w:sz w:val="24"/>
                <w14:textFill>
                  <w14:solidFill>
                    <w14:schemeClr w14:val="tx1"/>
                  </w14:solidFill>
                </w14:textFill>
              </w:rPr>
            </w:pPr>
          </w:p>
          <w:p w14:paraId="7A7B05A9">
            <w:pPr>
              <w:tabs>
                <w:tab w:val="left" w:pos="0"/>
              </w:tabs>
              <w:spacing w:line="440" w:lineRule="exact"/>
              <w:ind w:firstLine="480" w:firstLineChars="200"/>
              <w:rPr>
                <w:color w:val="000000" w:themeColor="text1"/>
                <w:sz w:val="24"/>
                <w14:textFill>
                  <w14:solidFill>
                    <w14:schemeClr w14:val="tx1"/>
                  </w14:solidFill>
                </w14:textFill>
              </w:rPr>
            </w:pPr>
          </w:p>
          <w:p w14:paraId="5C952C9D">
            <w:pPr>
              <w:tabs>
                <w:tab w:val="left" w:pos="0"/>
              </w:tabs>
              <w:spacing w:line="440" w:lineRule="exact"/>
              <w:ind w:firstLine="480" w:firstLineChars="200"/>
              <w:rPr>
                <w:color w:val="000000" w:themeColor="text1"/>
                <w:sz w:val="24"/>
                <w14:textFill>
                  <w14:solidFill>
                    <w14:schemeClr w14:val="tx1"/>
                  </w14:solidFill>
                </w14:textFill>
              </w:rPr>
            </w:pPr>
          </w:p>
          <w:p w14:paraId="61DD6590">
            <w:pPr>
              <w:tabs>
                <w:tab w:val="left" w:pos="0"/>
              </w:tabs>
              <w:spacing w:line="440" w:lineRule="exact"/>
              <w:rPr>
                <w:color w:val="000000" w:themeColor="text1"/>
                <w:sz w:val="24"/>
                <w14:textFill>
                  <w14:solidFill>
                    <w14:schemeClr w14:val="tx1"/>
                  </w14:solidFill>
                </w14:textFill>
              </w:rPr>
            </w:pPr>
          </w:p>
          <w:p w14:paraId="058E400D">
            <w:pPr>
              <w:tabs>
                <w:tab w:val="left" w:pos="0"/>
              </w:tabs>
              <w:spacing w:line="440" w:lineRule="exact"/>
              <w:rPr>
                <w:color w:val="000000" w:themeColor="text1"/>
                <w:sz w:val="24"/>
                <w14:textFill>
                  <w14:solidFill>
                    <w14:schemeClr w14:val="tx1"/>
                  </w14:solidFill>
                </w14:textFill>
              </w:rPr>
            </w:pPr>
          </w:p>
        </w:tc>
      </w:tr>
    </w:tbl>
    <w:p w14:paraId="3B43637F">
      <w:pPr>
        <w:adjustRightInd w:val="0"/>
        <w:snapToGrid w:val="0"/>
        <w:jc w:val="center"/>
        <w:rPr>
          <w:bCs/>
          <w:color w:val="000000" w:themeColor="text1"/>
          <w:szCs w:val="21"/>
          <w14:textFill>
            <w14:solidFill>
              <w14:schemeClr w14:val="tx1"/>
            </w14:solidFill>
          </w14:textFill>
        </w:rPr>
        <w:sectPr>
          <w:pgSz w:w="11907" w:h="16840"/>
          <w:pgMar w:top="1701" w:right="1531" w:bottom="2127" w:left="1531"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21"/>
      </w:tblGrid>
      <w:tr w14:paraId="19E10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tcMar>
              <w:left w:w="28" w:type="dxa"/>
              <w:right w:w="28" w:type="dxa"/>
            </w:tcMar>
            <w:vAlign w:val="center"/>
          </w:tcPr>
          <w:p w14:paraId="234CD861">
            <w:pPr>
              <w:adjustRightInd w:val="0"/>
              <w:snapToGrid w:val="0"/>
              <w:jc w:val="center"/>
              <w:rPr>
                <w:bCs/>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运营期环境影响和保护措施</w:t>
            </w:r>
          </w:p>
        </w:tc>
        <w:tc>
          <w:tcPr>
            <w:tcW w:w="8521" w:type="dxa"/>
            <w:vAlign w:val="center"/>
          </w:tcPr>
          <w:p w14:paraId="5615C187">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snapToGrid w:val="0"/>
                <w:color w:val="000000" w:themeColor="text1"/>
                <w:kern w:val="0"/>
                <w:sz w:val="24"/>
                <w:szCs w:val="22"/>
                <w14:textFill>
                  <w14:solidFill>
                    <w14:schemeClr w14:val="tx1"/>
                  </w14:solidFill>
                </w14:textFill>
              </w:rPr>
              <w:t>4、固体废物环境影响分析</w:t>
            </w:r>
          </w:p>
          <w:p w14:paraId="03DC46DD">
            <w:pPr>
              <w:widowControl/>
              <w:spacing w:line="440" w:lineRule="exact"/>
              <w:ind w:firstLine="480" w:firstLineChars="200"/>
              <w:rPr>
                <w:snapToGrid w:val="0"/>
                <w:color w:val="000000" w:themeColor="text1"/>
                <w:sz w:val="24"/>
                <w14:textFill>
                  <w14:solidFill>
                    <w14:schemeClr w14:val="tx1"/>
                  </w14:solidFill>
                </w14:textFill>
              </w:rPr>
            </w:pPr>
            <w:r>
              <w:rPr>
                <w:color w:val="000000" w:themeColor="text1"/>
                <w:kern w:val="0"/>
                <w:sz w:val="24"/>
                <w14:textFill>
                  <w14:solidFill>
                    <w14:schemeClr w14:val="tx1"/>
                  </w14:solidFill>
                </w14:textFill>
              </w:rPr>
              <w:t>（1）</w:t>
            </w:r>
            <w:r>
              <w:rPr>
                <w:rFonts w:hint="eastAsia"/>
                <w:snapToGrid w:val="0"/>
                <w:color w:val="000000" w:themeColor="text1"/>
                <w:sz w:val="24"/>
                <w14:textFill>
                  <w14:solidFill>
                    <w14:schemeClr w14:val="tx1"/>
                  </w14:solidFill>
                </w14:textFill>
              </w:rPr>
              <w:t>固体废物</w:t>
            </w:r>
          </w:p>
          <w:p w14:paraId="19F2CF54">
            <w:pPr>
              <w:overflowPunct w:val="0"/>
              <w:autoSpaceDE w:val="0"/>
              <w:autoSpaceDN w:val="0"/>
              <w:adjustRightInd w:val="0"/>
              <w:spacing w:line="440" w:lineRule="exact"/>
              <w:ind w:firstLine="464" w:firstLineChars="200"/>
              <w:textAlignment w:val="baseline"/>
              <w:rPr>
                <w:snapToGrid w:val="0"/>
                <w:color w:val="000000" w:themeColor="text1"/>
                <w:sz w:val="24"/>
                <w14:textFill>
                  <w14:solidFill>
                    <w14:schemeClr w14:val="tx1"/>
                  </w14:solidFill>
                </w14:textFill>
              </w:rPr>
            </w:pPr>
            <w:r>
              <w:rPr>
                <w:rFonts w:hint="eastAsia"/>
                <w:color w:val="000000" w:themeColor="text1"/>
                <w:spacing w:val="-4"/>
                <w:sz w:val="24"/>
                <w:szCs w:val="32"/>
                <w14:textFill>
                  <w14:solidFill>
                    <w14:schemeClr w14:val="tx1"/>
                  </w14:solidFill>
                </w14:textFill>
              </w:rPr>
              <w:t>项目为煤棚扩建项目，不涉及生产设备，因此，运营期无危废及一般固废产生。</w:t>
            </w:r>
          </w:p>
          <w:p w14:paraId="130892F3">
            <w:pPr>
              <w:tabs>
                <w:tab w:val="left" w:pos="1290"/>
              </w:tabs>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）生活垃圾</w:t>
            </w:r>
          </w:p>
          <w:p w14:paraId="4AFA280D">
            <w:pPr>
              <w:tabs>
                <w:tab w:val="left" w:pos="1290"/>
              </w:tabs>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项目不新增劳动定员，无生活垃圾产生。</w:t>
            </w:r>
          </w:p>
          <w:p w14:paraId="0AAFE7FA">
            <w:pPr>
              <w:spacing w:line="400" w:lineRule="exact"/>
              <w:ind w:firstLine="482" w:firstLineChars="200"/>
              <w:jc w:val="left"/>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5、地下水、土壤影响分析</w:t>
            </w:r>
          </w:p>
          <w:p w14:paraId="19630B42">
            <w:pPr>
              <w:tabs>
                <w:tab w:val="left" w:pos="0"/>
              </w:tabs>
              <w:spacing w:line="440" w:lineRule="exact"/>
              <w:ind w:firstLine="480" w:firstLineChars="200"/>
              <w:textAlignment w:val="baseline"/>
              <w:rPr>
                <w:color w:val="000000" w:themeColor="text1"/>
                <w:sz w:val="24"/>
                <w14:textFill>
                  <w14:solidFill>
                    <w14:schemeClr w14:val="tx1"/>
                  </w14:solidFill>
                </w14:textFill>
              </w:rPr>
            </w:pPr>
            <w:bookmarkStart w:id="19" w:name="_Hlk163496473"/>
            <w:r>
              <w:rPr>
                <w:color w:val="000000" w:themeColor="text1"/>
                <w:sz w:val="24"/>
                <w14:textFill>
                  <w14:solidFill>
                    <w14:schemeClr w14:val="tx1"/>
                  </w14:solidFill>
                </w14:textFill>
              </w:rPr>
              <w:t>项目不存在地下水、土壤污染途径，</w:t>
            </w:r>
            <w:bookmarkEnd w:id="19"/>
            <w:r>
              <w:rPr>
                <w:color w:val="000000" w:themeColor="text1"/>
                <w:sz w:val="24"/>
                <w14:textFill>
                  <w14:solidFill>
                    <w14:schemeClr w14:val="tx1"/>
                  </w14:solidFill>
                </w14:textFill>
              </w:rPr>
              <w:t>不会对厂区地下水、土壤环境造成影响。</w:t>
            </w:r>
          </w:p>
          <w:p w14:paraId="07B3A79D">
            <w:pPr>
              <w:pStyle w:val="60"/>
              <w:keepNext w:val="0"/>
              <w:keepLines w:val="0"/>
              <w:autoSpaceDE/>
              <w:autoSpaceDN/>
              <w:adjustRightInd/>
              <w:spacing w:before="0" w:after="0" w:line="440" w:lineRule="exact"/>
              <w:ind w:firstLine="482" w:firstLineChars="200"/>
              <w:jc w:val="both"/>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6、环境风险影响分析</w:t>
            </w:r>
          </w:p>
          <w:p w14:paraId="1231F433">
            <w:pPr>
              <w:spacing w:line="440" w:lineRule="exact"/>
              <w:ind w:firstLine="480" w:firstLineChars="200"/>
              <w:textAlignment w:val="baseline"/>
              <w:rPr>
                <w:bCs/>
                <w:color w:val="000000" w:themeColor="text1"/>
                <w:kern w:val="0"/>
                <w:sz w:val="24"/>
                <w:szCs w:val="20"/>
                <w14:textFill>
                  <w14:solidFill>
                    <w14:schemeClr w14:val="tx1"/>
                  </w14:solidFill>
                </w14:textFill>
              </w:rPr>
            </w:pPr>
            <w:r>
              <w:rPr>
                <w:bCs/>
                <w:color w:val="000000" w:themeColor="text1"/>
                <w:kern w:val="0"/>
                <w:sz w:val="24"/>
                <w:szCs w:val="20"/>
                <w14:textFill>
                  <w14:solidFill>
                    <w14:schemeClr w14:val="tx1"/>
                  </w14:solidFill>
                </w14:textFill>
              </w:rPr>
              <w:t>根据原国家环保部《关于进一步加强环境影响评价管理防范环境风险的通知》（国家环保部环发</w:t>
            </w:r>
            <w:r>
              <w:rPr>
                <w:rFonts w:hint="eastAsia" w:ascii="宋体" w:hAnsi="宋体"/>
                <w:bCs/>
                <w:color w:val="000000" w:themeColor="text1"/>
                <w:kern w:val="0"/>
                <w:sz w:val="24"/>
                <w:szCs w:val="20"/>
                <w14:textFill>
                  <w14:solidFill>
                    <w14:schemeClr w14:val="tx1"/>
                  </w14:solidFill>
                </w14:textFill>
              </w:rPr>
              <w:t>〔</w:t>
            </w:r>
            <w:r>
              <w:rPr>
                <w:bCs/>
                <w:color w:val="000000" w:themeColor="text1"/>
                <w:kern w:val="0"/>
                <w:sz w:val="24"/>
                <w:szCs w:val="20"/>
                <w14:textFill>
                  <w14:solidFill>
                    <w14:schemeClr w14:val="tx1"/>
                  </w14:solidFill>
                </w14:textFill>
              </w:rPr>
              <w:t>2012</w:t>
            </w:r>
            <w:r>
              <w:rPr>
                <w:rFonts w:hint="eastAsia" w:ascii="宋体" w:hAnsi="宋体"/>
                <w:bCs/>
                <w:color w:val="000000" w:themeColor="text1"/>
                <w:kern w:val="0"/>
                <w:sz w:val="24"/>
                <w:szCs w:val="20"/>
                <w14:textFill>
                  <w14:solidFill>
                    <w14:schemeClr w14:val="tx1"/>
                  </w14:solidFill>
                </w14:textFill>
              </w:rPr>
              <w:t>〕</w:t>
            </w:r>
            <w:r>
              <w:rPr>
                <w:bCs/>
                <w:color w:val="000000" w:themeColor="text1"/>
                <w:kern w:val="0"/>
                <w:sz w:val="24"/>
                <w:szCs w:val="20"/>
                <w14:textFill>
                  <w14:solidFill>
                    <w14:schemeClr w14:val="tx1"/>
                  </w14:solidFill>
                </w14:textFill>
              </w:rPr>
              <w:t>77号）及生态环境部发布的《建设项目环境风险评价技术导则》（HJ169-2018）要求，对于涉及有毒有害和易燃易爆物质的生产、使用、储存（包括使用管线</w:t>
            </w:r>
            <w:r>
              <w:rPr>
                <w:rFonts w:hint="eastAsia"/>
                <w:bCs/>
                <w:color w:val="000000" w:themeColor="text1"/>
                <w:kern w:val="0"/>
                <w:sz w:val="24"/>
                <w:szCs w:val="20"/>
                <w:lang w:eastAsia="zh-CN"/>
                <w14:textFill>
                  <w14:solidFill>
                    <w14:schemeClr w14:val="tx1"/>
                  </w14:solidFill>
                </w14:textFill>
              </w:rPr>
              <w:t>运输</w:t>
            </w:r>
            <w:r>
              <w:rPr>
                <w:bCs/>
                <w:color w:val="000000" w:themeColor="text1"/>
                <w:kern w:val="0"/>
                <w:sz w:val="24"/>
                <w:szCs w:val="20"/>
                <w14:textFill>
                  <w14:solidFill>
                    <w14:schemeClr w14:val="tx1"/>
                  </w14:solidFill>
                </w14:textFill>
              </w:rPr>
              <w:t>）的建设项目进行风险评价。</w:t>
            </w:r>
          </w:p>
          <w:p w14:paraId="21720AEA">
            <w:pPr>
              <w:spacing w:line="440" w:lineRule="exact"/>
              <w:ind w:firstLine="480" w:firstLineChars="200"/>
              <w:textAlignment w:val="baseline"/>
              <w:rPr>
                <w:bCs/>
                <w:color w:val="000000" w:themeColor="text1"/>
                <w:kern w:val="0"/>
                <w:sz w:val="24"/>
                <w:szCs w:val="20"/>
                <w14:textFill>
                  <w14:solidFill>
                    <w14:schemeClr w14:val="tx1"/>
                  </w14:solidFill>
                </w14:textFill>
              </w:rPr>
            </w:pPr>
            <w:r>
              <w:rPr>
                <w:bCs/>
                <w:color w:val="000000" w:themeColor="text1"/>
                <w:kern w:val="0"/>
                <w:sz w:val="24"/>
                <w:szCs w:val="20"/>
                <w14:textFill>
                  <w14:solidFill>
                    <w14:schemeClr w14:val="tx1"/>
                  </w14:solidFill>
                </w14:textFill>
              </w:rPr>
              <w:t>本次环境风险评价的目的在于识别物料生产、贮存、转运过程中的风险因素及可能诱发的环境问题，以突发性事故导致的危险物质环境急性损害防控为目标，对建设项目的环境风险进行分析、预测和评估，提出环境风险预防、控制、减缓措施，明确环境风险监控及应急建议要求，为建设项目环境风险防控提供科学依据，力求将建设项目的环境风险降至可防控水平。</w:t>
            </w:r>
          </w:p>
          <w:p w14:paraId="2F198A4D">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（1）风险源识别</w:t>
            </w:r>
          </w:p>
          <w:p w14:paraId="01DB76E8">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煤粉为可燃物质，粉尘具燃爆性，着火点</w:t>
            </w:r>
            <w:r>
              <w:rPr>
                <w:color w:val="000000" w:themeColor="text1"/>
                <w:kern w:val="0"/>
                <w:sz w:val="24"/>
                <w:szCs w:val="20"/>
                <w14:textFill>
                  <w14:solidFill>
                    <w14:schemeClr w14:val="tx1"/>
                  </w14:solidFill>
                </w14:textFill>
              </w:rPr>
              <w:t>300℃~500℃之间，爆炸下限浓度34g/m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~47g/m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粉尘平均粒径：5μm～10μm）。高温表面堆积粉尘（5mm厚）的引燃温度：225℃~285℃，云状粉尘的引燃温度580℃~610℃。积存的煤粉与空气中的氧长期接触氧化时，会发热使温度升高，而温度的升高又会加剧煤粉的进一步氧化，若散热不良时会使氧化过程不断加剧，最后使温度达到煤的燃点而引起煤粉的自燃。煤粉爆炸的前期往往是自燃。当煤粉在空气中达到一定浓度，在外界高温、碰撞、摩擦、振动、明火、电火花的作用下会引起爆炸，爆炸后产生的气浪会使沉积的粉尘飞扬，造成二次爆炸事故。煤尘爆炸与其在空气中的含量及含氧浓度有关， 烟煤在10-2000mg/mm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。能形成爆炸性混合物， 空气中煤尘含量在300-400mg/m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爆炸威力最大，这是因为混合物中煤</w:t>
            </w:r>
            <w:r>
              <w:rPr>
                <w:rFonts w:hint="eastAsia"/>
                <w:color w:val="000000" w:themeColor="text1"/>
                <w:kern w:val="0"/>
                <w:sz w:val="24"/>
                <w:szCs w:val="20"/>
                <w14:textFill>
                  <w14:solidFill>
                    <w14:schemeClr w14:val="tx1"/>
                  </w14:solidFill>
                </w14:textFill>
              </w:rPr>
              <w:t>尘与空气的比例适中 煤粉能充分燃烧。煤粉爆炸后不仅产生冲击波伤人和破坏建筑物，同时产生大量的一氧化碳，使人中毒死亡。</w:t>
            </w:r>
          </w:p>
          <w:p w14:paraId="5B6D47F8">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（2）最大可信事故</w:t>
            </w:r>
          </w:p>
          <w:p w14:paraId="0A6EDCF3">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煤粉越细，爆炸的危险性就越大。粗煤粉爆炸的可能性就小些，当煤粉粒度大于0.1mm时几乎不会爆炸。当煤粉浓度大于3～4kg/m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（空气）或小于0.32～0.47kg/m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时不轻易引起爆炸。因为煤粉浓度太高，氧浓度太小；而煤粉浓度太低，缺少可燃物。只有煤粉浓度为1.2～2.0kg/m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时最轻易发生爆炸。</w:t>
            </w:r>
          </w:p>
          <w:p w14:paraId="5A1F1750">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（3）环境影响分析</w:t>
            </w:r>
          </w:p>
          <w:p w14:paraId="75CE4B60">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当项目煤尘满足爆炸条件时引起爆炸，爆炸产物中含有大量的CO、SO</w:t>
            </w:r>
            <w:r>
              <w:rPr>
                <w:rFonts w:hint="eastAsia"/>
                <w:color w:val="000000" w:themeColor="text1"/>
                <w:kern w:val="0"/>
                <w:sz w:val="24"/>
                <w:szCs w:val="20"/>
                <w:vertAlign w:val="subscript"/>
                <w14:textFill>
                  <w14:solidFill>
                    <w14:schemeClr w14:val="tx1"/>
                  </w14:solidFill>
                </w14:textFill>
              </w:rPr>
              <w:t>2</w:t>
            </w:r>
            <w:r>
              <w:rPr>
                <w:rFonts w:hint="eastAsia"/>
                <w:color w:val="000000" w:themeColor="text1"/>
                <w:kern w:val="0"/>
                <w:sz w:val="24"/>
                <w:szCs w:val="20"/>
                <w14:textFill>
                  <w14:solidFill>
                    <w14:schemeClr w14:val="tx1"/>
                  </w14:solidFill>
                </w14:textFill>
              </w:rPr>
              <w:t>、 NOx气体及自身分解产生的毒性气体，使人及动物中毒，爆炸燃烧烟气及有毒气体污染周围环境。即使事故发生，爆炸燃烧烟气及有毒气体产生量有限，随空气流动、净化，项目区环境空气质量将很快恢复。</w:t>
            </w:r>
          </w:p>
          <w:p w14:paraId="062E909F">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每天必须由通防室负责对煤场煤堆进行测温检查，并填写测温记录，如发现异常及时上报调度室及有关领导，并建立健全煤场测温记录。为了防止煤炭自燃起火、贮煤温度应控制在60℃下，发现温度上升超过60℃时，应采取洒水等措施降温。</w:t>
            </w:r>
          </w:p>
          <w:p w14:paraId="436EE938">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项目全封闭煤储棚，通过洒水降尘及通风措施可满足环保要求，场所内煤尘浓度远低于煤尘爆炸下限浓度。</w:t>
            </w:r>
          </w:p>
          <w:p w14:paraId="10F5F1CC">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建设单位应通过加强风险管理，对现有突发环境事件应急预案进行重新修编，环境风险处于可接受水平。</w:t>
            </w:r>
          </w:p>
          <w:p w14:paraId="1A514875">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（4）风险预防措施</w:t>
            </w:r>
          </w:p>
          <w:p w14:paraId="3B557B0F">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①粉尘控制</w:t>
            </w:r>
          </w:p>
          <w:p w14:paraId="595EBE06">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a.消除和防止粉尘积累， 在产生粉尘较多的地方， 加强巡视， 及时清扫；</w:t>
            </w:r>
          </w:p>
          <w:p w14:paraId="22ACC246">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b.加强水喷淋装置、</w:t>
            </w:r>
            <w:r>
              <w:rPr>
                <w:rFonts w:hint="eastAsia"/>
                <w:bCs/>
                <w:color w:val="000000" w:themeColor="text1"/>
                <w:szCs w:val="21"/>
                <w14:textFill>
                  <w14:solidFill>
                    <w14:schemeClr w14:val="tx1"/>
                  </w14:solidFill>
                </w14:textFill>
              </w:rPr>
              <w:t>雾炮机</w:t>
            </w:r>
            <w:r>
              <w:rPr>
                <w:rFonts w:hint="eastAsia"/>
                <w:color w:val="000000" w:themeColor="text1"/>
                <w:kern w:val="0"/>
                <w:sz w:val="24"/>
                <w:szCs w:val="20"/>
                <w14:textFill>
                  <w14:solidFill>
                    <w14:schemeClr w14:val="tx1"/>
                  </w14:solidFill>
                </w14:textFill>
              </w:rPr>
              <w:t>的使用频率， 尽可能</w:t>
            </w:r>
            <w:r>
              <w:rPr>
                <w:rFonts w:hint="eastAsia"/>
                <w:color w:val="000000" w:themeColor="text1"/>
                <w:kern w:val="0"/>
                <w:sz w:val="24"/>
                <w:szCs w:val="20"/>
                <w:lang w:eastAsia="zh-CN"/>
                <w14:textFill>
                  <w14:solidFill>
                    <w14:schemeClr w14:val="tx1"/>
                  </w14:solidFill>
                </w14:textFill>
              </w:rPr>
              <w:t>地</w:t>
            </w:r>
            <w:r>
              <w:rPr>
                <w:rFonts w:hint="eastAsia"/>
                <w:color w:val="000000" w:themeColor="text1"/>
                <w:kern w:val="0"/>
                <w:sz w:val="24"/>
                <w:szCs w:val="20"/>
                <w14:textFill>
                  <w14:solidFill>
                    <w14:schemeClr w14:val="tx1"/>
                  </w14:solidFill>
                </w14:textFill>
              </w:rPr>
              <w:t>减少粉尘飞扬等。</w:t>
            </w:r>
          </w:p>
          <w:p w14:paraId="58A5C5F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②火源控制</w:t>
            </w:r>
          </w:p>
          <w:p w14:paraId="6AA8094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a.加强管理，严禁将明火和易燃品带进煤炭储棚内；</w:t>
            </w:r>
          </w:p>
          <w:p w14:paraId="4B78578F">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b.防止金属物落入高速运转的机器设备中因冲击摩擦而起火；</w:t>
            </w:r>
          </w:p>
          <w:p w14:paraId="62C3EB5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c.电气设备、 电气通讯及照明装置应选用防爆型， 以防止静电火花引起粉尘爆炸；线路设计要安全可靠， 防止受潮漏电或短路起火；</w:t>
            </w:r>
          </w:p>
          <w:p w14:paraId="1127E251">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d.防止各类设备故障和摩擦起火而引起粉尘爆炸事故；</w:t>
            </w:r>
          </w:p>
          <w:p w14:paraId="4221E703">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e.对于易产生静电的设备应给予接地保护；</w:t>
            </w:r>
          </w:p>
          <w:p w14:paraId="29A830AA">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f.严禁实施动火作业程序；</w:t>
            </w:r>
          </w:p>
          <w:p w14:paraId="345FA3AE">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g.消防器材分布合理。</w:t>
            </w:r>
          </w:p>
          <w:p w14:paraId="54170D59">
            <w:pPr>
              <w:tabs>
                <w:tab w:val="left" w:pos="0"/>
              </w:tabs>
              <w:spacing w:line="440" w:lineRule="atLeast"/>
              <w:ind w:left="480"/>
              <w:textAlignment w:val="baseline"/>
              <w:rPr>
                <w:bCs/>
                <w:snapToGrid w:val="0"/>
                <w:color w:val="000000" w:themeColor="text1"/>
                <w:kern w:val="0"/>
                <w:sz w:val="24"/>
                <w14:textFill>
                  <w14:solidFill>
                    <w14:schemeClr w14:val="tx1"/>
                  </w14:solidFill>
                </w14:textFill>
              </w:rPr>
            </w:pPr>
            <w:r>
              <w:rPr>
                <w:bCs/>
                <w:snapToGrid w:val="0"/>
                <w:color w:val="000000" w:themeColor="text1"/>
                <w:kern w:val="0"/>
                <w:sz w:val="24"/>
                <w14:textFill>
                  <w14:solidFill>
                    <w14:schemeClr w14:val="tx1"/>
                  </w14:solidFill>
                </w14:textFill>
              </w:rPr>
              <w:t>（</w:t>
            </w:r>
            <w:r>
              <w:rPr>
                <w:rFonts w:hint="eastAsia"/>
                <w:bCs/>
                <w:snapToGrid w:val="0"/>
                <w:color w:val="000000" w:themeColor="text1"/>
                <w:kern w:val="0"/>
                <w:sz w:val="24"/>
                <w14:textFill>
                  <w14:solidFill>
                    <w14:schemeClr w14:val="tx1"/>
                  </w14:solidFill>
                </w14:textFill>
              </w:rPr>
              <w:t>5</w:t>
            </w:r>
            <w:r>
              <w:rPr>
                <w:bCs/>
                <w:snapToGrid w:val="0"/>
                <w:color w:val="000000" w:themeColor="text1"/>
                <w:kern w:val="0"/>
                <w:sz w:val="24"/>
                <w14:textFill>
                  <w14:solidFill>
                    <w14:schemeClr w14:val="tx1"/>
                  </w14:solidFill>
                </w14:textFill>
              </w:rPr>
              <w:t>）风险事故应急预案</w:t>
            </w:r>
          </w:p>
          <w:p w14:paraId="1367DF95">
            <w:pPr>
              <w:tabs>
                <w:tab w:val="left" w:pos="0"/>
              </w:tabs>
              <w:spacing w:line="440" w:lineRule="atLeast"/>
              <w:ind w:firstLine="480" w:firstLineChars="200"/>
              <w:textAlignment w:val="baseline"/>
              <w:rPr>
                <w:bCs/>
                <w:snapToGrid w:val="0"/>
                <w:color w:val="000000" w:themeColor="text1"/>
                <w:kern w:val="0"/>
                <w:sz w:val="24"/>
                <w14:textFill>
                  <w14:solidFill>
                    <w14:schemeClr w14:val="tx1"/>
                  </w14:solidFill>
                </w14:textFill>
              </w:rPr>
            </w:pPr>
            <w:r>
              <w:rPr>
                <w:bCs/>
                <w:snapToGrid w:val="0"/>
                <w:color w:val="000000" w:themeColor="text1"/>
                <w:kern w:val="0"/>
                <w:sz w:val="24"/>
                <w14:textFill>
                  <w14:solidFill>
                    <w14:schemeClr w14:val="tx1"/>
                  </w14:solidFill>
                </w14:textFill>
              </w:rPr>
              <w:t>本项目存在的潜在危险主要来自发生火灾等安全生产事故引起的次生大气环境污染事故。环境风险防范措施及应急要求：</w:t>
            </w:r>
          </w:p>
          <w:p w14:paraId="12F91F37">
            <w:pPr>
              <w:spacing w:line="440" w:lineRule="atLeast"/>
              <w:ind w:firstLine="480" w:firstLineChars="200"/>
              <w:textAlignment w:val="baseline"/>
              <w:rPr>
                <w:color w:val="000000" w:themeColor="text1"/>
                <w:kern w:val="0"/>
                <w:sz w:val="24"/>
                <w:szCs w:val="20"/>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①</w:t>
            </w:r>
            <w:r>
              <w:rPr>
                <w:color w:val="000000" w:themeColor="text1"/>
                <w:kern w:val="0"/>
                <w:sz w:val="24"/>
                <w:szCs w:val="20"/>
                <w14:textFill>
                  <w14:solidFill>
                    <w14:schemeClr w14:val="tx1"/>
                  </w14:solidFill>
                </w14:textFill>
              </w:rPr>
              <w:t>消防</w:t>
            </w:r>
          </w:p>
          <w:p w14:paraId="7A2F2A6A">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应设置专用报警电话，火灾报警电话：119。</w:t>
            </w:r>
          </w:p>
          <w:p w14:paraId="7E7B0F80">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配置应急工具和消防设施，包括一定数量的手提式二氧化碳和干粉灭火器，定期组织演练，并会正确使用。</w:t>
            </w:r>
          </w:p>
          <w:p w14:paraId="520EB063">
            <w:pPr>
              <w:spacing w:line="440" w:lineRule="atLeast"/>
              <w:ind w:firstLine="480" w:firstLineChars="200"/>
              <w:textAlignment w:val="baseline"/>
              <w:rPr>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②</w:t>
            </w:r>
            <w:r>
              <w:rPr>
                <w:color w:val="000000" w:themeColor="text1"/>
                <w:kern w:val="0"/>
                <w:sz w:val="24"/>
                <w14:textFill>
                  <w14:solidFill>
                    <w14:schemeClr w14:val="tx1"/>
                  </w14:solidFill>
                </w14:textFill>
              </w:rPr>
              <w:t>管理防范措施</w:t>
            </w:r>
          </w:p>
          <w:p w14:paraId="1891AECB">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在管理方面要有一系列详细的安全管理制度及有效的安全管理组织，确保各种有关安全管理规定能在各个环节上得到充分落实，并能有所改进与提高。</w:t>
            </w:r>
          </w:p>
          <w:p w14:paraId="27EB59A5">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在投产运行前，应制定出正常、异常或紧急状态下操作手册和维修手册，并对操作、维修人员进行培训，持证上岗，避免因严重操作失误而造成事故。</w:t>
            </w:r>
          </w:p>
          <w:p w14:paraId="0ADAD5C1">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加强对工作人员安全素质方面的教育及训练，包括安全知识、安全技术、安全心理、职业卫生及排险与消防活动等，而且要时常演练与考核。</w:t>
            </w:r>
          </w:p>
          <w:p w14:paraId="0846F32E">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制定应急操作规程，在规程中应说明发生事故时应采取的操作步骤，规定抢修进度，限制事故的影响。</w:t>
            </w:r>
          </w:p>
          <w:p w14:paraId="24EBE9AE">
            <w:pPr>
              <w:spacing w:line="440" w:lineRule="atLeast"/>
              <w:ind w:firstLine="480" w:firstLineChars="200"/>
              <w:textAlignment w:val="baseline"/>
              <w:rPr>
                <w:color w:val="000000" w:themeColor="text1"/>
                <w:kern w:val="0"/>
                <w:sz w:val="24"/>
                <w14:textFill>
                  <w14:solidFill>
                    <w14:schemeClr w14:val="tx1"/>
                  </w14:solidFill>
                </w14:textFill>
              </w:rPr>
            </w:pPr>
            <w:r>
              <w:rPr>
                <w:rFonts w:hint="eastAsia"/>
                <w:color w:val="000000" w:themeColor="text1"/>
                <w:kern w:val="0"/>
                <w:sz w:val="24"/>
                <w:szCs w:val="20"/>
                <w14:textFill>
                  <w14:solidFill>
                    <w14:schemeClr w14:val="tx1"/>
                  </w14:solidFill>
                </w14:textFill>
              </w:rPr>
              <w:t>对现有突发环境事件应急预案进行重新修编</w:t>
            </w:r>
            <w:r>
              <w:rPr>
                <w:color w:val="000000" w:themeColor="text1"/>
                <w:kern w:val="0"/>
                <w:sz w:val="24"/>
                <w14:textFill>
                  <w14:solidFill>
                    <w14:schemeClr w14:val="tx1"/>
                  </w14:solidFill>
                </w14:textFill>
              </w:rPr>
              <w:t>，包括应急预案实施组织、责任人、每一事故发生的处理程序、原因分析、防止再次发生的改进措施、应急预案的演习等。以使一旦发生事故可快速、有效得到处理，防止事故蔓延，将事故风险和导致的损失降到最低程度。</w:t>
            </w:r>
          </w:p>
          <w:p w14:paraId="09707402">
            <w:pPr>
              <w:pStyle w:val="5"/>
              <w:ind w:firstLine="482"/>
              <w:rPr>
                <w:color w:val="000000" w:themeColor="text1"/>
                <w14:textFill>
                  <w14:solidFill>
                    <w14:schemeClr w14:val="tx1"/>
                  </w14:solidFill>
                </w14:textFill>
              </w:rPr>
            </w:pPr>
            <w:r>
              <w:rPr>
                <w:b/>
                <w:snapToGrid w:val="0"/>
                <w:color w:val="000000" w:themeColor="text1"/>
                <w:kern w:val="0"/>
                <w:sz w:val="24"/>
                <w14:textFill>
                  <w14:solidFill>
                    <w14:schemeClr w14:val="tx1"/>
                  </w14:solidFill>
                </w14:textFill>
              </w:rPr>
              <w:t>表4-</w:t>
            </w:r>
            <w:r>
              <w:rPr>
                <w:rFonts w:hint="eastAsia"/>
                <w:b/>
                <w:snapToGrid w:val="0"/>
                <w:color w:val="000000" w:themeColor="text1"/>
                <w:kern w:val="0"/>
                <w:sz w:val="24"/>
                <w14:textFill>
                  <w14:solidFill>
                    <w14:schemeClr w14:val="tx1"/>
                  </w14:solidFill>
                </w14:textFill>
              </w:rPr>
              <w:t>8</w:t>
            </w:r>
            <w:r>
              <w:rPr>
                <w:b/>
                <w:snapToGrid w:val="0"/>
                <w:color w:val="000000" w:themeColor="text1"/>
                <w:kern w:val="0"/>
                <w:sz w:val="24"/>
                <w14:textFill>
                  <w14:solidFill>
                    <w14:schemeClr w14:val="tx1"/>
                  </w14:solidFill>
                </w14:textFill>
              </w:rPr>
              <w:t xml:space="preserve">      应急预案主要内容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0"/>
              <w:gridCol w:w="2041"/>
              <w:gridCol w:w="5614"/>
            </w:tblGrid>
            <w:tr w14:paraId="3E2D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A1F2241">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1230" w:type="pct"/>
                  <w:tcBorders>
                    <w:top w:val="single" w:color="auto" w:sz="4" w:space="0"/>
                    <w:left w:val="single" w:color="auto" w:sz="4" w:space="0"/>
                    <w:bottom w:val="single" w:color="auto" w:sz="4" w:space="0"/>
                    <w:right w:val="single" w:color="auto" w:sz="4" w:space="0"/>
                  </w:tcBorders>
                  <w:vAlign w:val="center"/>
                </w:tcPr>
                <w:p w14:paraId="5771F3ED">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w:t>
                  </w:r>
                </w:p>
              </w:tc>
              <w:tc>
                <w:tcPr>
                  <w:tcW w:w="3384" w:type="pct"/>
                  <w:tcBorders>
                    <w:top w:val="single" w:color="auto" w:sz="4" w:space="0"/>
                    <w:left w:val="single" w:color="auto" w:sz="4" w:space="0"/>
                    <w:bottom w:val="single" w:color="auto" w:sz="4" w:space="0"/>
                    <w:right w:val="single" w:color="auto" w:sz="4" w:space="0"/>
                  </w:tcBorders>
                  <w:vAlign w:val="center"/>
                </w:tcPr>
                <w:p w14:paraId="49A79C8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内容及要求</w:t>
                  </w:r>
                </w:p>
              </w:tc>
            </w:tr>
            <w:tr w14:paraId="0912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2" w:hRule="atLeast"/>
              </w:trPr>
              <w:tc>
                <w:tcPr>
                  <w:tcW w:w="386" w:type="pct"/>
                  <w:tcBorders>
                    <w:top w:val="single" w:color="auto" w:sz="4" w:space="0"/>
                    <w:left w:val="single" w:color="auto" w:sz="4" w:space="0"/>
                    <w:bottom w:val="single" w:color="auto" w:sz="4" w:space="0"/>
                    <w:right w:val="single" w:color="auto" w:sz="4" w:space="0"/>
                  </w:tcBorders>
                  <w:vAlign w:val="center"/>
                </w:tcPr>
                <w:p w14:paraId="6F7BE98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1230" w:type="pct"/>
                  <w:tcBorders>
                    <w:top w:val="single" w:color="auto" w:sz="4" w:space="0"/>
                    <w:left w:val="single" w:color="auto" w:sz="4" w:space="0"/>
                    <w:bottom w:val="single" w:color="auto" w:sz="4" w:space="0"/>
                    <w:right w:val="single" w:color="auto" w:sz="4" w:space="0"/>
                  </w:tcBorders>
                  <w:vAlign w:val="center"/>
                </w:tcPr>
                <w:p w14:paraId="7FBBDD93">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应急计划区</w:t>
                  </w:r>
                </w:p>
              </w:tc>
              <w:tc>
                <w:tcPr>
                  <w:tcW w:w="3384" w:type="pct"/>
                  <w:tcBorders>
                    <w:top w:val="single" w:color="auto" w:sz="4" w:space="0"/>
                    <w:left w:val="single" w:color="auto" w:sz="4" w:space="0"/>
                    <w:bottom w:val="single" w:color="auto" w:sz="4" w:space="0"/>
                    <w:right w:val="single" w:color="auto" w:sz="4" w:space="0"/>
                  </w:tcBorders>
                  <w:vAlign w:val="center"/>
                </w:tcPr>
                <w:p w14:paraId="65304D4E">
                  <w:pPr>
                    <w:adjustRightInd w:val="0"/>
                    <w:snapToGrid w:val="0"/>
                    <w:spacing w:line="360" w:lineRule="exact"/>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储煤棚</w:t>
                  </w:r>
                </w:p>
              </w:tc>
            </w:tr>
            <w:tr w14:paraId="3FAF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2AD3F242">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1230" w:type="pct"/>
                  <w:tcBorders>
                    <w:top w:val="single" w:color="auto" w:sz="4" w:space="0"/>
                    <w:left w:val="single" w:color="auto" w:sz="4" w:space="0"/>
                    <w:bottom w:val="single" w:color="auto" w:sz="4" w:space="0"/>
                    <w:right w:val="single" w:color="auto" w:sz="4" w:space="0"/>
                  </w:tcBorders>
                  <w:vAlign w:val="center"/>
                </w:tcPr>
                <w:p w14:paraId="20018799">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应急组织机构、人员</w:t>
                  </w:r>
                </w:p>
              </w:tc>
              <w:tc>
                <w:tcPr>
                  <w:tcW w:w="3384" w:type="pct"/>
                  <w:tcBorders>
                    <w:top w:val="single" w:color="auto" w:sz="4" w:space="0"/>
                    <w:left w:val="single" w:color="auto" w:sz="4" w:space="0"/>
                    <w:bottom w:val="single" w:color="auto" w:sz="4" w:space="0"/>
                    <w:right w:val="single" w:color="auto" w:sz="4" w:space="0"/>
                  </w:tcBorders>
                  <w:vAlign w:val="center"/>
                </w:tcPr>
                <w:p w14:paraId="75BBC634">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成立指挥部，负责现场全面指挥，建立专业救援队伍，负责事故控制、救援、善后处理</w:t>
                  </w:r>
                  <w:r>
                    <w:rPr>
                      <w:rFonts w:hint="eastAsia"/>
                      <w:color w:val="000000" w:themeColor="text1"/>
                      <w:szCs w:val="21"/>
                      <w14:textFill>
                        <w14:solidFill>
                          <w14:schemeClr w14:val="tx1"/>
                        </w14:solidFill>
                      </w14:textFill>
                    </w:rPr>
                    <w:t>。</w:t>
                  </w:r>
                </w:p>
              </w:tc>
            </w:tr>
            <w:tr w14:paraId="265C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4651391">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230" w:type="pct"/>
                  <w:tcBorders>
                    <w:top w:val="single" w:color="auto" w:sz="4" w:space="0"/>
                    <w:left w:val="single" w:color="auto" w:sz="4" w:space="0"/>
                    <w:bottom w:val="single" w:color="auto" w:sz="4" w:space="0"/>
                    <w:right w:val="single" w:color="auto" w:sz="4" w:space="0"/>
                  </w:tcBorders>
                  <w:vAlign w:val="center"/>
                </w:tcPr>
                <w:p w14:paraId="44AC868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应急状态分类及应急响应程序</w:t>
                  </w:r>
                </w:p>
              </w:tc>
              <w:tc>
                <w:tcPr>
                  <w:tcW w:w="3384" w:type="pct"/>
                  <w:tcBorders>
                    <w:top w:val="single" w:color="auto" w:sz="4" w:space="0"/>
                    <w:left w:val="single" w:color="auto" w:sz="4" w:space="0"/>
                    <w:bottom w:val="single" w:color="auto" w:sz="4" w:space="0"/>
                    <w:right w:val="single" w:color="auto" w:sz="4" w:space="0"/>
                  </w:tcBorders>
                  <w:vAlign w:val="center"/>
                </w:tcPr>
                <w:p w14:paraId="29B1D59E">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规定事故的级别及相应的应急分类响应程序。</w:t>
                  </w:r>
                </w:p>
              </w:tc>
            </w:tr>
            <w:tr w14:paraId="363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A8D2FC">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230" w:type="pct"/>
                  <w:tcBorders>
                    <w:top w:val="single" w:color="auto" w:sz="4" w:space="0"/>
                    <w:left w:val="single" w:color="auto" w:sz="4" w:space="0"/>
                    <w:bottom w:val="single" w:color="auto" w:sz="4" w:space="0"/>
                    <w:right w:val="single" w:color="auto" w:sz="4" w:space="0"/>
                  </w:tcBorders>
                  <w:vAlign w:val="center"/>
                </w:tcPr>
                <w:p w14:paraId="77B2ECB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应急设施、设备与</w:t>
                  </w:r>
                </w:p>
                <w:p w14:paraId="262FA97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器材</w:t>
                  </w:r>
                </w:p>
              </w:tc>
              <w:tc>
                <w:tcPr>
                  <w:tcW w:w="3384" w:type="pct"/>
                  <w:tcBorders>
                    <w:top w:val="single" w:color="auto" w:sz="4" w:space="0"/>
                    <w:left w:val="single" w:color="auto" w:sz="4" w:space="0"/>
                    <w:bottom w:val="single" w:color="auto" w:sz="4" w:space="0"/>
                    <w:right w:val="single" w:color="auto" w:sz="4" w:space="0"/>
                  </w:tcBorders>
                  <w:vAlign w:val="center"/>
                </w:tcPr>
                <w:p w14:paraId="0D84AEEB">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防火灾、爆炸事故应急设施、设备与材料，主要为消防器材、防静电服、自给正压式呼吸器、安全防护眼镜等。</w:t>
                  </w:r>
                </w:p>
              </w:tc>
            </w:tr>
            <w:tr w14:paraId="074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F3E309C">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1230" w:type="pct"/>
                  <w:tcBorders>
                    <w:top w:val="single" w:color="auto" w:sz="4" w:space="0"/>
                    <w:left w:val="single" w:color="auto" w:sz="4" w:space="0"/>
                    <w:bottom w:val="single" w:color="auto" w:sz="4" w:space="0"/>
                    <w:right w:val="single" w:color="auto" w:sz="4" w:space="0"/>
                  </w:tcBorders>
                  <w:vAlign w:val="center"/>
                </w:tcPr>
                <w:p w14:paraId="0FDBBE3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应急通讯、通知和交通</w:t>
                  </w:r>
                </w:p>
              </w:tc>
              <w:tc>
                <w:tcPr>
                  <w:tcW w:w="3384" w:type="pct"/>
                  <w:tcBorders>
                    <w:top w:val="single" w:color="auto" w:sz="4" w:space="0"/>
                    <w:left w:val="single" w:color="auto" w:sz="4" w:space="0"/>
                    <w:bottom w:val="single" w:color="auto" w:sz="4" w:space="0"/>
                    <w:right w:val="single" w:color="auto" w:sz="4" w:space="0"/>
                  </w:tcBorders>
                  <w:vAlign w:val="center"/>
                </w:tcPr>
                <w:p w14:paraId="7C1D3365">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规定应急状态下的通讯方式、通知方式和交通保障、管制。</w:t>
                  </w:r>
                </w:p>
              </w:tc>
            </w:tr>
            <w:tr w14:paraId="3696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09A216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1230" w:type="pct"/>
                  <w:tcBorders>
                    <w:top w:val="single" w:color="auto" w:sz="4" w:space="0"/>
                    <w:left w:val="single" w:color="auto" w:sz="4" w:space="0"/>
                    <w:bottom w:val="single" w:color="auto" w:sz="4" w:space="0"/>
                    <w:right w:val="single" w:color="auto" w:sz="4" w:space="0"/>
                  </w:tcBorders>
                  <w:vAlign w:val="center"/>
                </w:tcPr>
                <w:p w14:paraId="2400DAD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应急环境监测及事故后评估</w:t>
                  </w:r>
                </w:p>
              </w:tc>
              <w:tc>
                <w:tcPr>
                  <w:tcW w:w="3384" w:type="pct"/>
                  <w:tcBorders>
                    <w:top w:val="single" w:color="auto" w:sz="4" w:space="0"/>
                    <w:left w:val="single" w:color="auto" w:sz="4" w:space="0"/>
                    <w:bottom w:val="single" w:color="auto" w:sz="4" w:space="0"/>
                    <w:right w:val="single" w:color="auto" w:sz="4" w:space="0"/>
                  </w:tcBorders>
                  <w:vAlign w:val="center"/>
                </w:tcPr>
                <w:p w14:paraId="4FD84332">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由专业队伍负责对事故现场进行侦察监测、对事故性质、参数与后果进行评估，为指挥部门提供决策依据。</w:t>
                  </w:r>
                </w:p>
              </w:tc>
            </w:tr>
            <w:tr w14:paraId="0510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D996CF9">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1230" w:type="pct"/>
                  <w:tcBorders>
                    <w:top w:val="single" w:color="auto" w:sz="4" w:space="0"/>
                    <w:left w:val="single" w:color="auto" w:sz="4" w:space="0"/>
                    <w:bottom w:val="single" w:color="auto" w:sz="4" w:space="0"/>
                    <w:right w:val="single" w:color="auto" w:sz="4" w:space="0"/>
                  </w:tcBorders>
                  <w:vAlign w:val="center"/>
                </w:tcPr>
                <w:p w14:paraId="11F67D4D">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应急防护措施、清除泄漏措施方法和器材</w:t>
                  </w:r>
                </w:p>
              </w:tc>
              <w:tc>
                <w:tcPr>
                  <w:tcW w:w="3384" w:type="pct"/>
                  <w:tcBorders>
                    <w:top w:val="single" w:color="auto" w:sz="4" w:space="0"/>
                    <w:left w:val="single" w:color="auto" w:sz="4" w:space="0"/>
                    <w:bottom w:val="single" w:color="auto" w:sz="4" w:space="0"/>
                    <w:right w:val="single" w:color="auto" w:sz="4" w:space="0"/>
                  </w:tcBorders>
                  <w:vAlign w:val="center"/>
                </w:tcPr>
                <w:p w14:paraId="3831BB94">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事故现场：控制事故、防止扩大、蔓延及连锁反应。清除现场泄漏物，降低危害，相应的设施器材配备。</w:t>
                  </w:r>
                </w:p>
                <w:p w14:paraId="66F5F6FA">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邻近区域：控制防火区域，控制和清除污染措施及设备。</w:t>
                  </w:r>
                </w:p>
              </w:tc>
            </w:tr>
            <w:tr w14:paraId="0A6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008AD0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230" w:type="pct"/>
                  <w:tcBorders>
                    <w:top w:val="single" w:color="auto" w:sz="4" w:space="0"/>
                    <w:left w:val="single" w:color="auto" w:sz="4" w:space="0"/>
                    <w:bottom w:val="single" w:color="auto" w:sz="4" w:space="0"/>
                    <w:right w:val="single" w:color="auto" w:sz="4" w:space="0"/>
                  </w:tcBorders>
                  <w:vAlign w:val="center"/>
                </w:tcPr>
                <w:p w14:paraId="17E2B5A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应急剂量控制、撤离组织计划、医疗救护和公众健康</w:t>
                  </w:r>
                </w:p>
              </w:tc>
              <w:tc>
                <w:tcPr>
                  <w:tcW w:w="3384" w:type="pct"/>
                  <w:tcBorders>
                    <w:top w:val="single" w:color="auto" w:sz="4" w:space="0"/>
                    <w:left w:val="single" w:color="auto" w:sz="4" w:space="0"/>
                    <w:bottom w:val="single" w:color="auto" w:sz="4" w:space="0"/>
                    <w:right w:val="single" w:color="auto" w:sz="4" w:space="0"/>
                  </w:tcBorders>
                  <w:vAlign w:val="center"/>
                </w:tcPr>
                <w:p w14:paraId="6F5F3528">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事故现场：事故处理人员对毒物的应急计量控制规定，现场及邻近装置人员撤离组织计划及救护。给出人员应急疏散线路图。</w:t>
                  </w:r>
                </w:p>
                <w:p w14:paraId="328744E8">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工厂邻近区：受事故影响的邻近区域人员及公众对毒物应急剂量控制规定，撤离组织计划及救护。给出人员应急疏散线路图。</w:t>
                  </w:r>
                </w:p>
              </w:tc>
            </w:tr>
            <w:tr w14:paraId="70ED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E51EDF0">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1230" w:type="pct"/>
                  <w:tcBorders>
                    <w:top w:val="single" w:color="auto" w:sz="4" w:space="0"/>
                    <w:left w:val="single" w:color="auto" w:sz="4" w:space="0"/>
                    <w:bottom w:val="single" w:color="auto" w:sz="4" w:space="0"/>
                    <w:right w:val="single" w:color="auto" w:sz="4" w:space="0"/>
                  </w:tcBorders>
                  <w:vAlign w:val="center"/>
                </w:tcPr>
                <w:p w14:paraId="3821F84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应急状态终止</w:t>
                  </w:r>
                </w:p>
                <w:p w14:paraId="0A3E07A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与恢复措施</w:t>
                  </w:r>
                </w:p>
              </w:tc>
              <w:tc>
                <w:tcPr>
                  <w:tcW w:w="3384" w:type="pct"/>
                  <w:tcBorders>
                    <w:top w:val="single" w:color="auto" w:sz="4" w:space="0"/>
                    <w:left w:val="single" w:color="auto" w:sz="4" w:space="0"/>
                    <w:bottom w:val="single" w:color="auto" w:sz="4" w:space="0"/>
                    <w:right w:val="single" w:color="auto" w:sz="4" w:space="0"/>
                  </w:tcBorders>
                  <w:vAlign w:val="center"/>
                </w:tcPr>
                <w:p w14:paraId="08B80E9A">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规定应急状态终止程序，事故现场善后处理，恢复措施。</w:t>
                  </w:r>
                </w:p>
                <w:p w14:paraId="1814CC44">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邻近区域解除事故警戒及善后恢复措施。</w:t>
                  </w:r>
                </w:p>
              </w:tc>
            </w:tr>
            <w:tr w14:paraId="2336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4669B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1230" w:type="pct"/>
                  <w:tcBorders>
                    <w:top w:val="single" w:color="auto" w:sz="4" w:space="0"/>
                    <w:left w:val="single" w:color="auto" w:sz="4" w:space="0"/>
                    <w:bottom w:val="single" w:color="auto" w:sz="4" w:space="0"/>
                    <w:right w:val="single" w:color="auto" w:sz="4" w:space="0"/>
                  </w:tcBorders>
                  <w:vAlign w:val="center"/>
                </w:tcPr>
                <w:p w14:paraId="3852304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人员培训及演练</w:t>
                  </w:r>
                </w:p>
              </w:tc>
              <w:tc>
                <w:tcPr>
                  <w:tcW w:w="3384" w:type="pct"/>
                  <w:tcBorders>
                    <w:top w:val="single" w:color="auto" w:sz="4" w:space="0"/>
                    <w:left w:val="single" w:color="auto" w:sz="4" w:space="0"/>
                    <w:bottom w:val="single" w:color="auto" w:sz="4" w:space="0"/>
                    <w:right w:val="single" w:color="auto" w:sz="4" w:space="0"/>
                  </w:tcBorders>
                  <w:vAlign w:val="center"/>
                </w:tcPr>
                <w:p w14:paraId="4412E05F">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应急计划制定后，平时安排人员培训及演练。</w:t>
                  </w:r>
                </w:p>
              </w:tc>
            </w:tr>
            <w:tr w14:paraId="14D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950846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w:t>
                  </w:r>
                </w:p>
              </w:tc>
              <w:tc>
                <w:tcPr>
                  <w:tcW w:w="1230" w:type="pct"/>
                  <w:tcBorders>
                    <w:top w:val="single" w:color="auto" w:sz="4" w:space="0"/>
                    <w:left w:val="single" w:color="auto" w:sz="4" w:space="0"/>
                    <w:bottom w:val="single" w:color="auto" w:sz="4" w:space="0"/>
                    <w:right w:val="single" w:color="auto" w:sz="4" w:space="0"/>
                  </w:tcBorders>
                  <w:vAlign w:val="center"/>
                </w:tcPr>
                <w:p w14:paraId="20F4FBE0">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公众教育信息</w:t>
                  </w:r>
                </w:p>
                <w:p w14:paraId="716F95B7">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记录</w:t>
                  </w:r>
                  <w:r>
                    <w:rPr>
                      <w:color w:val="000000" w:themeColor="text1"/>
                      <w:szCs w:val="21"/>
                      <w14:textFill>
                        <w14:solidFill>
                          <w14:schemeClr w14:val="tx1"/>
                        </w14:solidFill>
                      </w14:textFill>
                    </w:rPr>
                    <w:t>和报告</w:t>
                  </w:r>
                </w:p>
              </w:tc>
              <w:tc>
                <w:tcPr>
                  <w:tcW w:w="3384" w:type="pct"/>
                  <w:tcBorders>
                    <w:top w:val="single" w:color="auto" w:sz="4" w:space="0"/>
                    <w:left w:val="single" w:color="auto" w:sz="4" w:space="0"/>
                    <w:bottom w:val="single" w:color="auto" w:sz="4" w:space="0"/>
                    <w:right w:val="single" w:color="auto" w:sz="4" w:space="0"/>
                  </w:tcBorders>
                  <w:vAlign w:val="center"/>
                </w:tcPr>
                <w:p w14:paraId="60CF8969">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对工厂邻近地区开展公众教育、培训和发布有关信息</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设置应急事故专门</w:t>
                  </w:r>
                  <w:r>
                    <w:rPr>
                      <w:rFonts w:hint="eastAsia"/>
                      <w:color w:val="000000" w:themeColor="text1"/>
                      <w:szCs w:val="21"/>
                      <w:lang w:eastAsia="zh-CN"/>
                      <w14:textFill>
                        <w14:solidFill>
                          <w14:schemeClr w14:val="tx1"/>
                        </w14:solidFill>
                      </w14:textFill>
                    </w:rPr>
                    <w:t>记录</w:t>
                  </w:r>
                  <w:r>
                    <w:rPr>
                      <w:color w:val="000000" w:themeColor="text1"/>
                      <w:szCs w:val="21"/>
                      <w14:textFill>
                        <w14:solidFill>
                          <w14:schemeClr w14:val="tx1"/>
                        </w14:solidFill>
                      </w14:textFill>
                    </w:rPr>
                    <w:t>，建立档案和专门报告制度，设专门部门负责管理。</w:t>
                  </w:r>
                </w:p>
              </w:tc>
            </w:tr>
          </w:tbl>
          <w:p w14:paraId="274E2A40">
            <w:pPr>
              <w:spacing w:line="440" w:lineRule="atLeast"/>
              <w:ind w:firstLine="480" w:firstLineChars="200"/>
              <w:textAlignment w:val="baseline"/>
              <w:rPr>
                <w:bCs/>
                <w:color w:val="000000" w:themeColor="text1"/>
                <w:kern w:val="0"/>
                <w:sz w:val="24"/>
                <w14:textFill>
                  <w14:solidFill>
                    <w14:schemeClr w14:val="tx1"/>
                  </w14:solidFill>
                </w14:textFill>
              </w:rPr>
            </w:pPr>
            <w:r>
              <w:rPr>
                <w:bCs/>
                <w:color w:val="000000" w:themeColor="text1"/>
                <w:kern w:val="0"/>
                <w:sz w:val="24"/>
                <w14:textFill>
                  <w14:solidFill>
                    <w14:schemeClr w14:val="tx1"/>
                  </w14:solidFill>
                </w14:textFill>
              </w:rPr>
              <w:t>（</w:t>
            </w:r>
            <w:r>
              <w:rPr>
                <w:rFonts w:hint="eastAsia"/>
                <w:bCs/>
                <w:color w:val="000000" w:themeColor="text1"/>
                <w:kern w:val="0"/>
                <w:sz w:val="24"/>
                <w14:textFill>
                  <w14:solidFill>
                    <w14:schemeClr w14:val="tx1"/>
                  </w14:solidFill>
                </w14:textFill>
              </w:rPr>
              <w:t>6</w:t>
            </w:r>
            <w:r>
              <w:rPr>
                <w:bCs/>
                <w:color w:val="000000" w:themeColor="text1"/>
                <w:kern w:val="0"/>
                <w:sz w:val="24"/>
                <w14:textFill>
                  <w14:solidFill>
                    <w14:schemeClr w14:val="tx1"/>
                  </w14:solidFill>
                </w14:textFill>
              </w:rPr>
              <w:t>）风险评价结论</w:t>
            </w:r>
          </w:p>
          <w:p w14:paraId="7CB7B03D">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14:textFill>
                  <w14:solidFill>
                    <w14:schemeClr w14:val="tx1"/>
                  </w14:solidFill>
                </w14:textFill>
              </w:rPr>
              <w:t>项目在采取如上的风险防范措施的情况下，环境风险可降至可防控水平。项目具有潜在的事故风险，要切实从建设、生产、贮存等各方面积极采取防护措施。</w:t>
            </w:r>
            <w:r>
              <w:rPr>
                <w:color w:val="000000" w:themeColor="text1"/>
                <w:kern w:val="0"/>
                <w:sz w:val="24"/>
                <w:szCs w:val="20"/>
                <w14:textFill>
                  <w14:solidFill>
                    <w14:schemeClr w14:val="tx1"/>
                  </w14:solidFill>
                </w14:textFill>
              </w:rPr>
              <w:t>采取严格的防范措施后，环境风险在可接受的范围内，对人群健康及周围环境不会造成不良影响。</w:t>
            </w:r>
          </w:p>
          <w:p w14:paraId="2DF10FF1">
            <w:pPr>
              <w:pStyle w:val="5"/>
              <w:spacing w:line="440" w:lineRule="atLeast"/>
              <w:ind w:firstLine="482"/>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建设项目环境风险简单分析内容表如下：</w:t>
            </w:r>
          </w:p>
          <w:p w14:paraId="13FD6D17">
            <w:pPr>
              <w:spacing w:line="440" w:lineRule="exact"/>
              <w:ind w:firstLine="482" w:firstLineChars="200"/>
              <w:textAlignment w:val="baseline"/>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表4-</w:t>
            </w:r>
            <w:r>
              <w:rPr>
                <w:rFonts w:hint="eastAsia"/>
                <w:b/>
                <w:bCs/>
                <w:color w:val="000000" w:themeColor="text1"/>
                <w:kern w:val="0"/>
                <w:sz w:val="24"/>
                <w14:textFill>
                  <w14:solidFill>
                    <w14:schemeClr w14:val="tx1"/>
                  </w14:solidFill>
                </w14:textFill>
              </w:rPr>
              <w:t>9</w:t>
            </w:r>
            <w:r>
              <w:rPr>
                <w:b/>
                <w:bCs/>
                <w:color w:val="000000" w:themeColor="text1"/>
                <w:kern w:val="0"/>
                <w:sz w:val="24"/>
                <w14:textFill>
                  <w14:solidFill>
                    <w14:schemeClr w14:val="tx1"/>
                  </w14:solidFill>
                </w14:textFill>
              </w:rPr>
              <w:t xml:space="preserve">     建设项目环境风险简单分析内容表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149"/>
              <w:gridCol w:w="1430"/>
              <w:gridCol w:w="1381"/>
              <w:gridCol w:w="1169"/>
              <w:gridCol w:w="2163"/>
            </w:tblGrid>
            <w:tr w14:paraId="0C65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6" w:type="pct"/>
                  <w:vAlign w:val="center"/>
                </w:tcPr>
                <w:p w14:paraId="7C4ECB57">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建设项目名称</w:t>
                  </w:r>
                </w:p>
              </w:tc>
              <w:tc>
                <w:tcPr>
                  <w:tcW w:w="3704" w:type="pct"/>
                  <w:gridSpan w:val="4"/>
                  <w:vAlign w:val="center"/>
                </w:tcPr>
                <w:p w14:paraId="75DBCD73">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伊金霍洛旗新街马秦壕鑫源洗煤厂新建储煤棚项目</w:t>
                  </w:r>
                </w:p>
              </w:tc>
            </w:tr>
            <w:tr w14:paraId="57B6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35278F92">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建设地点</w:t>
                  </w:r>
                </w:p>
              </w:tc>
              <w:tc>
                <w:tcPr>
                  <w:tcW w:w="862" w:type="pct"/>
                  <w:vAlign w:val="center"/>
                </w:tcPr>
                <w:p w14:paraId="49BB95FA">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内蒙古自治区</w:t>
                  </w:r>
                </w:p>
              </w:tc>
              <w:tc>
                <w:tcPr>
                  <w:tcW w:w="833" w:type="pct"/>
                  <w:vAlign w:val="center"/>
                </w:tcPr>
                <w:p w14:paraId="3C756BAA">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鄂尔多斯市</w:t>
                  </w:r>
                </w:p>
              </w:tc>
              <w:tc>
                <w:tcPr>
                  <w:tcW w:w="705" w:type="pct"/>
                  <w:vAlign w:val="center"/>
                </w:tcPr>
                <w:p w14:paraId="7FB03C69">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伊金霍洛旗</w:t>
                  </w:r>
                </w:p>
              </w:tc>
              <w:tc>
                <w:tcPr>
                  <w:tcW w:w="1304" w:type="pct"/>
                  <w:vAlign w:val="center"/>
                </w:tcPr>
                <w:p w14:paraId="270A7850">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玛勒庆壕赖村一社</w:t>
                  </w:r>
                </w:p>
              </w:tc>
            </w:tr>
            <w:tr w14:paraId="775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0C50AB06">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地理坐标</w:t>
                  </w:r>
                </w:p>
              </w:tc>
              <w:tc>
                <w:tcPr>
                  <w:tcW w:w="862" w:type="pct"/>
                  <w:vAlign w:val="center"/>
                </w:tcPr>
                <w:p w14:paraId="0DBDCBD7">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经度</w:t>
                  </w:r>
                </w:p>
              </w:tc>
              <w:tc>
                <w:tcPr>
                  <w:tcW w:w="833" w:type="pct"/>
                  <w:vAlign w:val="center"/>
                </w:tcPr>
                <w:p w14:paraId="4541B598">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109°55′19.665″</w:t>
                  </w:r>
                </w:p>
              </w:tc>
              <w:tc>
                <w:tcPr>
                  <w:tcW w:w="705" w:type="pct"/>
                  <w:vAlign w:val="center"/>
                </w:tcPr>
                <w:p w14:paraId="04E074CB">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纬度</w:t>
                  </w:r>
                </w:p>
              </w:tc>
              <w:tc>
                <w:tcPr>
                  <w:tcW w:w="1304" w:type="pct"/>
                  <w:vAlign w:val="center"/>
                </w:tcPr>
                <w:p w14:paraId="31ED4ACA">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39</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11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55.397</w:t>
                  </w:r>
                  <w:r>
                    <w:rPr>
                      <w:color w:val="000000" w:themeColor="text1"/>
                      <w:szCs w:val="21"/>
                      <w14:textFill>
                        <w14:solidFill>
                          <w14:schemeClr w14:val="tx1"/>
                        </w14:solidFill>
                      </w14:textFill>
                    </w:rPr>
                    <w:t>″</w:t>
                  </w:r>
                </w:p>
              </w:tc>
            </w:tr>
            <w:tr w14:paraId="522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A0E3095">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主要危险物质及分布</w:t>
                  </w:r>
                </w:p>
              </w:tc>
              <w:tc>
                <w:tcPr>
                  <w:tcW w:w="3704" w:type="pct"/>
                  <w:gridSpan w:val="4"/>
                  <w:vAlign w:val="center"/>
                </w:tcPr>
                <w:p w14:paraId="0D6AB859">
                  <w:pPr>
                    <w:spacing w:line="340" w:lineRule="exact"/>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主要危险物质为</w:t>
                  </w:r>
                  <w:r>
                    <w:rPr>
                      <w:rFonts w:hint="eastAsia"/>
                      <w:color w:val="000000" w:themeColor="text1"/>
                      <w:kern w:val="0"/>
                      <w:szCs w:val="21"/>
                      <w14:textFill>
                        <w14:solidFill>
                          <w14:schemeClr w14:val="tx1"/>
                        </w14:solidFill>
                      </w14:textFill>
                    </w:rPr>
                    <w:t>煤炭</w:t>
                  </w:r>
                </w:p>
              </w:tc>
            </w:tr>
            <w:tr w14:paraId="156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1296" w:type="pct"/>
                  <w:vAlign w:val="center"/>
                </w:tcPr>
                <w:p w14:paraId="6A0725F9">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环境影响途径及危害后果</w:t>
                  </w:r>
                </w:p>
              </w:tc>
              <w:tc>
                <w:tcPr>
                  <w:tcW w:w="3704" w:type="pct"/>
                  <w:gridSpan w:val="4"/>
                  <w:vAlign w:val="center"/>
                </w:tcPr>
                <w:p w14:paraId="2F48C2B6">
                  <w:pPr>
                    <w:spacing w:line="340" w:lineRule="exact"/>
                    <w:textAlignment w:val="baseline"/>
                    <w:rPr>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煤炭爆炸，引起次生灾害</w:t>
                  </w:r>
                </w:p>
              </w:tc>
            </w:tr>
            <w:tr w14:paraId="3803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EDF2A08">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风险防范措施要求</w:t>
                  </w:r>
                </w:p>
              </w:tc>
              <w:tc>
                <w:tcPr>
                  <w:tcW w:w="3704" w:type="pct"/>
                  <w:gridSpan w:val="4"/>
                  <w:vAlign w:val="center"/>
                </w:tcPr>
                <w:p w14:paraId="525C6EBD">
                  <w:pPr>
                    <w:pStyle w:val="100"/>
                    <w:numPr>
                      <w:ilvl w:val="0"/>
                      <w:numId w:val="4"/>
                    </w:numPr>
                    <w:tabs>
                      <w:tab w:val="left" w:pos="0"/>
                    </w:tabs>
                    <w:spacing w:line="340" w:lineRule="exact"/>
                    <w:ind w:firstLineChars="0"/>
                    <w:jc w:val="lef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粉尘控制</w:t>
                  </w:r>
                </w:p>
                <w:p w14:paraId="3F112FFD">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消除和防止粉尘积累，在产生粉尘较多的地方，加强巡视，及时清扫；加强水喷淋装置、洒水车的使用频率， 尽可能</w:t>
                  </w:r>
                  <w:r>
                    <w:rPr>
                      <w:rFonts w:hint="eastAsia"/>
                      <w:snapToGrid w:val="0"/>
                      <w:color w:val="000000" w:themeColor="text1"/>
                      <w:szCs w:val="21"/>
                      <w:lang w:eastAsia="zh-CN"/>
                      <w14:textFill>
                        <w14:solidFill>
                          <w14:schemeClr w14:val="tx1"/>
                        </w14:solidFill>
                      </w14:textFill>
                    </w:rPr>
                    <w:t>地</w:t>
                  </w:r>
                  <w:r>
                    <w:rPr>
                      <w:rFonts w:hint="eastAsia"/>
                      <w:snapToGrid w:val="0"/>
                      <w:color w:val="000000" w:themeColor="text1"/>
                      <w:szCs w:val="21"/>
                      <w14:textFill>
                        <w14:solidFill>
                          <w14:schemeClr w14:val="tx1"/>
                        </w14:solidFill>
                      </w14:textFill>
                    </w:rPr>
                    <w:t>减少粉尘飞扬等。</w:t>
                  </w:r>
                </w:p>
                <w:p w14:paraId="116AC2E5">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②火源控制</w:t>
                  </w:r>
                </w:p>
                <w:p w14:paraId="47C397B1">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a.加强管理，严禁将明火和易燃品带进煤炭储棚内；</w:t>
                  </w:r>
                </w:p>
                <w:p w14:paraId="359F4C99">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b.防止金属物落入高速运转的机器设备中因冲击摩擦而起火；</w:t>
                  </w:r>
                </w:p>
                <w:p w14:paraId="3B4A679E">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c.电气设备、电气通讯及照明装置选用防爆型，以防止静电火花引起粉尘爆炸；线路设计要安全可靠， 防止受潮漏电或短路起火；</w:t>
                  </w:r>
                </w:p>
                <w:p w14:paraId="3075F0AA">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d.防止各类设备故障和摩擦起火而引起粉尘爆炸事故；</w:t>
                  </w:r>
                </w:p>
                <w:p w14:paraId="379E828C">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e.对于易产生静电的设备应给予接地保护；</w:t>
                  </w:r>
                </w:p>
                <w:p w14:paraId="2CBF0A89">
                  <w:pPr>
                    <w:tabs>
                      <w:tab w:val="left" w:pos="0"/>
                    </w:tabs>
                    <w:spacing w:line="340" w:lineRule="exact"/>
                    <w:jc w:val="lef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f.严禁实施动火作业程序，消防器材分布合理。</w:t>
                  </w:r>
                </w:p>
              </w:tc>
            </w:tr>
            <w:tr w14:paraId="1926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000" w:type="pct"/>
                  <w:gridSpan w:val="5"/>
                </w:tcPr>
                <w:p w14:paraId="0A848672">
                  <w:pPr>
                    <w:spacing w:line="340" w:lineRule="exact"/>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填表说明：项目主要危险物质为</w:t>
                  </w:r>
                  <w:r>
                    <w:rPr>
                      <w:rFonts w:hint="eastAsia"/>
                      <w:color w:val="000000" w:themeColor="text1"/>
                      <w:kern w:val="0"/>
                      <w:szCs w:val="21"/>
                      <w14:textFill>
                        <w14:solidFill>
                          <w14:schemeClr w14:val="tx1"/>
                        </w14:solidFill>
                      </w14:textFill>
                    </w:rPr>
                    <w:t>煤炭</w:t>
                  </w:r>
                  <w:r>
                    <w:rPr>
                      <w:color w:val="000000" w:themeColor="text1"/>
                      <w:kern w:val="0"/>
                      <w:szCs w:val="21"/>
                      <w14:textFill>
                        <w14:solidFill>
                          <w14:schemeClr w14:val="tx1"/>
                        </w14:solidFill>
                      </w14:textFill>
                    </w:rPr>
                    <w:t>，在采取相应的风险防范措施的情况下，项目环境风险可降至可防控水平。</w:t>
                  </w:r>
                </w:p>
              </w:tc>
            </w:tr>
          </w:tbl>
          <w:p w14:paraId="7494B006">
            <w:pPr>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8、排污许可制度衔接</w:t>
            </w:r>
          </w:p>
          <w:p w14:paraId="15E4F77D">
            <w:pPr>
              <w:pStyle w:val="5"/>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建设单位应按照《排污许可管理条例</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固定污染源排污许可分类管理名录（2019年版）》等排污许可证相关管理要求，在规定时限对现有排污许可手续进行变更。</w:t>
            </w:r>
          </w:p>
          <w:p w14:paraId="08F76694">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w:t>
            </w:r>
            <w:r>
              <w:rPr>
                <w:b/>
                <w:bCs/>
                <w:color w:val="000000" w:themeColor="text1"/>
                <w:sz w:val="24"/>
                <w14:textFill>
                  <w14:solidFill>
                    <w14:schemeClr w14:val="tx1"/>
                  </w14:solidFill>
                </w14:textFill>
              </w:rPr>
              <w:t>环保投资</w:t>
            </w:r>
          </w:p>
          <w:p w14:paraId="1626F1A4">
            <w:pPr>
              <w:pStyle w:val="5"/>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本项目环保投资</w:t>
            </w:r>
            <w:r>
              <w:rPr>
                <w:rFonts w:hint="eastAsia"/>
                <w:color w:val="000000" w:themeColor="text1"/>
                <w:sz w:val="24"/>
                <w14:textFill>
                  <w14:solidFill>
                    <w14:schemeClr w14:val="tx1"/>
                  </w14:solidFill>
                </w14:textFill>
              </w:rPr>
              <w:t>608</w:t>
            </w:r>
            <w:r>
              <w:rPr>
                <w:color w:val="000000" w:themeColor="text1"/>
                <w:sz w:val="24"/>
                <w14:textFill>
                  <w14:solidFill>
                    <w14:schemeClr w14:val="tx1"/>
                  </w14:solidFill>
                </w14:textFill>
              </w:rPr>
              <w:t>万元，占总投资的</w:t>
            </w:r>
            <w:r>
              <w:rPr>
                <w:rFonts w:hint="eastAsia"/>
                <w:color w:val="000000" w:themeColor="text1"/>
                <w:sz w:val="24"/>
                <w14:textFill>
                  <w14:solidFill>
                    <w14:schemeClr w14:val="tx1"/>
                  </w14:solidFill>
                </w14:textFill>
              </w:rPr>
              <w:t>100</w:t>
            </w:r>
            <w:r>
              <w:rPr>
                <w:color w:val="000000" w:themeColor="text1"/>
                <w:sz w:val="24"/>
                <w14:textFill>
                  <w14:solidFill>
                    <w14:schemeClr w14:val="tx1"/>
                  </w14:solidFill>
                </w14:textFill>
              </w:rPr>
              <w:t>%，环保投资估算一览见下表。</w:t>
            </w:r>
          </w:p>
          <w:p w14:paraId="6F10EB0E">
            <w:pPr>
              <w:pStyle w:val="5"/>
              <w:spacing w:line="440" w:lineRule="exact"/>
              <w:ind w:firstLine="482" w:firstLineChars="200"/>
              <w:rPr>
                <w:rFonts w:eastAsia="黑体"/>
                <w:b/>
                <w:bCs/>
                <w:color w:val="000000" w:themeColor="text1"/>
                <w:kern w:val="0"/>
                <w:szCs w:val="20"/>
                <w14:textFill>
                  <w14:solidFill>
                    <w14:schemeClr w14:val="tx1"/>
                  </w14:solidFill>
                </w14:textFill>
              </w:rPr>
            </w:pPr>
            <w:bookmarkStart w:id="20" w:name="_Hlk100237701"/>
            <w:r>
              <w:rPr>
                <w:b/>
                <w:bCs/>
                <w:color w:val="000000" w:themeColor="text1"/>
                <w:sz w:val="24"/>
                <w14:textFill>
                  <w14:solidFill>
                    <w14:schemeClr w14:val="tx1"/>
                  </w14:solidFill>
                </w14:textFill>
              </w:rPr>
              <w:t>表4-1</w:t>
            </w:r>
            <w:r>
              <w:rPr>
                <w:rFonts w:hint="eastAsia"/>
                <w:b/>
                <w:bCs/>
                <w:color w:val="000000" w:themeColor="text1"/>
                <w:sz w:val="24"/>
                <w14:textFill>
                  <w14:solidFill>
                    <w14:schemeClr w14:val="tx1"/>
                  </w14:solidFill>
                </w14:textFill>
              </w:rPr>
              <w:t xml:space="preserve">0    </w:t>
            </w:r>
            <w:r>
              <w:rPr>
                <w:b/>
                <w:bCs/>
                <w:color w:val="000000" w:themeColor="text1"/>
                <w:sz w:val="24"/>
                <w14:textFill>
                  <w14:solidFill>
                    <w14:schemeClr w14:val="tx1"/>
                  </w14:solidFill>
                </w14:textFill>
              </w:rPr>
              <w:t>环保投资一览表</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单位：万元</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1"/>
              <w:gridCol w:w="2009"/>
              <w:gridCol w:w="4854"/>
              <w:gridCol w:w="841"/>
            </w:tblGrid>
            <w:tr w14:paraId="7F6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7716670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类别</w:t>
                  </w:r>
                </w:p>
              </w:tc>
              <w:tc>
                <w:tcPr>
                  <w:tcW w:w="1211" w:type="pct"/>
                  <w:vAlign w:val="center"/>
                </w:tcPr>
                <w:p w14:paraId="317C5E60">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2926" w:type="pct"/>
                  <w:vAlign w:val="center"/>
                </w:tcPr>
                <w:p w14:paraId="0B3D5E12">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治理措施</w:t>
                  </w:r>
                </w:p>
              </w:tc>
              <w:tc>
                <w:tcPr>
                  <w:tcW w:w="507" w:type="pct"/>
                  <w:vAlign w:val="center"/>
                </w:tcPr>
                <w:p w14:paraId="4C4EA02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投资</w:t>
                  </w:r>
                </w:p>
              </w:tc>
            </w:tr>
            <w:tr w14:paraId="3ABC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restart"/>
                  <w:vAlign w:val="center"/>
                </w:tcPr>
                <w:p w14:paraId="27D8B49B">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1211" w:type="pct"/>
                  <w:vAlign w:val="center"/>
                </w:tcPr>
                <w:p w14:paraId="3F955E5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煤炭储存及装载粉尘</w:t>
                  </w:r>
                </w:p>
              </w:tc>
              <w:tc>
                <w:tcPr>
                  <w:tcW w:w="2926" w:type="pct"/>
                  <w:vAlign w:val="center"/>
                </w:tcPr>
                <w:p w14:paraId="605247F7">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设备及煤棚全封闭，煤棚顶部设施喷淋抑尘系统；煤棚已安装视频监控设施，并与环保部门平台联网。</w:t>
                  </w:r>
                </w:p>
              </w:tc>
              <w:tc>
                <w:tcPr>
                  <w:tcW w:w="507" w:type="pct"/>
                  <w:vMerge w:val="restart"/>
                  <w:vAlign w:val="center"/>
                </w:tcPr>
                <w:p w14:paraId="4F9FA65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605.5</w:t>
                  </w:r>
                </w:p>
              </w:tc>
            </w:tr>
            <w:tr w14:paraId="075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continue"/>
                  <w:vAlign w:val="center"/>
                </w:tcPr>
                <w:p w14:paraId="6C5148C9">
                  <w:pPr>
                    <w:widowControl/>
                    <w:adjustRightInd w:val="0"/>
                    <w:snapToGrid w:val="0"/>
                    <w:spacing w:line="360" w:lineRule="exact"/>
                    <w:jc w:val="center"/>
                    <w:rPr>
                      <w:color w:val="000000" w:themeColor="text1"/>
                      <w:kern w:val="0"/>
                      <w:szCs w:val="21"/>
                      <w14:textFill>
                        <w14:solidFill>
                          <w14:schemeClr w14:val="tx1"/>
                        </w14:solidFill>
                      </w14:textFill>
                    </w:rPr>
                  </w:pPr>
                </w:p>
              </w:tc>
              <w:tc>
                <w:tcPr>
                  <w:tcW w:w="1211" w:type="pct"/>
                  <w:vAlign w:val="center"/>
                </w:tcPr>
                <w:p w14:paraId="0562305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厂区运输扬尘</w:t>
                  </w:r>
                </w:p>
              </w:tc>
              <w:tc>
                <w:tcPr>
                  <w:tcW w:w="2926" w:type="pct"/>
                  <w:vAlign w:val="center"/>
                </w:tcPr>
                <w:p w14:paraId="22E66EFA">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场内道路绿化，封闭运输，配备洒水车，定期洒水，厂区地面及进出厂区道路硬化</w:t>
                  </w:r>
                </w:p>
              </w:tc>
              <w:tc>
                <w:tcPr>
                  <w:tcW w:w="507" w:type="pct"/>
                  <w:vMerge w:val="continue"/>
                  <w:vAlign w:val="center"/>
                </w:tcPr>
                <w:p w14:paraId="7D3C24B7">
                  <w:pPr>
                    <w:widowControl/>
                    <w:adjustRightInd w:val="0"/>
                    <w:snapToGrid w:val="0"/>
                    <w:spacing w:line="360" w:lineRule="exact"/>
                    <w:jc w:val="center"/>
                    <w:rPr>
                      <w:color w:val="000000" w:themeColor="text1"/>
                      <w:kern w:val="0"/>
                      <w:szCs w:val="21"/>
                      <w14:textFill>
                        <w14:solidFill>
                          <w14:schemeClr w14:val="tx1"/>
                        </w14:solidFill>
                      </w14:textFill>
                    </w:rPr>
                  </w:pPr>
                </w:p>
              </w:tc>
            </w:tr>
            <w:tr w14:paraId="1556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14D96503">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废水</w:t>
                  </w:r>
                </w:p>
              </w:tc>
              <w:tc>
                <w:tcPr>
                  <w:tcW w:w="1211" w:type="pct"/>
                  <w:vAlign w:val="center"/>
                </w:tcPr>
                <w:p w14:paraId="7304EA7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生产及生活废水</w:t>
                  </w:r>
                </w:p>
              </w:tc>
              <w:tc>
                <w:tcPr>
                  <w:tcW w:w="2926" w:type="pct"/>
                  <w:vAlign w:val="center"/>
                </w:tcPr>
                <w:p w14:paraId="1EA306C3">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项目抑尘用水全部蒸发损耗；不新增劳动定员，无新增生活废水。</w:t>
                  </w:r>
                </w:p>
              </w:tc>
              <w:tc>
                <w:tcPr>
                  <w:tcW w:w="507" w:type="pct"/>
                  <w:vAlign w:val="center"/>
                </w:tcPr>
                <w:p w14:paraId="6F471751">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r w14:paraId="417B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6" w:type="pct"/>
                  <w:vAlign w:val="center"/>
                </w:tcPr>
                <w:p w14:paraId="63BDD5F0">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1211" w:type="pct"/>
                  <w:vAlign w:val="center"/>
                </w:tcPr>
                <w:p w14:paraId="04C541C4">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装载设备、洒水车</w:t>
                  </w:r>
                </w:p>
              </w:tc>
              <w:tc>
                <w:tcPr>
                  <w:tcW w:w="2926" w:type="pct"/>
                  <w:vAlign w:val="center"/>
                </w:tcPr>
                <w:p w14:paraId="1E78AD0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合理规划项目场地道路交通， 加强管理，采用低噪声、低能耗设备。</w:t>
                  </w:r>
                </w:p>
              </w:tc>
              <w:tc>
                <w:tcPr>
                  <w:tcW w:w="507" w:type="pct"/>
                  <w:vAlign w:val="center"/>
                </w:tcPr>
                <w:p w14:paraId="1693DC69">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2.5</w:t>
                  </w:r>
                </w:p>
              </w:tc>
            </w:tr>
            <w:tr w14:paraId="646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3" w:type="pct"/>
                  <w:gridSpan w:val="3"/>
                  <w:noWrap/>
                  <w:vAlign w:val="center"/>
                </w:tcPr>
                <w:p w14:paraId="38C3A2E7">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总计</w:t>
                  </w:r>
                </w:p>
              </w:tc>
              <w:tc>
                <w:tcPr>
                  <w:tcW w:w="507" w:type="pct"/>
                  <w:vAlign w:val="center"/>
                </w:tcPr>
                <w:p w14:paraId="444D4BD6">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608</w:t>
                  </w:r>
                </w:p>
              </w:tc>
            </w:tr>
            <w:bookmarkEnd w:id="20"/>
          </w:tbl>
          <w:p w14:paraId="69A5A130">
            <w:pPr>
              <w:rPr>
                <w:color w:val="000000" w:themeColor="text1"/>
                <w14:textFill>
                  <w14:solidFill>
                    <w14:schemeClr w14:val="tx1"/>
                  </w14:solidFill>
                </w14:textFill>
              </w:rPr>
            </w:pPr>
          </w:p>
          <w:p w14:paraId="4A815D0F">
            <w:pPr>
              <w:rPr>
                <w:color w:val="000000" w:themeColor="text1"/>
                <w14:textFill>
                  <w14:solidFill>
                    <w14:schemeClr w14:val="tx1"/>
                  </w14:solidFill>
                </w14:textFill>
              </w:rPr>
            </w:pPr>
          </w:p>
          <w:p w14:paraId="0731BB09">
            <w:pPr>
              <w:rPr>
                <w:color w:val="000000" w:themeColor="text1"/>
                <w14:textFill>
                  <w14:solidFill>
                    <w14:schemeClr w14:val="tx1"/>
                  </w14:solidFill>
                </w14:textFill>
              </w:rPr>
            </w:pPr>
          </w:p>
        </w:tc>
      </w:tr>
    </w:tbl>
    <w:p w14:paraId="0BFFAF9F">
      <w:pPr>
        <w:adjustRightInd w:val="0"/>
        <w:snapToGrid w:val="0"/>
        <w:spacing w:line="360" w:lineRule="auto"/>
        <w:rPr>
          <w:rFonts w:ascii="宋体" w:cs="宋体"/>
          <w:b/>
          <w:color w:val="000000" w:themeColor="text1"/>
          <w:kern w:val="0"/>
          <w:sz w:val="28"/>
          <w:szCs w:val="28"/>
          <w14:textFill>
            <w14:solidFill>
              <w14:schemeClr w14:val="tx1"/>
            </w14:solidFill>
          </w14:textFill>
        </w:rPr>
        <w:sectPr>
          <w:footerReference r:id="rId7" w:type="even"/>
          <w:pgSz w:w="11907" w:h="16840"/>
          <w:pgMar w:top="1701" w:right="1531" w:bottom="2127" w:left="1531" w:header="851" w:footer="851" w:gutter="0"/>
          <w:cols w:space="720" w:num="1"/>
          <w:docGrid w:linePitch="312" w:charSpace="0"/>
        </w:sectPr>
      </w:pPr>
    </w:p>
    <w:p w14:paraId="6B012540">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五、</w:t>
      </w:r>
      <w:bookmarkStart w:id="21"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21"/>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24"/>
        <w:gridCol w:w="1548"/>
        <w:gridCol w:w="1287"/>
        <w:gridCol w:w="2835"/>
        <w:gridCol w:w="2006"/>
      </w:tblGrid>
      <w:tr w14:paraId="5AE17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tcBorders>
              <w:tl2br w:val="single" w:color="auto" w:sz="4" w:space="0"/>
            </w:tcBorders>
          </w:tcPr>
          <w:p w14:paraId="25FEF4D3">
            <w:pPr>
              <w:adjustRightInd w:val="0"/>
              <w:snapToGrid w:val="0"/>
              <w:ind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内容</w:t>
            </w:r>
          </w:p>
          <w:p w14:paraId="4102FDC5">
            <w:pPr>
              <w:adjustRightInd w:val="0"/>
              <w:snapToGrid w:val="0"/>
              <w:rPr>
                <w:rFonts w:hint="eastAsia" w:ascii="宋体" w:hAnsi="宋体" w:cs="宋体"/>
                <w:color w:val="000000" w:themeColor="text1"/>
                <w:sz w:val="24"/>
                <w14:textFill>
                  <w14:solidFill>
                    <w14:schemeClr w14:val="tx1"/>
                  </w14:solidFill>
                </w14:textFill>
              </w:rPr>
            </w:pPr>
          </w:p>
          <w:p w14:paraId="2ACE5478">
            <w:pPr>
              <w:adjustRightInd w:val="0"/>
              <w:snapToGrid w:val="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要素</w:t>
            </w:r>
          </w:p>
        </w:tc>
        <w:tc>
          <w:tcPr>
            <w:tcW w:w="1548" w:type="dxa"/>
            <w:vAlign w:val="center"/>
          </w:tcPr>
          <w:p w14:paraId="488B5AA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排放口(编号、名称)/污染源</w:t>
            </w:r>
          </w:p>
        </w:tc>
        <w:tc>
          <w:tcPr>
            <w:tcW w:w="1287" w:type="dxa"/>
            <w:vAlign w:val="center"/>
          </w:tcPr>
          <w:p w14:paraId="2520C6E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污染物</w:t>
            </w:r>
          </w:p>
          <w:p w14:paraId="757C5646">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w:t>
            </w:r>
          </w:p>
        </w:tc>
        <w:tc>
          <w:tcPr>
            <w:tcW w:w="2835" w:type="dxa"/>
            <w:vAlign w:val="center"/>
          </w:tcPr>
          <w:p w14:paraId="3E06B603">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环境保护措施</w:t>
            </w:r>
          </w:p>
        </w:tc>
        <w:tc>
          <w:tcPr>
            <w:tcW w:w="2006" w:type="dxa"/>
            <w:vAlign w:val="center"/>
          </w:tcPr>
          <w:p w14:paraId="2281713A">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执行标准</w:t>
            </w:r>
          </w:p>
        </w:tc>
      </w:tr>
      <w:tr w14:paraId="542D8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1124" w:type="dxa"/>
            <w:vMerge w:val="restart"/>
            <w:tcBorders>
              <w:bottom w:val="single" w:color="auto" w:sz="4" w:space="0"/>
            </w:tcBorders>
            <w:vAlign w:val="center"/>
          </w:tcPr>
          <w:p w14:paraId="160FF68F">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大气</w:t>
            </w:r>
          </w:p>
          <w:p w14:paraId="7D729347">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w:t>
            </w:r>
          </w:p>
        </w:tc>
        <w:tc>
          <w:tcPr>
            <w:tcW w:w="1548" w:type="dxa"/>
            <w:vAlign w:val="center"/>
          </w:tcPr>
          <w:p w14:paraId="2F890800">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煤炭储存及装载粉尘</w:t>
            </w:r>
          </w:p>
        </w:tc>
        <w:tc>
          <w:tcPr>
            <w:tcW w:w="1287" w:type="dxa"/>
            <w:vAlign w:val="center"/>
          </w:tcPr>
          <w:p w14:paraId="3704AF8F">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颗粒物</w:t>
            </w:r>
          </w:p>
        </w:tc>
        <w:tc>
          <w:tcPr>
            <w:tcW w:w="2835" w:type="dxa"/>
            <w:vAlign w:val="center"/>
          </w:tcPr>
          <w:p w14:paraId="49CFC655">
            <w:pPr>
              <w:adjustRightInd w:val="0"/>
              <w:snapToGrid w:val="0"/>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设备及煤棚全封闭，煤棚顶部设施喷淋抑尘系统；煤棚安装视频监控设施，并与环保部门平台联网。</w:t>
            </w:r>
          </w:p>
        </w:tc>
        <w:tc>
          <w:tcPr>
            <w:tcW w:w="2006" w:type="dxa"/>
            <w:vMerge w:val="restart"/>
            <w:vAlign w:val="center"/>
          </w:tcPr>
          <w:p w14:paraId="42F88C5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《煤炭工业污染物排放标准》（GB20426-2006）表 5 煤炭工业无组织排放限值要求</w:t>
            </w:r>
          </w:p>
        </w:tc>
      </w:tr>
      <w:tr w14:paraId="4C1F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7246CA30">
            <w:pPr>
              <w:adjustRightInd w:val="0"/>
              <w:snapToGrid w:val="0"/>
              <w:jc w:val="center"/>
              <w:rPr>
                <w:rFonts w:hint="eastAsia" w:ascii="宋体" w:hAnsi="宋体" w:cs="宋体"/>
                <w:color w:val="000000" w:themeColor="text1"/>
                <w:sz w:val="24"/>
                <w14:textFill>
                  <w14:solidFill>
                    <w14:schemeClr w14:val="tx1"/>
                  </w14:solidFill>
                </w14:textFill>
              </w:rPr>
            </w:pPr>
          </w:p>
        </w:tc>
        <w:tc>
          <w:tcPr>
            <w:tcW w:w="1548" w:type="dxa"/>
            <w:vAlign w:val="center"/>
          </w:tcPr>
          <w:p w14:paraId="20C787E1">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厂区道路运输扬尘</w:t>
            </w:r>
          </w:p>
        </w:tc>
        <w:tc>
          <w:tcPr>
            <w:tcW w:w="1287" w:type="dxa"/>
            <w:vAlign w:val="center"/>
          </w:tcPr>
          <w:p w14:paraId="21B480B5">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颗粒物</w:t>
            </w:r>
          </w:p>
        </w:tc>
        <w:tc>
          <w:tcPr>
            <w:tcW w:w="2835" w:type="dxa"/>
            <w:vAlign w:val="center"/>
          </w:tcPr>
          <w:p w14:paraId="24BA5B8C">
            <w:pPr>
              <w:adjustRightInd w:val="0"/>
              <w:snapToGrid w:val="0"/>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场内道路绿化，封闭运输，定期洒水，厂区地面及进出厂区道路混凝土硬化；运输车辆要严密遮盖， 减少物料散落。</w:t>
            </w:r>
          </w:p>
        </w:tc>
        <w:tc>
          <w:tcPr>
            <w:tcW w:w="2006" w:type="dxa"/>
            <w:vMerge w:val="continue"/>
            <w:vAlign w:val="center"/>
          </w:tcPr>
          <w:p w14:paraId="1C56E1C1">
            <w:pPr>
              <w:pStyle w:val="52"/>
              <w:rPr>
                <w:color w:val="000000" w:themeColor="text1"/>
                <w14:textFill>
                  <w14:solidFill>
                    <w14:schemeClr w14:val="tx1"/>
                  </w14:solidFill>
                </w14:textFill>
              </w:rPr>
            </w:pPr>
          </w:p>
        </w:tc>
      </w:tr>
      <w:tr w14:paraId="454B6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124" w:type="dxa"/>
            <w:vMerge w:val="restart"/>
            <w:vAlign w:val="center"/>
          </w:tcPr>
          <w:p w14:paraId="6A8EBA4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地表水环境</w:t>
            </w:r>
          </w:p>
        </w:tc>
        <w:tc>
          <w:tcPr>
            <w:tcW w:w="1548" w:type="dxa"/>
            <w:vAlign w:val="center"/>
          </w:tcPr>
          <w:p w14:paraId="008C60D4">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生活污水</w:t>
            </w:r>
          </w:p>
        </w:tc>
        <w:tc>
          <w:tcPr>
            <w:tcW w:w="6128" w:type="dxa"/>
            <w:gridSpan w:val="3"/>
            <w:vMerge w:val="restart"/>
            <w:vAlign w:val="center"/>
          </w:tcPr>
          <w:p w14:paraId="246B593E">
            <w:pPr>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项目抑尘用水全部蒸发损耗；不新增劳动定员，无新增生活废水。</w:t>
            </w:r>
          </w:p>
        </w:tc>
      </w:tr>
      <w:tr w14:paraId="52C71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124" w:type="dxa"/>
            <w:vMerge w:val="continue"/>
            <w:vAlign w:val="center"/>
          </w:tcPr>
          <w:p w14:paraId="79343C35">
            <w:pPr>
              <w:adjustRightInd w:val="0"/>
              <w:snapToGrid w:val="0"/>
              <w:jc w:val="center"/>
              <w:rPr>
                <w:rFonts w:hint="eastAsia" w:ascii="宋体" w:hAnsi="宋体" w:cs="宋体"/>
                <w:color w:val="000000" w:themeColor="text1"/>
                <w:sz w:val="24"/>
                <w14:textFill>
                  <w14:solidFill>
                    <w14:schemeClr w14:val="tx1"/>
                  </w14:solidFill>
                </w14:textFill>
              </w:rPr>
            </w:pPr>
          </w:p>
        </w:tc>
        <w:tc>
          <w:tcPr>
            <w:tcW w:w="1548" w:type="dxa"/>
            <w:vAlign w:val="center"/>
          </w:tcPr>
          <w:p w14:paraId="63F6C446">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生产</w:t>
            </w:r>
            <w:r>
              <w:rPr>
                <w:color w:val="000000" w:themeColor="text1"/>
                <w:sz w:val="24"/>
                <w14:textFill>
                  <w14:solidFill>
                    <w14:schemeClr w14:val="tx1"/>
                  </w14:solidFill>
                </w14:textFill>
              </w:rPr>
              <w:t>废水</w:t>
            </w:r>
          </w:p>
        </w:tc>
        <w:tc>
          <w:tcPr>
            <w:tcW w:w="6128" w:type="dxa"/>
            <w:gridSpan w:val="3"/>
            <w:vMerge w:val="continue"/>
            <w:vAlign w:val="center"/>
          </w:tcPr>
          <w:p w14:paraId="0CD4978F">
            <w:pPr>
              <w:adjustRightInd w:val="0"/>
              <w:snapToGrid w:val="0"/>
              <w:rPr>
                <w:color w:val="000000" w:themeColor="text1"/>
                <w:sz w:val="24"/>
                <w14:textFill>
                  <w14:solidFill>
                    <w14:schemeClr w14:val="tx1"/>
                  </w14:solidFill>
                </w14:textFill>
              </w:rPr>
            </w:pPr>
          </w:p>
        </w:tc>
      </w:tr>
      <w:tr w14:paraId="43E4A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1124" w:type="dxa"/>
            <w:vAlign w:val="center"/>
          </w:tcPr>
          <w:p w14:paraId="3A1EAD1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声环境</w:t>
            </w:r>
          </w:p>
        </w:tc>
        <w:tc>
          <w:tcPr>
            <w:tcW w:w="1548" w:type="dxa"/>
            <w:vAlign w:val="center"/>
          </w:tcPr>
          <w:p w14:paraId="45E43D34">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生产设备</w:t>
            </w:r>
          </w:p>
        </w:tc>
        <w:tc>
          <w:tcPr>
            <w:tcW w:w="1287" w:type="dxa"/>
            <w:vAlign w:val="center"/>
          </w:tcPr>
          <w:p w14:paraId="600CBD8B">
            <w:pPr>
              <w:adjustRightInd w:val="0"/>
              <w:snapToGrid w:val="0"/>
              <w:jc w:val="center"/>
              <w:rPr>
                <w:rFonts w:hint="eastAsia"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等效连续A声级</w:t>
            </w:r>
          </w:p>
        </w:tc>
        <w:tc>
          <w:tcPr>
            <w:tcW w:w="2835" w:type="dxa"/>
            <w:vAlign w:val="center"/>
          </w:tcPr>
          <w:p w14:paraId="63D06C8A">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合理规划项目场地道路交通， 加强管理，采用低噪声、低能耗设备</w:t>
            </w:r>
          </w:p>
        </w:tc>
        <w:tc>
          <w:tcPr>
            <w:tcW w:w="2006" w:type="dxa"/>
            <w:vAlign w:val="center"/>
          </w:tcPr>
          <w:p w14:paraId="4DE0CB50">
            <w:pPr>
              <w:adjustRightInd w:val="0"/>
              <w:snapToGrid w:val="0"/>
              <w:rPr>
                <w:rFonts w:hint="eastAsia"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《工业企业厂界环境噪声排放标准》</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GB12348-2008</w:t>
            </w:r>
            <w:r>
              <w:rPr>
                <w:rFonts w:hint="eastAsia"/>
                <w:color w:val="000000" w:themeColor="text1"/>
                <w:sz w:val="24"/>
                <w14:textFill>
                  <w14:solidFill>
                    <w14:schemeClr w14:val="tx1"/>
                  </w14:solidFill>
                </w14:textFill>
              </w:rPr>
              <w:t>）2类</w:t>
            </w:r>
            <w:r>
              <w:rPr>
                <w:color w:val="000000" w:themeColor="text1"/>
                <w:sz w:val="24"/>
                <w14:textFill>
                  <w14:solidFill>
                    <w14:schemeClr w14:val="tx1"/>
                  </w14:solidFill>
                </w14:textFill>
              </w:rPr>
              <w:t>标准</w:t>
            </w:r>
          </w:p>
        </w:tc>
      </w:tr>
      <w:tr w14:paraId="2B9A5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9" w:hRule="atLeast"/>
          <w:jc w:val="center"/>
        </w:trPr>
        <w:tc>
          <w:tcPr>
            <w:tcW w:w="1124" w:type="dxa"/>
            <w:vAlign w:val="center"/>
          </w:tcPr>
          <w:p w14:paraId="36B8C9AA">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电磁</w:t>
            </w:r>
          </w:p>
          <w:p w14:paraId="6A1D4B55">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辐射</w:t>
            </w:r>
          </w:p>
        </w:tc>
        <w:tc>
          <w:tcPr>
            <w:tcW w:w="1548" w:type="dxa"/>
            <w:vAlign w:val="center"/>
          </w:tcPr>
          <w:p w14:paraId="00DFEE26">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1287" w:type="dxa"/>
            <w:vAlign w:val="center"/>
          </w:tcPr>
          <w:p w14:paraId="29BFDB5B">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835" w:type="dxa"/>
            <w:vAlign w:val="center"/>
          </w:tcPr>
          <w:p w14:paraId="404F0AB3">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006" w:type="dxa"/>
            <w:vAlign w:val="center"/>
          </w:tcPr>
          <w:p w14:paraId="335A55CC">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r>
      <w:tr w14:paraId="45DB6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1124" w:type="dxa"/>
            <w:vAlign w:val="center"/>
          </w:tcPr>
          <w:p w14:paraId="5A083221">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固体</w:t>
            </w:r>
          </w:p>
          <w:p w14:paraId="0777FBC0">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废物</w:t>
            </w:r>
          </w:p>
        </w:tc>
        <w:tc>
          <w:tcPr>
            <w:tcW w:w="7676" w:type="dxa"/>
            <w:gridSpan w:val="4"/>
            <w:vAlign w:val="center"/>
          </w:tcPr>
          <w:p w14:paraId="48246C7B">
            <w:pPr>
              <w:adjustRightInd w:val="0"/>
              <w:snapToGrid w:val="0"/>
              <w:spacing w:line="44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项目为煤棚扩建项目，不涉及生产设备，因此运营期无新增危废及一般固废产生。</w:t>
            </w:r>
          </w:p>
          <w:p w14:paraId="5868C1B0">
            <w:pPr>
              <w:adjustRightInd w:val="0"/>
              <w:snapToGrid w:val="0"/>
              <w:spacing w:line="44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生活垃圾：本次不新增劳动定员，无新增生活垃圾。</w:t>
            </w:r>
          </w:p>
        </w:tc>
      </w:tr>
      <w:tr w14:paraId="037A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1124" w:type="dxa"/>
            <w:vAlign w:val="center"/>
          </w:tcPr>
          <w:p w14:paraId="0D4EC2E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土壤及地下水污染防治措施</w:t>
            </w:r>
          </w:p>
        </w:tc>
        <w:tc>
          <w:tcPr>
            <w:tcW w:w="7676" w:type="dxa"/>
            <w:gridSpan w:val="4"/>
            <w:vAlign w:val="center"/>
          </w:tcPr>
          <w:p w14:paraId="2198DFE2">
            <w:pPr>
              <w:adjustRightInd w:val="0"/>
              <w:snapToGrid w:val="0"/>
              <w:spacing w:line="44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对煤棚地面进行水泥硬化处理，满足简单</w:t>
            </w:r>
            <w:r>
              <w:rPr>
                <w:rFonts w:hint="eastAsia"/>
                <w:color w:val="000000" w:themeColor="text1"/>
                <w:sz w:val="24"/>
                <w:lang w:eastAsia="zh-CN"/>
                <w14:textFill>
                  <w14:solidFill>
                    <w14:schemeClr w14:val="tx1"/>
                  </w14:solidFill>
                </w14:textFill>
              </w:rPr>
              <w:t>防渗</w:t>
            </w:r>
            <w:r>
              <w:rPr>
                <w:rFonts w:hint="eastAsia"/>
                <w:color w:val="000000" w:themeColor="text1"/>
                <w:sz w:val="24"/>
                <w14:textFill>
                  <w14:solidFill>
                    <w14:schemeClr w14:val="tx1"/>
                  </w14:solidFill>
                </w14:textFill>
              </w:rPr>
              <w:t>要求。</w:t>
            </w:r>
          </w:p>
        </w:tc>
      </w:tr>
      <w:tr w14:paraId="67A0E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124" w:type="dxa"/>
            <w:vAlign w:val="center"/>
          </w:tcPr>
          <w:p w14:paraId="7F4628C7">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生态保护措施</w:t>
            </w:r>
          </w:p>
        </w:tc>
        <w:tc>
          <w:tcPr>
            <w:tcW w:w="7676" w:type="dxa"/>
            <w:gridSpan w:val="4"/>
            <w:vAlign w:val="center"/>
          </w:tcPr>
          <w:p w14:paraId="4197623F">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14:paraId="139F7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35" w:hRule="atLeast"/>
          <w:jc w:val="center"/>
        </w:trPr>
        <w:tc>
          <w:tcPr>
            <w:tcW w:w="1124" w:type="dxa"/>
            <w:vAlign w:val="center"/>
          </w:tcPr>
          <w:p w14:paraId="21D28C7D">
            <w:pPr>
              <w:adjustRightInd w:val="0"/>
              <w:snapToGrid w:val="0"/>
              <w:jc w:val="center"/>
              <w:rPr>
                <w:rFonts w:hint="eastAsia"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环境风险防范措施</w:t>
            </w:r>
          </w:p>
        </w:tc>
        <w:tc>
          <w:tcPr>
            <w:tcW w:w="7676" w:type="dxa"/>
            <w:gridSpan w:val="4"/>
            <w:vAlign w:val="center"/>
          </w:tcPr>
          <w:p w14:paraId="25644B0A">
            <w:pPr>
              <w:adjustRightInd w:val="0"/>
              <w:snapToGrid w:val="0"/>
              <w:spacing w:line="440" w:lineRule="exact"/>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根据相关文件及管理部门要求落实风险措施。</w:t>
            </w:r>
            <w:bookmarkStart w:id="22" w:name="_GoBack"/>
            <w:bookmarkEnd w:id="22"/>
          </w:p>
        </w:tc>
      </w:tr>
      <w:tr w14:paraId="24787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1124" w:type="dxa"/>
            <w:vAlign w:val="center"/>
          </w:tcPr>
          <w:p w14:paraId="67C6C3E2">
            <w:pPr>
              <w:adjustRightInd w:val="0"/>
              <w:snapToGrid w:val="0"/>
              <w:jc w:val="center"/>
              <w:rPr>
                <w:rFonts w:hint="eastAsia"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其他环境管理要求</w:t>
            </w:r>
          </w:p>
        </w:tc>
        <w:tc>
          <w:tcPr>
            <w:tcW w:w="7676" w:type="dxa"/>
            <w:gridSpan w:val="4"/>
            <w:vAlign w:val="center"/>
          </w:tcPr>
          <w:p w14:paraId="4F55AA70">
            <w:pPr>
              <w:adjustRightInd w:val="0"/>
              <w:snapToGrid w:val="0"/>
              <w:spacing w:line="360" w:lineRule="exact"/>
              <w:rPr>
                <w:rFonts w:hint="eastAsia" w:ascii="宋体" w:hAnsi="宋体" w:cs="宋体"/>
                <w:color w:val="000000" w:themeColor="text1"/>
                <w:szCs w:val="21"/>
                <w14:textFill>
                  <w14:solidFill>
                    <w14:schemeClr w14:val="tx1"/>
                  </w14:solidFill>
                </w14:textFill>
              </w:rPr>
            </w:pPr>
            <w:r>
              <w:rPr>
                <w:rFonts w:hint="eastAsia"/>
                <w:color w:val="000000" w:themeColor="text1"/>
                <w:sz w:val="24"/>
                <w14:textFill>
                  <w14:solidFill>
                    <w14:schemeClr w14:val="tx1"/>
                  </w14:solidFill>
                </w14:textFill>
              </w:rPr>
              <w:t>建设单位建立环境管理台账记录制度，落实环境管理台账记录的责任单位和责任人，明确工作职责， 并对环境管理台账的真实性、完整性和规范性负责。</w:t>
            </w:r>
          </w:p>
        </w:tc>
      </w:tr>
    </w:tbl>
    <w:p w14:paraId="3C4A82F8">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snapToGrid w:val="0"/>
          <w:color w:val="000000" w:themeColor="text1"/>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1F95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0" w:hRule="atLeast"/>
          <w:jc w:val="center"/>
        </w:trPr>
        <w:tc>
          <w:tcPr>
            <w:tcW w:w="8865" w:type="dxa"/>
          </w:tcPr>
          <w:p w14:paraId="118F48BA">
            <w:pPr>
              <w:spacing w:line="440" w:lineRule="exact"/>
              <w:ind w:firstLine="480" w:firstLineChars="200"/>
              <w:rPr>
                <w:bCs/>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综上所述，</w:t>
            </w:r>
            <w:r>
              <w:rPr>
                <w:rFonts w:hint="eastAsia"/>
                <w:color w:val="000000" w:themeColor="text1"/>
                <w:sz w:val="24"/>
                <w14:textFill>
                  <w14:solidFill>
                    <w14:schemeClr w14:val="tx1"/>
                  </w14:solidFill>
                </w14:textFill>
              </w:rPr>
              <w:t>伊金霍洛旗新街马秦壕鑫源洗煤厂新建储煤棚项目选址不在生态保护红线</w:t>
            </w:r>
            <w:r>
              <w:rPr>
                <w:rFonts w:hint="eastAsia"/>
                <w:bCs/>
                <w:color w:val="000000" w:themeColor="text1"/>
                <w:sz w:val="24"/>
                <w14:textFill>
                  <w14:solidFill>
                    <w14:schemeClr w14:val="tx1"/>
                  </w14:solidFill>
                </w14:textFill>
              </w:rPr>
              <w:t>范围内，工程</w:t>
            </w:r>
            <w:r>
              <w:rPr>
                <w:bCs/>
                <w:color w:val="000000" w:themeColor="text1"/>
                <w:sz w:val="24"/>
                <w14:textFill>
                  <w14:solidFill>
                    <w14:schemeClr w14:val="tx1"/>
                  </w14:solidFill>
                </w14:textFill>
              </w:rPr>
              <w:t>建</w:t>
            </w:r>
            <w:r>
              <w:rPr>
                <w:rFonts w:hint="eastAsia"/>
                <w:bCs/>
                <w:color w:val="000000" w:themeColor="text1"/>
                <w:sz w:val="24"/>
                <w14:textFill>
                  <w14:solidFill>
                    <w14:schemeClr w14:val="tx1"/>
                  </w14:solidFill>
                </w14:textFill>
              </w:rPr>
              <w:t>设符合国家产</w:t>
            </w:r>
            <w:r>
              <w:rPr>
                <w:rFonts w:hint="eastAsia" w:ascii="宋体" w:cs="宋体"/>
                <w:color w:val="000000" w:themeColor="text1"/>
                <w:sz w:val="24"/>
                <w14:textFill>
                  <w14:solidFill>
                    <w14:schemeClr w14:val="tx1"/>
                  </w14:solidFill>
                </w14:textFill>
              </w:rPr>
              <w:t>业政策和“三线一单”及环</w:t>
            </w:r>
            <w:r>
              <w:rPr>
                <w:color w:val="000000" w:themeColor="text1"/>
                <w:sz w:val="24"/>
                <w14:textFill>
                  <w14:solidFill>
                    <w14:schemeClr w14:val="tx1"/>
                  </w14:solidFill>
                </w14:textFill>
              </w:rPr>
              <w:t>境管控要求</w:t>
            </w:r>
            <w:r>
              <w:rPr>
                <w:rFonts w:hint="eastAsia"/>
                <w:color w:val="000000" w:themeColor="text1"/>
                <w:sz w:val="24"/>
                <w14:textFill>
                  <w14:solidFill>
                    <w14:schemeClr w14:val="tx1"/>
                  </w14:solidFill>
                </w14:textFill>
              </w:rPr>
              <w:t>，厂址选择可行；</w:t>
            </w:r>
            <w:r>
              <w:rPr>
                <w:bCs/>
                <w:color w:val="000000" w:themeColor="text1"/>
                <w:sz w:val="24"/>
                <w14:textFill>
                  <w14:solidFill>
                    <w14:schemeClr w14:val="tx1"/>
                  </w14:solidFill>
                </w14:textFill>
              </w:rPr>
              <w:t>项目运营期采取了有效的污染防治措施，</w:t>
            </w:r>
            <w:r>
              <w:rPr>
                <w:rFonts w:hint="eastAsia" w:ascii="宋体" w:cs="宋体"/>
                <w:color w:val="000000" w:themeColor="text1"/>
                <w:sz w:val="24"/>
                <w14:textFill>
                  <w14:solidFill>
                    <w14:schemeClr w14:val="tx1"/>
                  </w14:solidFill>
                </w14:textFill>
              </w:rPr>
              <w:t>污染物能够达标排放</w:t>
            </w:r>
            <w:r>
              <w:rPr>
                <w:rFonts w:hint="eastAsia"/>
                <w:color w:val="000000" w:themeColor="text1"/>
                <w:sz w:val="24"/>
                <w14:textFill>
                  <w14:solidFill>
                    <w14:schemeClr w14:val="tx1"/>
                  </w14:solidFill>
                </w14:textFill>
              </w:rPr>
              <w:t>，</w:t>
            </w:r>
            <w:r>
              <w:rPr>
                <w:rFonts w:hint="eastAsia" w:ascii="宋体" w:cs="宋体"/>
                <w:color w:val="000000" w:themeColor="text1"/>
                <w:sz w:val="24"/>
                <w14:textFill>
                  <w14:solidFill>
                    <w14:schemeClr w14:val="tx1"/>
                  </w14:solidFill>
                </w14:textFill>
              </w:rPr>
              <w:t>项目的建设不会对周围环境产生明显影响，</w:t>
            </w:r>
            <w:r>
              <w:rPr>
                <w:bCs/>
                <w:color w:val="000000" w:themeColor="text1"/>
                <w:sz w:val="24"/>
                <w14:textFill>
                  <w14:solidFill>
                    <w14:schemeClr w14:val="tx1"/>
                  </w14:solidFill>
                </w14:textFill>
              </w:rPr>
              <w:t>满足区域环境质量改善目标管理要求</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从环境保护的角度分析，项目建设可行。</w:t>
            </w:r>
          </w:p>
          <w:p w14:paraId="40E5B8E0">
            <w:pPr>
              <w:spacing w:line="420" w:lineRule="exact"/>
              <w:rPr>
                <w:color w:val="000000" w:themeColor="text1"/>
                <w:sz w:val="24"/>
                <w:szCs w:val="22"/>
                <w14:textFill>
                  <w14:solidFill>
                    <w14:schemeClr w14:val="tx1"/>
                  </w14:solidFill>
                </w14:textFill>
              </w:rPr>
            </w:pPr>
          </w:p>
          <w:p w14:paraId="47F230C8">
            <w:pPr>
              <w:spacing w:line="360" w:lineRule="auto"/>
              <w:rPr>
                <w:color w:val="000000" w:themeColor="text1"/>
                <w:szCs w:val="21"/>
                <w14:textFill>
                  <w14:solidFill>
                    <w14:schemeClr w14:val="tx1"/>
                  </w14:solidFill>
                </w14:textFill>
              </w:rPr>
            </w:pPr>
          </w:p>
          <w:p w14:paraId="31464678">
            <w:pPr>
              <w:spacing w:line="360" w:lineRule="auto"/>
              <w:rPr>
                <w:color w:val="000000" w:themeColor="text1"/>
                <w:szCs w:val="21"/>
                <w14:textFill>
                  <w14:solidFill>
                    <w14:schemeClr w14:val="tx1"/>
                  </w14:solidFill>
                </w14:textFill>
              </w:rPr>
            </w:pPr>
          </w:p>
          <w:p w14:paraId="700A2CF4">
            <w:pPr>
              <w:spacing w:line="360" w:lineRule="auto"/>
              <w:rPr>
                <w:color w:val="000000" w:themeColor="text1"/>
                <w:szCs w:val="21"/>
                <w14:textFill>
                  <w14:solidFill>
                    <w14:schemeClr w14:val="tx1"/>
                  </w14:solidFill>
                </w14:textFill>
              </w:rPr>
            </w:pPr>
          </w:p>
          <w:p w14:paraId="516B71CB">
            <w:pPr>
              <w:spacing w:line="360" w:lineRule="auto"/>
              <w:rPr>
                <w:rFonts w:ascii="宋体" w:cs="宋体"/>
                <w:color w:val="000000" w:themeColor="text1"/>
                <w:sz w:val="24"/>
                <w14:textFill>
                  <w14:solidFill>
                    <w14:schemeClr w14:val="tx1"/>
                  </w14:solidFill>
                </w14:textFill>
              </w:rPr>
            </w:pPr>
          </w:p>
        </w:tc>
      </w:tr>
    </w:tbl>
    <w:p w14:paraId="57EB9399">
      <w:pPr>
        <w:widowControl/>
        <w:jc w:val="left"/>
        <w:rPr>
          <w:color w:val="000000" w:themeColor="text1"/>
          <w14:textFill>
            <w14:solidFill>
              <w14:schemeClr w14:val="tx1"/>
            </w14:solidFill>
          </w14:textFill>
        </w:rPr>
      </w:pPr>
    </w:p>
    <w:sectPr>
      <w:footerReference r:id="rId8" w:type="default"/>
      <w:pgSz w:w="11906" w:h="16838"/>
      <w:pgMar w:top="1531" w:right="1304" w:bottom="1531" w:left="130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8C7CAB-D7E3-4780-A750-7CBB9D9FFB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cript">
    <w:altName w:val="Segoe Script"/>
    <w:panose1 w:val="00000000000000000000"/>
    <w:charset w:val="00"/>
    <w:family w:val="script"/>
    <w:pitch w:val="default"/>
    <w:sig w:usb0="00000000" w:usb1="00000000" w:usb2="00000000" w:usb3="00000000" w:csb0="00040001" w:csb1="00000000"/>
  </w:font>
  <w:font w:name="Segoe Script">
    <w:panose1 w:val="030B0504020000000003"/>
    <w:charset w:val="00"/>
    <w:family w:val="auto"/>
    <w:pitch w:val="default"/>
    <w:sig w:usb0="0000028F" w:usb1="00000000" w:usb2="00000000" w:usb3="00000000" w:csb0="0000009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embedRegular r:id="rId2" w:fontKey="{21BEE63E-F8FD-4D5A-A106-D65B78CADA18}"/>
  </w:font>
  <w:font w:name="Cambria Math">
    <w:panose1 w:val="02040503050406030204"/>
    <w:charset w:val="00"/>
    <w:family w:val="roman"/>
    <w:pitch w:val="default"/>
    <w:sig w:usb0="E00006FF" w:usb1="420024FF" w:usb2="02000000" w:usb3="00000000" w:csb0="2000019F" w:csb1="00000000"/>
    <w:embedRegular r:id="rId3" w:fontKey="{CA8A6AAA-F491-4FCE-8517-2076D35CE73F}"/>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F79A">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27</w:t>
    </w:r>
    <w:r>
      <w:rPr>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8583">
    <w:pPr>
      <w:pStyle w:val="15"/>
      <w:framePr w:wrap="around" w:vAnchor="text" w:hAnchor="page" w:x="5926" w:y="-119"/>
      <w:rPr>
        <w:rStyle w:val="31"/>
        <w:sz w:val="22"/>
      </w:rPr>
    </w:pPr>
    <w:r>
      <w:rPr>
        <w:sz w:val="22"/>
      </w:rPr>
      <w:fldChar w:fldCharType="begin"/>
    </w:r>
    <w:r>
      <w:rPr>
        <w:rStyle w:val="31"/>
        <w:sz w:val="22"/>
      </w:rPr>
      <w:instrText xml:space="preserve">PAGE  </w:instrText>
    </w:r>
    <w:r>
      <w:rPr>
        <w:sz w:val="22"/>
      </w:rPr>
      <w:fldChar w:fldCharType="separate"/>
    </w:r>
    <w:r>
      <w:rPr>
        <w:rStyle w:val="31"/>
        <w:sz w:val="22"/>
      </w:rPr>
      <w:t>28</w:t>
    </w:r>
    <w:r>
      <w:rPr>
        <w:sz w:val="22"/>
      </w:rPr>
      <w:fldChar w:fldCharType="end"/>
    </w:r>
  </w:p>
  <w:p w14:paraId="45DFC4A3">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363C6">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53</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929603"/>
    </w:sdtPr>
    <w:sdtEndPr>
      <w:rPr>
        <w:sz w:val="22"/>
        <w:szCs w:val="24"/>
      </w:rPr>
    </w:sdtEndPr>
    <w:sdtContent>
      <w:p w14:paraId="206F0B0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54</w:t>
        </w:r>
        <w:r>
          <w:rPr>
            <w:sz w:val="22"/>
            <w:szCs w:val="24"/>
          </w:rPr>
          <w:fldChar w:fldCharType="end"/>
        </w:r>
      </w:p>
    </w:sdtContent>
  </w:sdt>
  <w:p w14:paraId="5F06633B">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77549">
    <w:pPr>
      <w:pStyle w:val="15"/>
      <w:framePr w:wrap="around" w:vAnchor="text" w:hAnchor="page" w:x="5905" w:y="-301"/>
      <w:jc w:val="center"/>
      <w:rPr>
        <w:rStyle w:val="31"/>
        <w:sz w:val="22"/>
      </w:rPr>
    </w:pPr>
    <w:r>
      <w:rPr>
        <w:sz w:val="22"/>
      </w:rPr>
      <w:fldChar w:fldCharType="begin"/>
    </w:r>
    <w:r>
      <w:rPr>
        <w:rStyle w:val="31"/>
        <w:sz w:val="22"/>
      </w:rPr>
      <w:instrText xml:space="preserve">PAGE  </w:instrText>
    </w:r>
    <w:r>
      <w:rPr>
        <w:sz w:val="22"/>
      </w:rPr>
      <w:fldChar w:fldCharType="separate"/>
    </w:r>
    <w:r>
      <w:rPr>
        <w:rStyle w:val="31"/>
        <w:sz w:val="22"/>
      </w:rPr>
      <w:t>64</w:t>
    </w:r>
    <w:r>
      <w:rPr>
        <w:sz w:val="22"/>
      </w:rPr>
      <w:fldChar w:fldCharType="end"/>
    </w:r>
  </w:p>
  <w:p w14:paraId="4DCB516D">
    <w:pPr>
      <w:pStyle w:val="15"/>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D295">
    <w:pPr>
      <w:pStyle w:val="15"/>
      <w:jc w:val="center"/>
      <w:rPr>
        <w:sz w:val="2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4782"/>
    <w:multiLevelType w:val="singleLevel"/>
    <w:tmpl w:val="952C4782"/>
    <w:lvl w:ilvl="0" w:tentative="0">
      <w:start w:val="1"/>
      <w:numFmt w:val="decimal"/>
      <w:suff w:val="nothing"/>
      <w:lvlText w:val="%1、"/>
      <w:lvlJc w:val="left"/>
    </w:lvl>
  </w:abstractNum>
  <w:abstractNum w:abstractNumId="1">
    <w:nsid w:val="993B9D57"/>
    <w:multiLevelType w:val="singleLevel"/>
    <w:tmpl w:val="993B9D57"/>
    <w:lvl w:ilvl="0" w:tentative="0">
      <w:start w:val="1"/>
      <w:numFmt w:val="decimal"/>
      <w:suff w:val="nothing"/>
      <w:lvlText w:val="%1）"/>
      <w:lvlJc w:val="left"/>
    </w:lvl>
  </w:abstractNum>
  <w:abstractNum w:abstractNumId="2">
    <w:nsid w:val="CD6D76FC"/>
    <w:multiLevelType w:val="singleLevel"/>
    <w:tmpl w:val="CD6D76FC"/>
    <w:lvl w:ilvl="0" w:tentative="0">
      <w:start w:val="3"/>
      <w:numFmt w:val="decimal"/>
      <w:suff w:val="nothing"/>
      <w:lvlText w:val="%1、"/>
      <w:lvlJc w:val="left"/>
    </w:lvl>
  </w:abstractNum>
  <w:abstractNum w:abstractNumId="3">
    <w:nsid w:val="4A003675"/>
    <w:multiLevelType w:val="multilevel"/>
    <w:tmpl w:val="4A00367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MjJhNzI1MTA5ZTFlMGI0ODYxZmU0NDQ0M2VhMTgifQ=="/>
  </w:docVars>
  <w:rsids>
    <w:rsidRoot w:val="00172A27"/>
    <w:rsid w:val="00001655"/>
    <w:rsid w:val="000037F6"/>
    <w:rsid w:val="00004684"/>
    <w:rsid w:val="000060B3"/>
    <w:rsid w:val="000064B9"/>
    <w:rsid w:val="00006EAA"/>
    <w:rsid w:val="00010AE9"/>
    <w:rsid w:val="00011378"/>
    <w:rsid w:val="00011727"/>
    <w:rsid w:val="000124C7"/>
    <w:rsid w:val="00014542"/>
    <w:rsid w:val="000176BB"/>
    <w:rsid w:val="00022A9E"/>
    <w:rsid w:val="000257FA"/>
    <w:rsid w:val="000312AD"/>
    <w:rsid w:val="0003140E"/>
    <w:rsid w:val="00031F7A"/>
    <w:rsid w:val="00032827"/>
    <w:rsid w:val="00032D65"/>
    <w:rsid w:val="000356AA"/>
    <w:rsid w:val="00040983"/>
    <w:rsid w:val="00040B98"/>
    <w:rsid w:val="00042922"/>
    <w:rsid w:val="00042E9B"/>
    <w:rsid w:val="00042F2D"/>
    <w:rsid w:val="0004364B"/>
    <w:rsid w:val="00044451"/>
    <w:rsid w:val="000503A9"/>
    <w:rsid w:val="00051C5D"/>
    <w:rsid w:val="00052230"/>
    <w:rsid w:val="00054F16"/>
    <w:rsid w:val="000556CF"/>
    <w:rsid w:val="0005760D"/>
    <w:rsid w:val="00060970"/>
    <w:rsid w:val="00061B1F"/>
    <w:rsid w:val="00063255"/>
    <w:rsid w:val="00063A30"/>
    <w:rsid w:val="00065205"/>
    <w:rsid w:val="000669AC"/>
    <w:rsid w:val="0006746C"/>
    <w:rsid w:val="00067CE8"/>
    <w:rsid w:val="00070214"/>
    <w:rsid w:val="00071A6C"/>
    <w:rsid w:val="000733C4"/>
    <w:rsid w:val="00073F52"/>
    <w:rsid w:val="00074783"/>
    <w:rsid w:val="00074D1D"/>
    <w:rsid w:val="000766B1"/>
    <w:rsid w:val="000801DF"/>
    <w:rsid w:val="0008070B"/>
    <w:rsid w:val="000810AC"/>
    <w:rsid w:val="00081A02"/>
    <w:rsid w:val="00081B2B"/>
    <w:rsid w:val="00082231"/>
    <w:rsid w:val="00084055"/>
    <w:rsid w:val="00084199"/>
    <w:rsid w:val="000852B3"/>
    <w:rsid w:val="00085382"/>
    <w:rsid w:val="00085A5A"/>
    <w:rsid w:val="00087BCD"/>
    <w:rsid w:val="00092D38"/>
    <w:rsid w:val="0009377B"/>
    <w:rsid w:val="0009534D"/>
    <w:rsid w:val="00096A4F"/>
    <w:rsid w:val="000A20C9"/>
    <w:rsid w:val="000A2357"/>
    <w:rsid w:val="000A4932"/>
    <w:rsid w:val="000A599B"/>
    <w:rsid w:val="000A6C5F"/>
    <w:rsid w:val="000B058F"/>
    <w:rsid w:val="000B2F0B"/>
    <w:rsid w:val="000B3391"/>
    <w:rsid w:val="000B4467"/>
    <w:rsid w:val="000B4DB9"/>
    <w:rsid w:val="000C09AC"/>
    <w:rsid w:val="000C0D67"/>
    <w:rsid w:val="000C2335"/>
    <w:rsid w:val="000C236A"/>
    <w:rsid w:val="000C34EA"/>
    <w:rsid w:val="000C3BEF"/>
    <w:rsid w:val="000C3D2E"/>
    <w:rsid w:val="000C573C"/>
    <w:rsid w:val="000C5FED"/>
    <w:rsid w:val="000C6957"/>
    <w:rsid w:val="000C6A29"/>
    <w:rsid w:val="000C767F"/>
    <w:rsid w:val="000D2BEB"/>
    <w:rsid w:val="000D315C"/>
    <w:rsid w:val="000D3AD2"/>
    <w:rsid w:val="000D3CFA"/>
    <w:rsid w:val="000D5A44"/>
    <w:rsid w:val="000D79D4"/>
    <w:rsid w:val="000E0167"/>
    <w:rsid w:val="000E35DE"/>
    <w:rsid w:val="000E3ED2"/>
    <w:rsid w:val="000E5ABE"/>
    <w:rsid w:val="000F0DE2"/>
    <w:rsid w:val="000F1806"/>
    <w:rsid w:val="000F3E3D"/>
    <w:rsid w:val="000F44BF"/>
    <w:rsid w:val="000F50CE"/>
    <w:rsid w:val="000F714C"/>
    <w:rsid w:val="00100310"/>
    <w:rsid w:val="001003A4"/>
    <w:rsid w:val="0010260D"/>
    <w:rsid w:val="00104F2B"/>
    <w:rsid w:val="00105A02"/>
    <w:rsid w:val="00110DD7"/>
    <w:rsid w:val="00112915"/>
    <w:rsid w:val="001133FB"/>
    <w:rsid w:val="001148E9"/>
    <w:rsid w:val="00114C9C"/>
    <w:rsid w:val="00115D7C"/>
    <w:rsid w:val="00122CF8"/>
    <w:rsid w:val="001247C3"/>
    <w:rsid w:val="00124CD7"/>
    <w:rsid w:val="0012527B"/>
    <w:rsid w:val="00125E63"/>
    <w:rsid w:val="00126C53"/>
    <w:rsid w:val="00131F42"/>
    <w:rsid w:val="0013276F"/>
    <w:rsid w:val="00133AAC"/>
    <w:rsid w:val="00133FA7"/>
    <w:rsid w:val="001357F1"/>
    <w:rsid w:val="0013696F"/>
    <w:rsid w:val="001376AE"/>
    <w:rsid w:val="00137731"/>
    <w:rsid w:val="00140FA8"/>
    <w:rsid w:val="00141703"/>
    <w:rsid w:val="00142140"/>
    <w:rsid w:val="00142FEB"/>
    <w:rsid w:val="00143A2D"/>
    <w:rsid w:val="00143B83"/>
    <w:rsid w:val="00145A41"/>
    <w:rsid w:val="0014708A"/>
    <w:rsid w:val="00147B94"/>
    <w:rsid w:val="0015026A"/>
    <w:rsid w:val="00151675"/>
    <w:rsid w:val="001542E3"/>
    <w:rsid w:val="00154AFB"/>
    <w:rsid w:val="001553C8"/>
    <w:rsid w:val="00156A53"/>
    <w:rsid w:val="00157435"/>
    <w:rsid w:val="00162AE2"/>
    <w:rsid w:val="0016380F"/>
    <w:rsid w:val="001640F9"/>
    <w:rsid w:val="00164C89"/>
    <w:rsid w:val="00165A63"/>
    <w:rsid w:val="00165E3D"/>
    <w:rsid w:val="00166871"/>
    <w:rsid w:val="0016787C"/>
    <w:rsid w:val="00167A0E"/>
    <w:rsid w:val="00172A27"/>
    <w:rsid w:val="001731F7"/>
    <w:rsid w:val="0017504D"/>
    <w:rsid w:val="0017514E"/>
    <w:rsid w:val="00175E85"/>
    <w:rsid w:val="00176120"/>
    <w:rsid w:val="0017671A"/>
    <w:rsid w:val="00177422"/>
    <w:rsid w:val="001774A6"/>
    <w:rsid w:val="00177D44"/>
    <w:rsid w:val="00180070"/>
    <w:rsid w:val="00181E74"/>
    <w:rsid w:val="00183EAA"/>
    <w:rsid w:val="001841FF"/>
    <w:rsid w:val="00184590"/>
    <w:rsid w:val="00185072"/>
    <w:rsid w:val="00185224"/>
    <w:rsid w:val="0018687C"/>
    <w:rsid w:val="0018705C"/>
    <w:rsid w:val="001870D1"/>
    <w:rsid w:val="00187427"/>
    <w:rsid w:val="0018781E"/>
    <w:rsid w:val="0018796B"/>
    <w:rsid w:val="00190402"/>
    <w:rsid w:val="00190A74"/>
    <w:rsid w:val="00190CA7"/>
    <w:rsid w:val="001915DA"/>
    <w:rsid w:val="0019262D"/>
    <w:rsid w:val="00192CB1"/>
    <w:rsid w:val="00193B27"/>
    <w:rsid w:val="00193D59"/>
    <w:rsid w:val="00195B45"/>
    <w:rsid w:val="00196444"/>
    <w:rsid w:val="00196622"/>
    <w:rsid w:val="001A1115"/>
    <w:rsid w:val="001A144D"/>
    <w:rsid w:val="001A1B35"/>
    <w:rsid w:val="001A3DF8"/>
    <w:rsid w:val="001A3F64"/>
    <w:rsid w:val="001A48A2"/>
    <w:rsid w:val="001A50E8"/>
    <w:rsid w:val="001A5BD3"/>
    <w:rsid w:val="001A5E62"/>
    <w:rsid w:val="001A6F61"/>
    <w:rsid w:val="001A7089"/>
    <w:rsid w:val="001B2657"/>
    <w:rsid w:val="001B4311"/>
    <w:rsid w:val="001B5247"/>
    <w:rsid w:val="001B565E"/>
    <w:rsid w:val="001B5A05"/>
    <w:rsid w:val="001B72B8"/>
    <w:rsid w:val="001B7E81"/>
    <w:rsid w:val="001C066E"/>
    <w:rsid w:val="001C4BD1"/>
    <w:rsid w:val="001C5609"/>
    <w:rsid w:val="001C69B3"/>
    <w:rsid w:val="001D3B83"/>
    <w:rsid w:val="001D3D60"/>
    <w:rsid w:val="001D4A0E"/>
    <w:rsid w:val="001D4C79"/>
    <w:rsid w:val="001D4C7E"/>
    <w:rsid w:val="001D5595"/>
    <w:rsid w:val="001D6E84"/>
    <w:rsid w:val="001D7874"/>
    <w:rsid w:val="001D7F22"/>
    <w:rsid w:val="001F0F17"/>
    <w:rsid w:val="001F3190"/>
    <w:rsid w:val="001F3347"/>
    <w:rsid w:val="001F69E4"/>
    <w:rsid w:val="001F7653"/>
    <w:rsid w:val="001F7905"/>
    <w:rsid w:val="002014CB"/>
    <w:rsid w:val="00201CC9"/>
    <w:rsid w:val="002023CC"/>
    <w:rsid w:val="00202720"/>
    <w:rsid w:val="00203259"/>
    <w:rsid w:val="0020430B"/>
    <w:rsid w:val="00206E8E"/>
    <w:rsid w:val="00207B95"/>
    <w:rsid w:val="00210019"/>
    <w:rsid w:val="002125B4"/>
    <w:rsid w:val="002138B9"/>
    <w:rsid w:val="00213E35"/>
    <w:rsid w:val="002155B8"/>
    <w:rsid w:val="00220EBF"/>
    <w:rsid w:val="0022135D"/>
    <w:rsid w:val="00222BCF"/>
    <w:rsid w:val="00222F0B"/>
    <w:rsid w:val="00224839"/>
    <w:rsid w:val="002249B2"/>
    <w:rsid w:val="00226574"/>
    <w:rsid w:val="002278EC"/>
    <w:rsid w:val="00230E3F"/>
    <w:rsid w:val="002322D8"/>
    <w:rsid w:val="0023280E"/>
    <w:rsid w:val="0023400C"/>
    <w:rsid w:val="0023680F"/>
    <w:rsid w:val="00236ECE"/>
    <w:rsid w:val="002377D1"/>
    <w:rsid w:val="00243117"/>
    <w:rsid w:val="00244A81"/>
    <w:rsid w:val="00250239"/>
    <w:rsid w:val="002506BC"/>
    <w:rsid w:val="00250DF0"/>
    <w:rsid w:val="002513FA"/>
    <w:rsid w:val="002516A3"/>
    <w:rsid w:val="00252250"/>
    <w:rsid w:val="002532FD"/>
    <w:rsid w:val="0025342C"/>
    <w:rsid w:val="00254345"/>
    <w:rsid w:val="00254D7C"/>
    <w:rsid w:val="00262564"/>
    <w:rsid w:val="00264557"/>
    <w:rsid w:val="002653DD"/>
    <w:rsid w:val="00265A35"/>
    <w:rsid w:val="00267EDD"/>
    <w:rsid w:val="0027129B"/>
    <w:rsid w:val="00271D4D"/>
    <w:rsid w:val="00272A5C"/>
    <w:rsid w:val="0027348C"/>
    <w:rsid w:val="002734D3"/>
    <w:rsid w:val="00277220"/>
    <w:rsid w:val="002805AB"/>
    <w:rsid w:val="002815F5"/>
    <w:rsid w:val="00281CA0"/>
    <w:rsid w:val="002826EA"/>
    <w:rsid w:val="0028285F"/>
    <w:rsid w:val="00284204"/>
    <w:rsid w:val="0028644D"/>
    <w:rsid w:val="00286570"/>
    <w:rsid w:val="00290744"/>
    <w:rsid w:val="00291773"/>
    <w:rsid w:val="00291908"/>
    <w:rsid w:val="00293FFA"/>
    <w:rsid w:val="002942D0"/>
    <w:rsid w:val="00294CE9"/>
    <w:rsid w:val="00294D12"/>
    <w:rsid w:val="0029556C"/>
    <w:rsid w:val="00296973"/>
    <w:rsid w:val="002A0BE2"/>
    <w:rsid w:val="002A168C"/>
    <w:rsid w:val="002A227D"/>
    <w:rsid w:val="002A26D6"/>
    <w:rsid w:val="002A3DC7"/>
    <w:rsid w:val="002A5E80"/>
    <w:rsid w:val="002A6325"/>
    <w:rsid w:val="002A643E"/>
    <w:rsid w:val="002B0797"/>
    <w:rsid w:val="002B1ECE"/>
    <w:rsid w:val="002B480C"/>
    <w:rsid w:val="002B49E2"/>
    <w:rsid w:val="002B619F"/>
    <w:rsid w:val="002B663F"/>
    <w:rsid w:val="002B75C5"/>
    <w:rsid w:val="002B7B00"/>
    <w:rsid w:val="002B7C44"/>
    <w:rsid w:val="002C0321"/>
    <w:rsid w:val="002C2B17"/>
    <w:rsid w:val="002C2FAF"/>
    <w:rsid w:val="002C3983"/>
    <w:rsid w:val="002C3F2E"/>
    <w:rsid w:val="002C440E"/>
    <w:rsid w:val="002D3229"/>
    <w:rsid w:val="002D3DD0"/>
    <w:rsid w:val="002D6590"/>
    <w:rsid w:val="002D6C38"/>
    <w:rsid w:val="002D75F4"/>
    <w:rsid w:val="002D78B9"/>
    <w:rsid w:val="002E1F3A"/>
    <w:rsid w:val="002E2839"/>
    <w:rsid w:val="002E298A"/>
    <w:rsid w:val="002E4942"/>
    <w:rsid w:val="002E7AD8"/>
    <w:rsid w:val="002F08B1"/>
    <w:rsid w:val="002F2F71"/>
    <w:rsid w:val="002F368D"/>
    <w:rsid w:val="002F7961"/>
    <w:rsid w:val="002F7C11"/>
    <w:rsid w:val="003002D0"/>
    <w:rsid w:val="00300360"/>
    <w:rsid w:val="00300A2C"/>
    <w:rsid w:val="00301978"/>
    <w:rsid w:val="0030332C"/>
    <w:rsid w:val="00304731"/>
    <w:rsid w:val="003051C2"/>
    <w:rsid w:val="00307867"/>
    <w:rsid w:val="00307A87"/>
    <w:rsid w:val="00307BE0"/>
    <w:rsid w:val="0031009E"/>
    <w:rsid w:val="00311B26"/>
    <w:rsid w:val="00311F2B"/>
    <w:rsid w:val="0031201D"/>
    <w:rsid w:val="00312235"/>
    <w:rsid w:val="00312296"/>
    <w:rsid w:val="00312EA6"/>
    <w:rsid w:val="00313BD0"/>
    <w:rsid w:val="00314F0E"/>
    <w:rsid w:val="003159FD"/>
    <w:rsid w:val="00315E74"/>
    <w:rsid w:val="003176C4"/>
    <w:rsid w:val="00321D8E"/>
    <w:rsid w:val="003225E0"/>
    <w:rsid w:val="00325928"/>
    <w:rsid w:val="00326116"/>
    <w:rsid w:val="00327013"/>
    <w:rsid w:val="00330B74"/>
    <w:rsid w:val="00332863"/>
    <w:rsid w:val="003335C9"/>
    <w:rsid w:val="0033462E"/>
    <w:rsid w:val="003350AC"/>
    <w:rsid w:val="00335145"/>
    <w:rsid w:val="0033684D"/>
    <w:rsid w:val="00336A87"/>
    <w:rsid w:val="00337B42"/>
    <w:rsid w:val="00337DB6"/>
    <w:rsid w:val="00340691"/>
    <w:rsid w:val="00341B42"/>
    <w:rsid w:val="0034348F"/>
    <w:rsid w:val="003462EE"/>
    <w:rsid w:val="00351274"/>
    <w:rsid w:val="00352E9B"/>
    <w:rsid w:val="00356653"/>
    <w:rsid w:val="0035743F"/>
    <w:rsid w:val="00357BE2"/>
    <w:rsid w:val="00360418"/>
    <w:rsid w:val="003615CE"/>
    <w:rsid w:val="0036170C"/>
    <w:rsid w:val="003635D3"/>
    <w:rsid w:val="00366E0F"/>
    <w:rsid w:val="003728BD"/>
    <w:rsid w:val="00373C09"/>
    <w:rsid w:val="00373F5F"/>
    <w:rsid w:val="0037483D"/>
    <w:rsid w:val="0037532C"/>
    <w:rsid w:val="00377EDC"/>
    <w:rsid w:val="00381A72"/>
    <w:rsid w:val="00384676"/>
    <w:rsid w:val="0038489D"/>
    <w:rsid w:val="0038617B"/>
    <w:rsid w:val="003863B0"/>
    <w:rsid w:val="00387645"/>
    <w:rsid w:val="00387862"/>
    <w:rsid w:val="003904A0"/>
    <w:rsid w:val="00390857"/>
    <w:rsid w:val="003913CD"/>
    <w:rsid w:val="00392969"/>
    <w:rsid w:val="003930D8"/>
    <w:rsid w:val="003935A5"/>
    <w:rsid w:val="003944CF"/>
    <w:rsid w:val="003949CC"/>
    <w:rsid w:val="00395532"/>
    <w:rsid w:val="00397F15"/>
    <w:rsid w:val="003A0534"/>
    <w:rsid w:val="003A3B69"/>
    <w:rsid w:val="003A4BF3"/>
    <w:rsid w:val="003A4EB1"/>
    <w:rsid w:val="003A6CE0"/>
    <w:rsid w:val="003B097C"/>
    <w:rsid w:val="003B2BD5"/>
    <w:rsid w:val="003B2DC7"/>
    <w:rsid w:val="003B2E10"/>
    <w:rsid w:val="003B420D"/>
    <w:rsid w:val="003C0519"/>
    <w:rsid w:val="003C2383"/>
    <w:rsid w:val="003C2839"/>
    <w:rsid w:val="003C586D"/>
    <w:rsid w:val="003C6552"/>
    <w:rsid w:val="003C6C16"/>
    <w:rsid w:val="003C6E60"/>
    <w:rsid w:val="003D232C"/>
    <w:rsid w:val="003D26B3"/>
    <w:rsid w:val="003D4071"/>
    <w:rsid w:val="003D4A91"/>
    <w:rsid w:val="003D582C"/>
    <w:rsid w:val="003D794D"/>
    <w:rsid w:val="003E07C1"/>
    <w:rsid w:val="003E29DF"/>
    <w:rsid w:val="003E3058"/>
    <w:rsid w:val="003E324A"/>
    <w:rsid w:val="003E6D99"/>
    <w:rsid w:val="003E7375"/>
    <w:rsid w:val="003E76A9"/>
    <w:rsid w:val="003F0063"/>
    <w:rsid w:val="003F0809"/>
    <w:rsid w:val="003F100B"/>
    <w:rsid w:val="003F1122"/>
    <w:rsid w:val="003F140C"/>
    <w:rsid w:val="003F17C4"/>
    <w:rsid w:val="003F24DD"/>
    <w:rsid w:val="003F26B6"/>
    <w:rsid w:val="003F4293"/>
    <w:rsid w:val="003F66BE"/>
    <w:rsid w:val="003F6A8C"/>
    <w:rsid w:val="003F755C"/>
    <w:rsid w:val="003F7A2D"/>
    <w:rsid w:val="00400002"/>
    <w:rsid w:val="00400271"/>
    <w:rsid w:val="004027EE"/>
    <w:rsid w:val="0040457B"/>
    <w:rsid w:val="0040567F"/>
    <w:rsid w:val="00406717"/>
    <w:rsid w:val="00406F01"/>
    <w:rsid w:val="00411326"/>
    <w:rsid w:val="004126DD"/>
    <w:rsid w:val="00416263"/>
    <w:rsid w:val="00416773"/>
    <w:rsid w:val="00416D50"/>
    <w:rsid w:val="00416FD5"/>
    <w:rsid w:val="00417074"/>
    <w:rsid w:val="00417718"/>
    <w:rsid w:val="00417772"/>
    <w:rsid w:val="00420E6A"/>
    <w:rsid w:val="00420F70"/>
    <w:rsid w:val="004239DD"/>
    <w:rsid w:val="00423C9A"/>
    <w:rsid w:val="00425707"/>
    <w:rsid w:val="00425A9E"/>
    <w:rsid w:val="00426D6B"/>
    <w:rsid w:val="004300C6"/>
    <w:rsid w:val="0043026D"/>
    <w:rsid w:val="00431E6C"/>
    <w:rsid w:val="00433CE7"/>
    <w:rsid w:val="00433D6C"/>
    <w:rsid w:val="00435C41"/>
    <w:rsid w:val="00435FE4"/>
    <w:rsid w:val="0043750B"/>
    <w:rsid w:val="0044034B"/>
    <w:rsid w:val="00442B3B"/>
    <w:rsid w:val="00444E1A"/>
    <w:rsid w:val="004450AF"/>
    <w:rsid w:val="00445A97"/>
    <w:rsid w:val="004473E5"/>
    <w:rsid w:val="00450BAA"/>
    <w:rsid w:val="00452738"/>
    <w:rsid w:val="0045429D"/>
    <w:rsid w:val="00455159"/>
    <w:rsid w:val="00456091"/>
    <w:rsid w:val="0045672B"/>
    <w:rsid w:val="00461350"/>
    <w:rsid w:val="004613A8"/>
    <w:rsid w:val="004613F7"/>
    <w:rsid w:val="004628C7"/>
    <w:rsid w:val="0046393F"/>
    <w:rsid w:val="00463B4C"/>
    <w:rsid w:val="0046494E"/>
    <w:rsid w:val="004653E2"/>
    <w:rsid w:val="00466321"/>
    <w:rsid w:val="00467DCC"/>
    <w:rsid w:val="004701C8"/>
    <w:rsid w:val="0047055F"/>
    <w:rsid w:val="0047226C"/>
    <w:rsid w:val="00474A85"/>
    <w:rsid w:val="004755CC"/>
    <w:rsid w:val="00475F6D"/>
    <w:rsid w:val="00483D13"/>
    <w:rsid w:val="00484B9B"/>
    <w:rsid w:val="00484E6B"/>
    <w:rsid w:val="004855F6"/>
    <w:rsid w:val="0048634F"/>
    <w:rsid w:val="0048661E"/>
    <w:rsid w:val="00490CD2"/>
    <w:rsid w:val="00491CCC"/>
    <w:rsid w:val="00492D4F"/>
    <w:rsid w:val="00494670"/>
    <w:rsid w:val="0049477B"/>
    <w:rsid w:val="00495582"/>
    <w:rsid w:val="00495959"/>
    <w:rsid w:val="004A00D5"/>
    <w:rsid w:val="004A25DA"/>
    <w:rsid w:val="004A2820"/>
    <w:rsid w:val="004A3823"/>
    <w:rsid w:val="004A7012"/>
    <w:rsid w:val="004B169A"/>
    <w:rsid w:val="004B4EF0"/>
    <w:rsid w:val="004B6F1C"/>
    <w:rsid w:val="004B7287"/>
    <w:rsid w:val="004C2E7A"/>
    <w:rsid w:val="004C392B"/>
    <w:rsid w:val="004C41B4"/>
    <w:rsid w:val="004C46DF"/>
    <w:rsid w:val="004C5ED5"/>
    <w:rsid w:val="004C7289"/>
    <w:rsid w:val="004D3792"/>
    <w:rsid w:val="004D47D5"/>
    <w:rsid w:val="004D4CD6"/>
    <w:rsid w:val="004D7DA5"/>
    <w:rsid w:val="004E17B9"/>
    <w:rsid w:val="004E2883"/>
    <w:rsid w:val="004E2FDC"/>
    <w:rsid w:val="004E3551"/>
    <w:rsid w:val="004E52A3"/>
    <w:rsid w:val="004E5880"/>
    <w:rsid w:val="004E6946"/>
    <w:rsid w:val="004F05E1"/>
    <w:rsid w:val="004F14C5"/>
    <w:rsid w:val="004F199F"/>
    <w:rsid w:val="004F1AD8"/>
    <w:rsid w:val="004F5B78"/>
    <w:rsid w:val="004F5CA6"/>
    <w:rsid w:val="005039CB"/>
    <w:rsid w:val="0050558F"/>
    <w:rsid w:val="00506286"/>
    <w:rsid w:val="00510813"/>
    <w:rsid w:val="00510E91"/>
    <w:rsid w:val="00511676"/>
    <w:rsid w:val="00511990"/>
    <w:rsid w:val="00511DE0"/>
    <w:rsid w:val="00512609"/>
    <w:rsid w:val="00513537"/>
    <w:rsid w:val="00513E34"/>
    <w:rsid w:val="00514870"/>
    <w:rsid w:val="00514B9B"/>
    <w:rsid w:val="00515545"/>
    <w:rsid w:val="00515871"/>
    <w:rsid w:val="00515F61"/>
    <w:rsid w:val="00517F02"/>
    <w:rsid w:val="00522A21"/>
    <w:rsid w:val="00524303"/>
    <w:rsid w:val="00524C71"/>
    <w:rsid w:val="005258A2"/>
    <w:rsid w:val="005260F2"/>
    <w:rsid w:val="0052692A"/>
    <w:rsid w:val="00527FB5"/>
    <w:rsid w:val="005306CE"/>
    <w:rsid w:val="00530E8B"/>
    <w:rsid w:val="00531E45"/>
    <w:rsid w:val="005331CE"/>
    <w:rsid w:val="00536A22"/>
    <w:rsid w:val="00536DB4"/>
    <w:rsid w:val="00536DBF"/>
    <w:rsid w:val="00537E6D"/>
    <w:rsid w:val="005401AE"/>
    <w:rsid w:val="005403E9"/>
    <w:rsid w:val="00542738"/>
    <w:rsid w:val="00542832"/>
    <w:rsid w:val="00542E07"/>
    <w:rsid w:val="00545424"/>
    <w:rsid w:val="00545899"/>
    <w:rsid w:val="005459C8"/>
    <w:rsid w:val="00553280"/>
    <w:rsid w:val="00553406"/>
    <w:rsid w:val="0055379D"/>
    <w:rsid w:val="00553CD1"/>
    <w:rsid w:val="00554A7B"/>
    <w:rsid w:val="00554B3F"/>
    <w:rsid w:val="0055572C"/>
    <w:rsid w:val="00557EF0"/>
    <w:rsid w:val="0056106A"/>
    <w:rsid w:val="00561D18"/>
    <w:rsid w:val="005634F1"/>
    <w:rsid w:val="00564A01"/>
    <w:rsid w:val="00564F4B"/>
    <w:rsid w:val="00565380"/>
    <w:rsid w:val="00566A9D"/>
    <w:rsid w:val="00566E32"/>
    <w:rsid w:val="0056715B"/>
    <w:rsid w:val="00567B59"/>
    <w:rsid w:val="00571172"/>
    <w:rsid w:val="005720AE"/>
    <w:rsid w:val="00574FDA"/>
    <w:rsid w:val="00575080"/>
    <w:rsid w:val="00576CA8"/>
    <w:rsid w:val="00580AAF"/>
    <w:rsid w:val="00581F70"/>
    <w:rsid w:val="00584983"/>
    <w:rsid w:val="0058633A"/>
    <w:rsid w:val="00586599"/>
    <w:rsid w:val="00586B5E"/>
    <w:rsid w:val="00587A3D"/>
    <w:rsid w:val="00587B93"/>
    <w:rsid w:val="0059069E"/>
    <w:rsid w:val="00590E8F"/>
    <w:rsid w:val="0059115D"/>
    <w:rsid w:val="00591F26"/>
    <w:rsid w:val="00592A98"/>
    <w:rsid w:val="00592FD9"/>
    <w:rsid w:val="00594D77"/>
    <w:rsid w:val="0059661A"/>
    <w:rsid w:val="005969CD"/>
    <w:rsid w:val="005969E4"/>
    <w:rsid w:val="005975C2"/>
    <w:rsid w:val="00597F47"/>
    <w:rsid w:val="005A06B7"/>
    <w:rsid w:val="005A1759"/>
    <w:rsid w:val="005A5884"/>
    <w:rsid w:val="005A68A7"/>
    <w:rsid w:val="005A6DCD"/>
    <w:rsid w:val="005B119F"/>
    <w:rsid w:val="005B39A8"/>
    <w:rsid w:val="005B3E86"/>
    <w:rsid w:val="005B45A8"/>
    <w:rsid w:val="005B506C"/>
    <w:rsid w:val="005B5A67"/>
    <w:rsid w:val="005B7C0C"/>
    <w:rsid w:val="005C2C63"/>
    <w:rsid w:val="005C3955"/>
    <w:rsid w:val="005C6204"/>
    <w:rsid w:val="005C699E"/>
    <w:rsid w:val="005D2334"/>
    <w:rsid w:val="005D292C"/>
    <w:rsid w:val="005D36AB"/>
    <w:rsid w:val="005D554F"/>
    <w:rsid w:val="005D6992"/>
    <w:rsid w:val="005D6AAF"/>
    <w:rsid w:val="005D6D64"/>
    <w:rsid w:val="005E0053"/>
    <w:rsid w:val="005E028C"/>
    <w:rsid w:val="005E0A0F"/>
    <w:rsid w:val="005E27C0"/>
    <w:rsid w:val="005E2AEE"/>
    <w:rsid w:val="005E3DCD"/>
    <w:rsid w:val="005E3FE8"/>
    <w:rsid w:val="005E6ACA"/>
    <w:rsid w:val="005F0BDF"/>
    <w:rsid w:val="005F330F"/>
    <w:rsid w:val="005F3459"/>
    <w:rsid w:val="005F38A0"/>
    <w:rsid w:val="005F4680"/>
    <w:rsid w:val="005F4990"/>
    <w:rsid w:val="005F5358"/>
    <w:rsid w:val="00600915"/>
    <w:rsid w:val="00602C78"/>
    <w:rsid w:val="00602F78"/>
    <w:rsid w:val="006036E0"/>
    <w:rsid w:val="00604B39"/>
    <w:rsid w:val="00604CC8"/>
    <w:rsid w:val="006077F9"/>
    <w:rsid w:val="00611C2D"/>
    <w:rsid w:val="00612103"/>
    <w:rsid w:val="00612337"/>
    <w:rsid w:val="006129C7"/>
    <w:rsid w:val="006136B1"/>
    <w:rsid w:val="006143E0"/>
    <w:rsid w:val="00617597"/>
    <w:rsid w:val="00617CC3"/>
    <w:rsid w:val="00617E78"/>
    <w:rsid w:val="006218A1"/>
    <w:rsid w:val="006223AF"/>
    <w:rsid w:val="00624DC2"/>
    <w:rsid w:val="00625337"/>
    <w:rsid w:val="006311A5"/>
    <w:rsid w:val="00632C4A"/>
    <w:rsid w:val="00635A3B"/>
    <w:rsid w:val="00636EBA"/>
    <w:rsid w:val="006377A6"/>
    <w:rsid w:val="00637A3D"/>
    <w:rsid w:val="00637FD1"/>
    <w:rsid w:val="006411EF"/>
    <w:rsid w:val="00643237"/>
    <w:rsid w:val="00644928"/>
    <w:rsid w:val="00645C85"/>
    <w:rsid w:val="006465E3"/>
    <w:rsid w:val="00646D77"/>
    <w:rsid w:val="006538FA"/>
    <w:rsid w:val="00662630"/>
    <w:rsid w:val="006629E6"/>
    <w:rsid w:val="00665864"/>
    <w:rsid w:val="00665E23"/>
    <w:rsid w:val="00670001"/>
    <w:rsid w:val="006710C0"/>
    <w:rsid w:val="00672C94"/>
    <w:rsid w:val="00674727"/>
    <w:rsid w:val="006748B8"/>
    <w:rsid w:val="00674FD2"/>
    <w:rsid w:val="006775C3"/>
    <w:rsid w:val="00677B08"/>
    <w:rsid w:val="00680307"/>
    <w:rsid w:val="00680EDD"/>
    <w:rsid w:val="0068137F"/>
    <w:rsid w:val="00681D55"/>
    <w:rsid w:val="006826B1"/>
    <w:rsid w:val="0068549E"/>
    <w:rsid w:val="006868DA"/>
    <w:rsid w:val="006874A9"/>
    <w:rsid w:val="006878CB"/>
    <w:rsid w:val="00691525"/>
    <w:rsid w:val="0069290A"/>
    <w:rsid w:val="006964BB"/>
    <w:rsid w:val="0069775A"/>
    <w:rsid w:val="00697813"/>
    <w:rsid w:val="006A06C8"/>
    <w:rsid w:val="006A27EF"/>
    <w:rsid w:val="006A2ABE"/>
    <w:rsid w:val="006A3EE8"/>
    <w:rsid w:val="006A47FA"/>
    <w:rsid w:val="006A56F3"/>
    <w:rsid w:val="006A72BF"/>
    <w:rsid w:val="006B03F2"/>
    <w:rsid w:val="006B2D9A"/>
    <w:rsid w:val="006B37DC"/>
    <w:rsid w:val="006B4F68"/>
    <w:rsid w:val="006B5560"/>
    <w:rsid w:val="006B681A"/>
    <w:rsid w:val="006B6E34"/>
    <w:rsid w:val="006B7395"/>
    <w:rsid w:val="006C0592"/>
    <w:rsid w:val="006C1539"/>
    <w:rsid w:val="006C272E"/>
    <w:rsid w:val="006C2806"/>
    <w:rsid w:val="006C4A55"/>
    <w:rsid w:val="006C4ADC"/>
    <w:rsid w:val="006C5479"/>
    <w:rsid w:val="006C5B43"/>
    <w:rsid w:val="006C7344"/>
    <w:rsid w:val="006D13B5"/>
    <w:rsid w:val="006D2DEB"/>
    <w:rsid w:val="006D73F8"/>
    <w:rsid w:val="006E0ADB"/>
    <w:rsid w:val="006E0C68"/>
    <w:rsid w:val="006E12FF"/>
    <w:rsid w:val="006E1DC0"/>
    <w:rsid w:val="006E5FB6"/>
    <w:rsid w:val="006E607E"/>
    <w:rsid w:val="006F1887"/>
    <w:rsid w:val="006F3205"/>
    <w:rsid w:val="006F392B"/>
    <w:rsid w:val="006F3CA8"/>
    <w:rsid w:val="006F4330"/>
    <w:rsid w:val="006F43FF"/>
    <w:rsid w:val="006F7A8E"/>
    <w:rsid w:val="00702B43"/>
    <w:rsid w:val="00702EC1"/>
    <w:rsid w:val="0070368E"/>
    <w:rsid w:val="00703B4B"/>
    <w:rsid w:val="00703E89"/>
    <w:rsid w:val="00706A5C"/>
    <w:rsid w:val="00706C5D"/>
    <w:rsid w:val="00707020"/>
    <w:rsid w:val="00707B8F"/>
    <w:rsid w:val="00707E4B"/>
    <w:rsid w:val="00710B68"/>
    <w:rsid w:val="0071101F"/>
    <w:rsid w:val="00713341"/>
    <w:rsid w:val="0071595F"/>
    <w:rsid w:val="00717446"/>
    <w:rsid w:val="00717F12"/>
    <w:rsid w:val="007206BB"/>
    <w:rsid w:val="00721110"/>
    <w:rsid w:val="0072174C"/>
    <w:rsid w:val="00722978"/>
    <w:rsid w:val="00723D22"/>
    <w:rsid w:val="00723DF5"/>
    <w:rsid w:val="00724C00"/>
    <w:rsid w:val="007253C7"/>
    <w:rsid w:val="007267F9"/>
    <w:rsid w:val="00726A23"/>
    <w:rsid w:val="00727B13"/>
    <w:rsid w:val="007302C6"/>
    <w:rsid w:val="007303AE"/>
    <w:rsid w:val="00731288"/>
    <w:rsid w:val="00732922"/>
    <w:rsid w:val="007379FE"/>
    <w:rsid w:val="00740208"/>
    <w:rsid w:val="00740AE6"/>
    <w:rsid w:val="00745458"/>
    <w:rsid w:val="00746F1A"/>
    <w:rsid w:val="0075080F"/>
    <w:rsid w:val="0075162E"/>
    <w:rsid w:val="007517BD"/>
    <w:rsid w:val="007520DF"/>
    <w:rsid w:val="00754034"/>
    <w:rsid w:val="00754C88"/>
    <w:rsid w:val="00755E2E"/>
    <w:rsid w:val="00756556"/>
    <w:rsid w:val="007565D2"/>
    <w:rsid w:val="007569D7"/>
    <w:rsid w:val="00756CFD"/>
    <w:rsid w:val="0075771B"/>
    <w:rsid w:val="00760A07"/>
    <w:rsid w:val="00760B14"/>
    <w:rsid w:val="00761221"/>
    <w:rsid w:val="007618C4"/>
    <w:rsid w:val="00764028"/>
    <w:rsid w:val="00765597"/>
    <w:rsid w:val="00767980"/>
    <w:rsid w:val="00770B19"/>
    <w:rsid w:val="0077183B"/>
    <w:rsid w:val="0077317E"/>
    <w:rsid w:val="0077463F"/>
    <w:rsid w:val="00776B79"/>
    <w:rsid w:val="00776FB4"/>
    <w:rsid w:val="00781504"/>
    <w:rsid w:val="00782EF1"/>
    <w:rsid w:val="00783080"/>
    <w:rsid w:val="007836EA"/>
    <w:rsid w:val="00784CDA"/>
    <w:rsid w:val="007853C4"/>
    <w:rsid w:val="00785E48"/>
    <w:rsid w:val="007906C4"/>
    <w:rsid w:val="00790D11"/>
    <w:rsid w:val="00790FD9"/>
    <w:rsid w:val="00791276"/>
    <w:rsid w:val="00792133"/>
    <w:rsid w:val="007940EA"/>
    <w:rsid w:val="007965DB"/>
    <w:rsid w:val="007967E8"/>
    <w:rsid w:val="007971C8"/>
    <w:rsid w:val="0079769C"/>
    <w:rsid w:val="007977BC"/>
    <w:rsid w:val="007A0623"/>
    <w:rsid w:val="007A1D46"/>
    <w:rsid w:val="007A2170"/>
    <w:rsid w:val="007A22BF"/>
    <w:rsid w:val="007A3323"/>
    <w:rsid w:val="007A46CF"/>
    <w:rsid w:val="007A4C28"/>
    <w:rsid w:val="007A7A08"/>
    <w:rsid w:val="007B0C27"/>
    <w:rsid w:val="007B32E0"/>
    <w:rsid w:val="007B72B8"/>
    <w:rsid w:val="007B7447"/>
    <w:rsid w:val="007B7A58"/>
    <w:rsid w:val="007C117E"/>
    <w:rsid w:val="007C21B5"/>
    <w:rsid w:val="007C21EA"/>
    <w:rsid w:val="007C269A"/>
    <w:rsid w:val="007C2BBE"/>
    <w:rsid w:val="007C443E"/>
    <w:rsid w:val="007C4CFC"/>
    <w:rsid w:val="007C4ECF"/>
    <w:rsid w:val="007D032D"/>
    <w:rsid w:val="007D3289"/>
    <w:rsid w:val="007D3E45"/>
    <w:rsid w:val="007D4879"/>
    <w:rsid w:val="007D5CCB"/>
    <w:rsid w:val="007D699C"/>
    <w:rsid w:val="007E0A73"/>
    <w:rsid w:val="007E1ED3"/>
    <w:rsid w:val="007E4BD2"/>
    <w:rsid w:val="007F07E7"/>
    <w:rsid w:val="007F4E21"/>
    <w:rsid w:val="007F5084"/>
    <w:rsid w:val="007F6580"/>
    <w:rsid w:val="007F78D3"/>
    <w:rsid w:val="007F7AFB"/>
    <w:rsid w:val="00800396"/>
    <w:rsid w:val="008005B2"/>
    <w:rsid w:val="008007D7"/>
    <w:rsid w:val="00801393"/>
    <w:rsid w:val="00801C27"/>
    <w:rsid w:val="00802F88"/>
    <w:rsid w:val="00803D8A"/>
    <w:rsid w:val="00803F48"/>
    <w:rsid w:val="00807113"/>
    <w:rsid w:val="00807B52"/>
    <w:rsid w:val="008106AF"/>
    <w:rsid w:val="0081076C"/>
    <w:rsid w:val="0081173B"/>
    <w:rsid w:val="0081293E"/>
    <w:rsid w:val="00812AF3"/>
    <w:rsid w:val="00812D4F"/>
    <w:rsid w:val="00813003"/>
    <w:rsid w:val="00814B83"/>
    <w:rsid w:val="00814FA5"/>
    <w:rsid w:val="008150A9"/>
    <w:rsid w:val="00815465"/>
    <w:rsid w:val="008168FB"/>
    <w:rsid w:val="00817E9A"/>
    <w:rsid w:val="0082030D"/>
    <w:rsid w:val="008229BB"/>
    <w:rsid w:val="00824DD9"/>
    <w:rsid w:val="008305B3"/>
    <w:rsid w:val="008306BD"/>
    <w:rsid w:val="00830A29"/>
    <w:rsid w:val="0083179C"/>
    <w:rsid w:val="0083183B"/>
    <w:rsid w:val="00831A80"/>
    <w:rsid w:val="00833070"/>
    <w:rsid w:val="00833743"/>
    <w:rsid w:val="008340A4"/>
    <w:rsid w:val="00835364"/>
    <w:rsid w:val="008356D2"/>
    <w:rsid w:val="008359FA"/>
    <w:rsid w:val="00836C28"/>
    <w:rsid w:val="00837EA2"/>
    <w:rsid w:val="00841552"/>
    <w:rsid w:val="00841D88"/>
    <w:rsid w:val="0084564B"/>
    <w:rsid w:val="00845DF9"/>
    <w:rsid w:val="00846D6B"/>
    <w:rsid w:val="008473A1"/>
    <w:rsid w:val="00847FB5"/>
    <w:rsid w:val="008531EB"/>
    <w:rsid w:val="008538AA"/>
    <w:rsid w:val="00856215"/>
    <w:rsid w:val="0087135F"/>
    <w:rsid w:val="00872486"/>
    <w:rsid w:val="00872D94"/>
    <w:rsid w:val="00876B97"/>
    <w:rsid w:val="00876D17"/>
    <w:rsid w:val="00880364"/>
    <w:rsid w:val="00881F3B"/>
    <w:rsid w:val="008831F3"/>
    <w:rsid w:val="0088325F"/>
    <w:rsid w:val="0088444F"/>
    <w:rsid w:val="00886ADE"/>
    <w:rsid w:val="00886CCF"/>
    <w:rsid w:val="008905B4"/>
    <w:rsid w:val="00890852"/>
    <w:rsid w:val="00891066"/>
    <w:rsid w:val="00891592"/>
    <w:rsid w:val="00891711"/>
    <w:rsid w:val="00891E9E"/>
    <w:rsid w:val="00893D48"/>
    <w:rsid w:val="008973CE"/>
    <w:rsid w:val="00897483"/>
    <w:rsid w:val="008A1577"/>
    <w:rsid w:val="008A2F68"/>
    <w:rsid w:val="008A3E01"/>
    <w:rsid w:val="008A48BE"/>
    <w:rsid w:val="008A656E"/>
    <w:rsid w:val="008A79F0"/>
    <w:rsid w:val="008A7D55"/>
    <w:rsid w:val="008B04D5"/>
    <w:rsid w:val="008B11A8"/>
    <w:rsid w:val="008B281C"/>
    <w:rsid w:val="008B384C"/>
    <w:rsid w:val="008B3C09"/>
    <w:rsid w:val="008B4FA6"/>
    <w:rsid w:val="008B5282"/>
    <w:rsid w:val="008B6332"/>
    <w:rsid w:val="008B7C17"/>
    <w:rsid w:val="008C0EDD"/>
    <w:rsid w:val="008C2D01"/>
    <w:rsid w:val="008C40E6"/>
    <w:rsid w:val="008C4E90"/>
    <w:rsid w:val="008C550C"/>
    <w:rsid w:val="008C6E8E"/>
    <w:rsid w:val="008C7079"/>
    <w:rsid w:val="008D0B76"/>
    <w:rsid w:val="008D0F7A"/>
    <w:rsid w:val="008D1DA6"/>
    <w:rsid w:val="008D5170"/>
    <w:rsid w:val="008D5457"/>
    <w:rsid w:val="008D56E5"/>
    <w:rsid w:val="008D68E4"/>
    <w:rsid w:val="008E0506"/>
    <w:rsid w:val="008E0547"/>
    <w:rsid w:val="008E0CFF"/>
    <w:rsid w:val="008E323A"/>
    <w:rsid w:val="008E342B"/>
    <w:rsid w:val="008E452B"/>
    <w:rsid w:val="008E5D6B"/>
    <w:rsid w:val="008E6292"/>
    <w:rsid w:val="008E7532"/>
    <w:rsid w:val="008E76F0"/>
    <w:rsid w:val="008F0858"/>
    <w:rsid w:val="008F15FE"/>
    <w:rsid w:val="008F2D29"/>
    <w:rsid w:val="008F3064"/>
    <w:rsid w:val="008F41C0"/>
    <w:rsid w:val="008F4C9E"/>
    <w:rsid w:val="008F5187"/>
    <w:rsid w:val="008F534E"/>
    <w:rsid w:val="008F60D8"/>
    <w:rsid w:val="008F6249"/>
    <w:rsid w:val="008F7D0D"/>
    <w:rsid w:val="00902696"/>
    <w:rsid w:val="00902727"/>
    <w:rsid w:val="0090312B"/>
    <w:rsid w:val="00905A34"/>
    <w:rsid w:val="00905D1D"/>
    <w:rsid w:val="00907004"/>
    <w:rsid w:val="009132E3"/>
    <w:rsid w:val="009145D5"/>
    <w:rsid w:val="00916DC4"/>
    <w:rsid w:val="0091736D"/>
    <w:rsid w:val="00920415"/>
    <w:rsid w:val="00921616"/>
    <w:rsid w:val="009217E7"/>
    <w:rsid w:val="00923040"/>
    <w:rsid w:val="009242D6"/>
    <w:rsid w:val="0092644A"/>
    <w:rsid w:val="00927CE8"/>
    <w:rsid w:val="0093037A"/>
    <w:rsid w:val="00931EE2"/>
    <w:rsid w:val="00933FC8"/>
    <w:rsid w:val="00936943"/>
    <w:rsid w:val="00937B43"/>
    <w:rsid w:val="00937BF1"/>
    <w:rsid w:val="00940433"/>
    <w:rsid w:val="0094154D"/>
    <w:rsid w:val="00944641"/>
    <w:rsid w:val="00944872"/>
    <w:rsid w:val="00944D9A"/>
    <w:rsid w:val="009453CC"/>
    <w:rsid w:val="00946A1D"/>
    <w:rsid w:val="00946C31"/>
    <w:rsid w:val="00950FF0"/>
    <w:rsid w:val="0095155F"/>
    <w:rsid w:val="00953042"/>
    <w:rsid w:val="00953064"/>
    <w:rsid w:val="00954429"/>
    <w:rsid w:val="00954E4C"/>
    <w:rsid w:val="009563CE"/>
    <w:rsid w:val="009573DE"/>
    <w:rsid w:val="00960378"/>
    <w:rsid w:val="00960501"/>
    <w:rsid w:val="00965039"/>
    <w:rsid w:val="00967745"/>
    <w:rsid w:val="00973489"/>
    <w:rsid w:val="00975666"/>
    <w:rsid w:val="00976328"/>
    <w:rsid w:val="0097668B"/>
    <w:rsid w:val="0097680D"/>
    <w:rsid w:val="00981F32"/>
    <w:rsid w:val="00982438"/>
    <w:rsid w:val="0098395A"/>
    <w:rsid w:val="0098404C"/>
    <w:rsid w:val="00985283"/>
    <w:rsid w:val="009907F5"/>
    <w:rsid w:val="0099119F"/>
    <w:rsid w:val="0099208D"/>
    <w:rsid w:val="009950AB"/>
    <w:rsid w:val="00995992"/>
    <w:rsid w:val="009A03E5"/>
    <w:rsid w:val="009A0F3B"/>
    <w:rsid w:val="009A1BB4"/>
    <w:rsid w:val="009A23E5"/>
    <w:rsid w:val="009A2628"/>
    <w:rsid w:val="009A2DF0"/>
    <w:rsid w:val="009A3200"/>
    <w:rsid w:val="009A3283"/>
    <w:rsid w:val="009A46C9"/>
    <w:rsid w:val="009A66D1"/>
    <w:rsid w:val="009A6C8E"/>
    <w:rsid w:val="009A79E0"/>
    <w:rsid w:val="009B0897"/>
    <w:rsid w:val="009B0A20"/>
    <w:rsid w:val="009B21C8"/>
    <w:rsid w:val="009B21C9"/>
    <w:rsid w:val="009B2DC3"/>
    <w:rsid w:val="009B41DF"/>
    <w:rsid w:val="009B51B6"/>
    <w:rsid w:val="009B55AE"/>
    <w:rsid w:val="009B7BD9"/>
    <w:rsid w:val="009C598D"/>
    <w:rsid w:val="009C6660"/>
    <w:rsid w:val="009C7DD5"/>
    <w:rsid w:val="009C7EA2"/>
    <w:rsid w:val="009D020F"/>
    <w:rsid w:val="009D17AE"/>
    <w:rsid w:val="009D1D02"/>
    <w:rsid w:val="009D4B98"/>
    <w:rsid w:val="009D4F3C"/>
    <w:rsid w:val="009E08CA"/>
    <w:rsid w:val="009E190D"/>
    <w:rsid w:val="009E1C34"/>
    <w:rsid w:val="009E227D"/>
    <w:rsid w:val="009E3171"/>
    <w:rsid w:val="009E4AA4"/>
    <w:rsid w:val="009E5019"/>
    <w:rsid w:val="009E7A98"/>
    <w:rsid w:val="009E7BAF"/>
    <w:rsid w:val="009F1724"/>
    <w:rsid w:val="009F1AD0"/>
    <w:rsid w:val="009F2947"/>
    <w:rsid w:val="009F34DD"/>
    <w:rsid w:val="009F4336"/>
    <w:rsid w:val="009F4E0E"/>
    <w:rsid w:val="009F57C3"/>
    <w:rsid w:val="009F635D"/>
    <w:rsid w:val="00A006D8"/>
    <w:rsid w:val="00A042EC"/>
    <w:rsid w:val="00A04F1B"/>
    <w:rsid w:val="00A0501B"/>
    <w:rsid w:val="00A0651B"/>
    <w:rsid w:val="00A06F26"/>
    <w:rsid w:val="00A101CA"/>
    <w:rsid w:val="00A105D0"/>
    <w:rsid w:val="00A10D0B"/>
    <w:rsid w:val="00A11153"/>
    <w:rsid w:val="00A14947"/>
    <w:rsid w:val="00A14FCD"/>
    <w:rsid w:val="00A15884"/>
    <w:rsid w:val="00A17F7A"/>
    <w:rsid w:val="00A225A5"/>
    <w:rsid w:val="00A264AC"/>
    <w:rsid w:val="00A31EB2"/>
    <w:rsid w:val="00A32836"/>
    <w:rsid w:val="00A32A83"/>
    <w:rsid w:val="00A368DB"/>
    <w:rsid w:val="00A36F93"/>
    <w:rsid w:val="00A37E62"/>
    <w:rsid w:val="00A403B3"/>
    <w:rsid w:val="00A413AA"/>
    <w:rsid w:val="00A423AA"/>
    <w:rsid w:val="00A459E2"/>
    <w:rsid w:val="00A46878"/>
    <w:rsid w:val="00A46EA4"/>
    <w:rsid w:val="00A53EC6"/>
    <w:rsid w:val="00A541BA"/>
    <w:rsid w:val="00A558F9"/>
    <w:rsid w:val="00A55923"/>
    <w:rsid w:val="00A55C0F"/>
    <w:rsid w:val="00A6001E"/>
    <w:rsid w:val="00A61657"/>
    <w:rsid w:val="00A625D6"/>
    <w:rsid w:val="00A66BA1"/>
    <w:rsid w:val="00A7236F"/>
    <w:rsid w:val="00A7338D"/>
    <w:rsid w:val="00A81E27"/>
    <w:rsid w:val="00A82913"/>
    <w:rsid w:val="00A8713F"/>
    <w:rsid w:val="00A87588"/>
    <w:rsid w:val="00A90107"/>
    <w:rsid w:val="00A90BA1"/>
    <w:rsid w:val="00A95CDF"/>
    <w:rsid w:val="00A96ABA"/>
    <w:rsid w:val="00A972D5"/>
    <w:rsid w:val="00A97A9A"/>
    <w:rsid w:val="00AA0671"/>
    <w:rsid w:val="00AA10E9"/>
    <w:rsid w:val="00AA15E3"/>
    <w:rsid w:val="00AA2531"/>
    <w:rsid w:val="00AA29DF"/>
    <w:rsid w:val="00AA2E62"/>
    <w:rsid w:val="00AA3C99"/>
    <w:rsid w:val="00AA550E"/>
    <w:rsid w:val="00AA637E"/>
    <w:rsid w:val="00AB0612"/>
    <w:rsid w:val="00AB07E5"/>
    <w:rsid w:val="00AB1E09"/>
    <w:rsid w:val="00AB2781"/>
    <w:rsid w:val="00AB3EBE"/>
    <w:rsid w:val="00AB5330"/>
    <w:rsid w:val="00AB5916"/>
    <w:rsid w:val="00AB62B4"/>
    <w:rsid w:val="00AB6F3A"/>
    <w:rsid w:val="00AB7747"/>
    <w:rsid w:val="00AC00C9"/>
    <w:rsid w:val="00AC14CE"/>
    <w:rsid w:val="00AC17F4"/>
    <w:rsid w:val="00AC1AEF"/>
    <w:rsid w:val="00AC1D93"/>
    <w:rsid w:val="00AC1E5C"/>
    <w:rsid w:val="00AC2A56"/>
    <w:rsid w:val="00AC34AF"/>
    <w:rsid w:val="00AC44C6"/>
    <w:rsid w:val="00AC7547"/>
    <w:rsid w:val="00AD055E"/>
    <w:rsid w:val="00AD1B6D"/>
    <w:rsid w:val="00AD217F"/>
    <w:rsid w:val="00AD3F2E"/>
    <w:rsid w:val="00AD47A7"/>
    <w:rsid w:val="00AD526C"/>
    <w:rsid w:val="00AD6585"/>
    <w:rsid w:val="00AD7718"/>
    <w:rsid w:val="00AE2ABE"/>
    <w:rsid w:val="00AE56C2"/>
    <w:rsid w:val="00AE63C6"/>
    <w:rsid w:val="00AF02A5"/>
    <w:rsid w:val="00AF0CBF"/>
    <w:rsid w:val="00AF160D"/>
    <w:rsid w:val="00AF257F"/>
    <w:rsid w:val="00AF30E2"/>
    <w:rsid w:val="00AF33CF"/>
    <w:rsid w:val="00AF4D50"/>
    <w:rsid w:val="00AF6179"/>
    <w:rsid w:val="00B02484"/>
    <w:rsid w:val="00B04259"/>
    <w:rsid w:val="00B1256E"/>
    <w:rsid w:val="00B1295A"/>
    <w:rsid w:val="00B139F6"/>
    <w:rsid w:val="00B14D8F"/>
    <w:rsid w:val="00B172CD"/>
    <w:rsid w:val="00B17F17"/>
    <w:rsid w:val="00B2023B"/>
    <w:rsid w:val="00B20A45"/>
    <w:rsid w:val="00B22C5C"/>
    <w:rsid w:val="00B23BF0"/>
    <w:rsid w:val="00B2402D"/>
    <w:rsid w:val="00B24F30"/>
    <w:rsid w:val="00B25B44"/>
    <w:rsid w:val="00B26CFB"/>
    <w:rsid w:val="00B31ABF"/>
    <w:rsid w:val="00B32CF3"/>
    <w:rsid w:val="00B33BE3"/>
    <w:rsid w:val="00B33EFE"/>
    <w:rsid w:val="00B3466C"/>
    <w:rsid w:val="00B351C3"/>
    <w:rsid w:val="00B35501"/>
    <w:rsid w:val="00B41523"/>
    <w:rsid w:val="00B425CC"/>
    <w:rsid w:val="00B43E72"/>
    <w:rsid w:val="00B46197"/>
    <w:rsid w:val="00B47965"/>
    <w:rsid w:val="00B51724"/>
    <w:rsid w:val="00B53B5D"/>
    <w:rsid w:val="00B54793"/>
    <w:rsid w:val="00B56137"/>
    <w:rsid w:val="00B5691D"/>
    <w:rsid w:val="00B6055E"/>
    <w:rsid w:val="00B61B5E"/>
    <w:rsid w:val="00B6317D"/>
    <w:rsid w:val="00B644B9"/>
    <w:rsid w:val="00B64C8D"/>
    <w:rsid w:val="00B66DDA"/>
    <w:rsid w:val="00B7060B"/>
    <w:rsid w:val="00B71368"/>
    <w:rsid w:val="00B72600"/>
    <w:rsid w:val="00B72E8F"/>
    <w:rsid w:val="00B73EA8"/>
    <w:rsid w:val="00B742BC"/>
    <w:rsid w:val="00B74B25"/>
    <w:rsid w:val="00B74B9E"/>
    <w:rsid w:val="00B75734"/>
    <w:rsid w:val="00B76801"/>
    <w:rsid w:val="00B76A14"/>
    <w:rsid w:val="00B7723F"/>
    <w:rsid w:val="00B80534"/>
    <w:rsid w:val="00B8059B"/>
    <w:rsid w:val="00B8433C"/>
    <w:rsid w:val="00B86A69"/>
    <w:rsid w:val="00B87187"/>
    <w:rsid w:val="00B87491"/>
    <w:rsid w:val="00B948DF"/>
    <w:rsid w:val="00B95A7F"/>
    <w:rsid w:val="00B97262"/>
    <w:rsid w:val="00B97743"/>
    <w:rsid w:val="00B979F2"/>
    <w:rsid w:val="00BA15A4"/>
    <w:rsid w:val="00BA29E9"/>
    <w:rsid w:val="00BA42E4"/>
    <w:rsid w:val="00BA4C61"/>
    <w:rsid w:val="00BA545D"/>
    <w:rsid w:val="00BA7142"/>
    <w:rsid w:val="00BA7DB5"/>
    <w:rsid w:val="00BB237C"/>
    <w:rsid w:val="00BB41A3"/>
    <w:rsid w:val="00BB42FA"/>
    <w:rsid w:val="00BB488A"/>
    <w:rsid w:val="00BB4B50"/>
    <w:rsid w:val="00BB5D9A"/>
    <w:rsid w:val="00BB75D6"/>
    <w:rsid w:val="00BC09CF"/>
    <w:rsid w:val="00BC0CB8"/>
    <w:rsid w:val="00BC32DC"/>
    <w:rsid w:val="00BC35B6"/>
    <w:rsid w:val="00BC5611"/>
    <w:rsid w:val="00BC5840"/>
    <w:rsid w:val="00BC5E06"/>
    <w:rsid w:val="00BC626C"/>
    <w:rsid w:val="00BC63F5"/>
    <w:rsid w:val="00BC6680"/>
    <w:rsid w:val="00BD1B51"/>
    <w:rsid w:val="00BD4596"/>
    <w:rsid w:val="00BD5510"/>
    <w:rsid w:val="00BD6D0B"/>
    <w:rsid w:val="00BD7D18"/>
    <w:rsid w:val="00BE1405"/>
    <w:rsid w:val="00BE1E2F"/>
    <w:rsid w:val="00BE312D"/>
    <w:rsid w:val="00BE39FA"/>
    <w:rsid w:val="00BE6BEF"/>
    <w:rsid w:val="00BF0DD6"/>
    <w:rsid w:val="00BF159C"/>
    <w:rsid w:val="00BF1C20"/>
    <w:rsid w:val="00BF1E22"/>
    <w:rsid w:val="00BF1E41"/>
    <w:rsid w:val="00BF39CB"/>
    <w:rsid w:val="00BF3E0E"/>
    <w:rsid w:val="00BF4556"/>
    <w:rsid w:val="00BF7D80"/>
    <w:rsid w:val="00BF7F57"/>
    <w:rsid w:val="00C01648"/>
    <w:rsid w:val="00C01C56"/>
    <w:rsid w:val="00C10578"/>
    <w:rsid w:val="00C106FE"/>
    <w:rsid w:val="00C107FF"/>
    <w:rsid w:val="00C135BC"/>
    <w:rsid w:val="00C135E1"/>
    <w:rsid w:val="00C1409E"/>
    <w:rsid w:val="00C15333"/>
    <w:rsid w:val="00C15C95"/>
    <w:rsid w:val="00C17B12"/>
    <w:rsid w:val="00C238DF"/>
    <w:rsid w:val="00C23C3A"/>
    <w:rsid w:val="00C24AFB"/>
    <w:rsid w:val="00C2596A"/>
    <w:rsid w:val="00C266EA"/>
    <w:rsid w:val="00C26B08"/>
    <w:rsid w:val="00C27537"/>
    <w:rsid w:val="00C27F84"/>
    <w:rsid w:val="00C30F77"/>
    <w:rsid w:val="00C31788"/>
    <w:rsid w:val="00C328FE"/>
    <w:rsid w:val="00C3304F"/>
    <w:rsid w:val="00C33507"/>
    <w:rsid w:val="00C40591"/>
    <w:rsid w:val="00C406D2"/>
    <w:rsid w:val="00C40CAC"/>
    <w:rsid w:val="00C40F1B"/>
    <w:rsid w:val="00C418CE"/>
    <w:rsid w:val="00C420AF"/>
    <w:rsid w:val="00C4272E"/>
    <w:rsid w:val="00C4409D"/>
    <w:rsid w:val="00C44E72"/>
    <w:rsid w:val="00C454AF"/>
    <w:rsid w:val="00C45A06"/>
    <w:rsid w:val="00C46155"/>
    <w:rsid w:val="00C466E7"/>
    <w:rsid w:val="00C47E5B"/>
    <w:rsid w:val="00C52080"/>
    <w:rsid w:val="00C53BA3"/>
    <w:rsid w:val="00C54A58"/>
    <w:rsid w:val="00C57758"/>
    <w:rsid w:val="00C57A50"/>
    <w:rsid w:val="00C61E4B"/>
    <w:rsid w:val="00C63CF0"/>
    <w:rsid w:val="00C63D68"/>
    <w:rsid w:val="00C64BFF"/>
    <w:rsid w:val="00C65673"/>
    <w:rsid w:val="00C65982"/>
    <w:rsid w:val="00C6724F"/>
    <w:rsid w:val="00C67EA6"/>
    <w:rsid w:val="00C704E9"/>
    <w:rsid w:val="00C71B0F"/>
    <w:rsid w:val="00C7470F"/>
    <w:rsid w:val="00C74DE1"/>
    <w:rsid w:val="00C7511E"/>
    <w:rsid w:val="00C755A3"/>
    <w:rsid w:val="00C75FA3"/>
    <w:rsid w:val="00C7618C"/>
    <w:rsid w:val="00C763C9"/>
    <w:rsid w:val="00C80057"/>
    <w:rsid w:val="00C8166A"/>
    <w:rsid w:val="00C82232"/>
    <w:rsid w:val="00C822D5"/>
    <w:rsid w:val="00C825E8"/>
    <w:rsid w:val="00C82913"/>
    <w:rsid w:val="00C855BC"/>
    <w:rsid w:val="00C87BD7"/>
    <w:rsid w:val="00C931A8"/>
    <w:rsid w:val="00C951F9"/>
    <w:rsid w:val="00C9551D"/>
    <w:rsid w:val="00C967BF"/>
    <w:rsid w:val="00C972B1"/>
    <w:rsid w:val="00C97FBD"/>
    <w:rsid w:val="00CA00D3"/>
    <w:rsid w:val="00CA0F9F"/>
    <w:rsid w:val="00CA2CCE"/>
    <w:rsid w:val="00CA2CF6"/>
    <w:rsid w:val="00CA2F47"/>
    <w:rsid w:val="00CA43FD"/>
    <w:rsid w:val="00CA6934"/>
    <w:rsid w:val="00CA6F59"/>
    <w:rsid w:val="00CA7EF8"/>
    <w:rsid w:val="00CA7FDE"/>
    <w:rsid w:val="00CB0009"/>
    <w:rsid w:val="00CB10BD"/>
    <w:rsid w:val="00CB1432"/>
    <w:rsid w:val="00CB1BEB"/>
    <w:rsid w:val="00CB30AB"/>
    <w:rsid w:val="00CB4C04"/>
    <w:rsid w:val="00CB646E"/>
    <w:rsid w:val="00CC0241"/>
    <w:rsid w:val="00CC2443"/>
    <w:rsid w:val="00CC489B"/>
    <w:rsid w:val="00CC4C14"/>
    <w:rsid w:val="00CC70DB"/>
    <w:rsid w:val="00CC7C1C"/>
    <w:rsid w:val="00CD1502"/>
    <w:rsid w:val="00CD29FF"/>
    <w:rsid w:val="00CD2BCD"/>
    <w:rsid w:val="00CD3A4C"/>
    <w:rsid w:val="00CD5189"/>
    <w:rsid w:val="00CD79CF"/>
    <w:rsid w:val="00CE10E9"/>
    <w:rsid w:val="00CE2910"/>
    <w:rsid w:val="00CE5393"/>
    <w:rsid w:val="00CE786F"/>
    <w:rsid w:val="00CF0F3D"/>
    <w:rsid w:val="00CF36BE"/>
    <w:rsid w:val="00CF4B49"/>
    <w:rsid w:val="00CF6000"/>
    <w:rsid w:val="00CF6290"/>
    <w:rsid w:val="00CF6E91"/>
    <w:rsid w:val="00D003F3"/>
    <w:rsid w:val="00D012BC"/>
    <w:rsid w:val="00D01F83"/>
    <w:rsid w:val="00D02560"/>
    <w:rsid w:val="00D02650"/>
    <w:rsid w:val="00D0294A"/>
    <w:rsid w:val="00D0308F"/>
    <w:rsid w:val="00D0364F"/>
    <w:rsid w:val="00D04874"/>
    <w:rsid w:val="00D04CDD"/>
    <w:rsid w:val="00D06834"/>
    <w:rsid w:val="00D110F4"/>
    <w:rsid w:val="00D20022"/>
    <w:rsid w:val="00D21C16"/>
    <w:rsid w:val="00D223D3"/>
    <w:rsid w:val="00D2333D"/>
    <w:rsid w:val="00D23CA0"/>
    <w:rsid w:val="00D2416B"/>
    <w:rsid w:val="00D244FD"/>
    <w:rsid w:val="00D25BE8"/>
    <w:rsid w:val="00D272A2"/>
    <w:rsid w:val="00D308ED"/>
    <w:rsid w:val="00D30B6B"/>
    <w:rsid w:val="00D31DB8"/>
    <w:rsid w:val="00D32F01"/>
    <w:rsid w:val="00D33275"/>
    <w:rsid w:val="00D363BB"/>
    <w:rsid w:val="00D365AE"/>
    <w:rsid w:val="00D36D86"/>
    <w:rsid w:val="00D403BD"/>
    <w:rsid w:val="00D40B13"/>
    <w:rsid w:val="00D4243E"/>
    <w:rsid w:val="00D428AA"/>
    <w:rsid w:val="00D428E9"/>
    <w:rsid w:val="00D4496B"/>
    <w:rsid w:val="00D50A34"/>
    <w:rsid w:val="00D526C1"/>
    <w:rsid w:val="00D53EFA"/>
    <w:rsid w:val="00D559CB"/>
    <w:rsid w:val="00D57452"/>
    <w:rsid w:val="00D62EFB"/>
    <w:rsid w:val="00D649C4"/>
    <w:rsid w:val="00D66D22"/>
    <w:rsid w:val="00D70FE1"/>
    <w:rsid w:val="00D72A25"/>
    <w:rsid w:val="00D753ED"/>
    <w:rsid w:val="00D76986"/>
    <w:rsid w:val="00D77D8D"/>
    <w:rsid w:val="00D823C5"/>
    <w:rsid w:val="00D83181"/>
    <w:rsid w:val="00D833B3"/>
    <w:rsid w:val="00D90F05"/>
    <w:rsid w:val="00D9324B"/>
    <w:rsid w:val="00D94A7C"/>
    <w:rsid w:val="00D95896"/>
    <w:rsid w:val="00D965C4"/>
    <w:rsid w:val="00D96FB4"/>
    <w:rsid w:val="00DA0AF4"/>
    <w:rsid w:val="00DA10C1"/>
    <w:rsid w:val="00DA33C1"/>
    <w:rsid w:val="00DA6F7A"/>
    <w:rsid w:val="00DA7106"/>
    <w:rsid w:val="00DB0567"/>
    <w:rsid w:val="00DB205B"/>
    <w:rsid w:val="00DB2983"/>
    <w:rsid w:val="00DB2E4C"/>
    <w:rsid w:val="00DB5FEA"/>
    <w:rsid w:val="00DB62DA"/>
    <w:rsid w:val="00DB7E28"/>
    <w:rsid w:val="00DC1257"/>
    <w:rsid w:val="00DC1B14"/>
    <w:rsid w:val="00DC2027"/>
    <w:rsid w:val="00DC214B"/>
    <w:rsid w:val="00DC2F49"/>
    <w:rsid w:val="00DC3DC0"/>
    <w:rsid w:val="00DC5B2B"/>
    <w:rsid w:val="00DC5BA4"/>
    <w:rsid w:val="00DC6782"/>
    <w:rsid w:val="00DD318D"/>
    <w:rsid w:val="00DD684A"/>
    <w:rsid w:val="00DD7573"/>
    <w:rsid w:val="00DE0553"/>
    <w:rsid w:val="00DE4BFC"/>
    <w:rsid w:val="00DE4CDC"/>
    <w:rsid w:val="00DE5B20"/>
    <w:rsid w:val="00DE75D5"/>
    <w:rsid w:val="00DF2E12"/>
    <w:rsid w:val="00DF514A"/>
    <w:rsid w:val="00DF6690"/>
    <w:rsid w:val="00DF6804"/>
    <w:rsid w:val="00DF70E8"/>
    <w:rsid w:val="00DF7103"/>
    <w:rsid w:val="00E00169"/>
    <w:rsid w:val="00E027A5"/>
    <w:rsid w:val="00E0358D"/>
    <w:rsid w:val="00E03811"/>
    <w:rsid w:val="00E04323"/>
    <w:rsid w:val="00E04E50"/>
    <w:rsid w:val="00E05796"/>
    <w:rsid w:val="00E05E05"/>
    <w:rsid w:val="00E06BBF"/>
    <w:rsid w:val="00E06F28"/>
    <w:rsid w:val="00E070A2"/>
    <w:rsid w:val="00E1554A"/>
    <w:rsid w:val="00E16A84"/>
    <w:rsid w:val="00E17879"/>
    <w:rsid w:val="00E213F0"/>
    <w:rsid w:val="00E21601"/>
    <w:rsid w:val="00E234F2"/>
    <w:rsid w:val="00E24292"/>
    <w:rsid w:val="00E2656A"/>
    <w:rsid w:val="00E2759A"/>
    <w:rsid w:val="00E27788"/>
    <w:rsid w:val="00E2799F"/>
    <w:rsid w:val="00E313B0"/>
    <w:rsid w:val="00E33655"/>
    <w:rsid w:val="00E34950"/>
    <w:rsid w:val="00E349EE"/>
    <w:rsid w:val="00E412D0"/>
    <w:rsid w:val="00E45469"/>
    <w:rsid w:val="00E45483"/>
    <w:rsid w:val="00E466DC"/>
    <w:rsid w:val="00E46E51"/>
    <w:rsid w:val="00E51A5F"/>
    <w:rsid w:val="00E520E7"/>
    <w:rsid w:val="00E5221E"/>
    <w:rsid w:val="00E56322"/>
    <w:rsid w:val="00E60982"/>
    <w:rsid w:val="00E60D3F"/>
    <w:rsid w:val="00E61589"/>
    <w:rsid w:val="00E62B3C"/>
    <w:rsid w:val="00E62BEB"/>
    <w:rsid w:val="00E62C62"/>
    <w:rsid w:val="00E63AD5"/>
    <w:rsid w:val="00E63CA1"/>
    <w:rsid w:val="00E64232"/>
    <w:rsid w:val="00E654C1"/>
    <w:rsid w:val="00E65C40"/>
    <w:rsid w:val="00E65D97"/>
    <w:rsid w:val="00E66D95"/>
    <w:rsid w:val="00E6732F"/>
    <w:rsid w:val="00E67A46"/>
    <w:rsid w:val="00E7022F"/>
    <w:rsid w:val="00E70F62"/>
    <w:rsid w:val="00E7129B"/>
    <w:rsid w:val="00E72A5A"/>
    <w:rsid w:val="00E73354"/>
    <w:rsid w:val="00E7552B"/>
    <w:rsid w:val="00E75C3F"/>
    <w:rsid w:val="00E77DB7"/>
    <w:rsid w:val="00E77DBE"/>
    <w:rsid w:val="00E82105"/>
    <w:rsid w:val="00E848CD"/>
    <w:rsid w:val="00E85263"/>
    <w:rsid w:val="00E913F5"/>
    <w:rsid w:val="00E9242D"/>
    <w:rsid w:val="00E938E0"/>
    <w:rsid w:val="00E94E13"/>
    <w:rsid w:val="00E96AF1"/>
    <w:rsid w:val="00E97AD0"/>
    <w:rsid w:val="00EA5790"/>
    <w:rsid w:val="00EA74F8"/>
    <w:rsid w:val="00EB0DD6"/>
    <w:rsid w:val="00EB0FD5"/>
    <w:rsid w:val="00EB16C5"/>
    <w:rsid w:val="00EB511A"/>
    <w:rsid w:val="00EB511C"/>
    <w:rsid w:val="00EB5255"/>
    <w:rsid w:val="00EB540A"/>
    <w:rsid w:val="00EB5C47"/>
    <w:rsid w:val="00EC3E08"/>
    <w:rsid w:val="00EC5850"/>
    <w:rsid w:val="00EC7F0C"/>
    <w:rsid w:val="00ED0639"/>
    <w:rsid w:val="00ED0BC7"/>
    <w:rsid w:val="00ED2BDE"/>
    <w:rsid w:val="00ED3213"/>
    <w:rsid w:val="00ED3C92"/>
    <w:rsid w:val="00ED40F5"/>
    <w:rsid w:val="00ED6773"/>
    <w:rsid w:val="00EE2D62"/>
    <w:rsid w:val="00EE4F56"/>
    <w:rsid w:val="00EE64E5"/>
    <w:rsid w:val="00EE65BB"/>
    <w:rsid w:val="00EE67CA"/>
    <w:rsid w:val="00EF001D"/>
    <w:rsid w:val="00EF3769"/>
    <w:rsid w:val="00EF4755"/>
    <w:rsid w:val="00EF536D"/>
    <w:rsid w:val="00EF5CFE"/>
    <w:rsid w:val="00EF6A82"/>
    <w:rsid w:val="00EF7135"/>
    <w:rsid w:val="00EF7534"/>
    <w:rsid w:val="00F01A2E"/>
    <w:rsid w:val="00F0223F"/>
    <w:rsid w:val="00F027DB"/>
    <w:rsid w:val="00F0426C"/>
    <w:rsid w:val="00F05D92"/>
    <w:rsid w:val="00F06792"/>
    <w:rsid w:val="00F10115"/>
    <w:rsid w:val="00F101E1"/>
    <w:rsid w:val="00F103FE"/>
    <w:rsid w:val="00F10C4A"/>
    <w:rsid w:val="00F10C57"/>
    <w:rsid w:val="00F11932"/>
    <w:rsid w:val="00F13634"/>
    <w:rsid w:val="00F14A7A"/>
    <w:rsid w:val="00F1599E"/>
    <w:rsid w:val="00F22985"/>
    <w:rsid w:val="00F30E3D"/>
    <w:rsid w:val="00F3322C"/>
    <w:rsid w:val="00F3383E"/>
    <w:rsid w:val="00F3391D"/>
    <w:rsid w:val="00F4394F"/>
    <w:rsid w:val="00F43BD9"/>
    <w:rsid w:val="00F4567C"/>
    <w:rsid w:val="00F45912"/>
    <w:rsid w:val="00F465A7"/>
    <w:rsid w:val="00F5011D"/>
    <w:rsid w:val="00F508ED"/>
    <w:rsid w:val="00F50B7C"/>
    <w:rsid w:val="00F52A39"/>
    <w:rsid w:val="00F53ACD"/>
    <w:rsid w:val="00F53DC5"/>
    <w:rsid w:val="00F550E6"/>
    <w:rsid w:val="00F56BB5"/>
    <w:rsid w:val="00F56DF6"/>
    <w:rsid w:val="00F56FC4"/>
    <w:rsid w:val="00F603EF"/>
    <w:rsid w:val="00F60D91"/>
    <w:rsid w:val="00F61339"/>
    <w:rsid w:val="00F6417C"/>
    <w:rsid w:val="00F65717"/>
    <w:rsid w:val="00F663BF"/>
    <w:rsid w:val="00F66C7B"/>
    <w:rsid w:val="00F67697"/>
    <w:rsid w:val="00F67DF3"/>
    <w:rsid w:val="00F70759"/>
    <w:rsid w:val="00F71EC5"/>
    <w:rsid w:val="00F74345"/>
    <w:rsid w:val="00F74FC5"/>
    <w:rsid w:val="00F80A0A"/>
    <w:rsid w:val="00F80F79"/>
    <w:rsid w:val="00F82B19"/>
    <w:rsid w:val="00F8593F"/>
    <w:rsid w:val="00F85A7B"/>
    <w:rsid w:val="00F87B45"/>
    <w:rsid w:val="00F90EF8"/>
    <w:rsid w:val="00F912E1"/>
    <w:rsid w:val="00F9212D"/>
    <w:rsid w:val="00F92F74"/>
    <w:rsid w:val="00F944E3"/>
    <w:rsid w:val="00F946F7"/>
    <w:rsid w:val="00F965DA"/>
    <w:rsid w:val="00F972FC"/>
    <w:rsid w:val="00F97900"/>
    <w:rsid w:val="00F97A59"/>
    <w:rsid w:val="00FA047F"/>
    <w:rsid w:val="00FA142B"/>
    <w:rsid w:val="00FA3E7D"/>
    <w:rsid w:val="00FA406A"/>
    <w:rsid w:val="00FA40E4"/>
    <w:rsid w:val="00FB2D9D"/>
    <w:rsid w:val="00FB3D22"/>
    <w:rsid w:val="00FB503A"/>
    <w:rsid w:val="00FB516C"/>
    <w:rsid w:val="00FB62FA"/>
    <w:rsid w:val="00FB6F7A"/>
    <w:rsid w:val="00FC02FA"/>
    <w:rsid w:val="00FC17E9"/>
    <w:rsid w:val="00FC327C"/>
    <w:rsid w:val="00FC57D5"/>
    <w:rsid w:val="00FC75B2"/>
    <w:rsid w:val="00FC791F"/>
    <w:rsid w:val="00FC7FF8"/>
    <w:rsid w:val="00FD0236"/>
    <w:rsid w:val="00FD1800"/>
    <w:rsid w:val="00FD18F4"/>
    <w:rsid w:val="00FD54DB"/>
    <w:rsid w:val="00FD619F"/>
    <w:rsid w:val="00FD66A2"/>
    <w:rsid w:val="00FE166D"/>
    <w:rsid w:val="00FE2BAF"/>
    <w:rsid w:val="00FE3F2B"/>
    <w:rsid w:val="00FE473D"/>
    <w:rsid w:val="00FE47B1"/>
    <w:rsid w:val="00FE5D5F"/>
    <w:rsid w:val="00FF0892"/>
    <w:rsid w:val="00FF26D7"/>
    <w:rsid w:val="00FF49B4"/>
    <w:rsid w:val="00FF49FF"/>
    <w:rsid w:val="00FF650E"/>
    <w:rsid w:val="00FF735B"/>
    <w:rsid w:val="01140F3E"/>
    <w:rsid w:val="01290F7E"/>
    <w:rsid w:val="0159387C"/>
    <w:rsid w:val="015D1E09"/>
    <w:rsid w:val="01A72B01"/>
    <w:rsid w:val="01FA4BD4"/>
    <w:rsid w:val="02697903"/>
    <w:rsid w:val="02B707F3"/>
    <w:rsid w:val="02F2760F"/>
    <w:rsid w:val="02F96569"/>
    <w:rsid w:val="03381396"/>
    <w:rsid w:val="036A5782"/>
    <w:rsid w:val="03D0473C"/>
    <w:rsid w:val="03EA7B21"/>
    <w:rsid w:val="043318B8"/>
    <w:rsid w:val="04DF7CDC"/>
    <w:rsid w:val="04FA4B16"/>
    <w:rsid w:val="05205CD8"/>
    <w:rsid w:val="05433F28"/>
    <w:rsid w:val="05713597"/>
    <w:rsid w:val="05A60100"/>
    <w:rsid w:val="05B01536"/>
    <w:rsid w:val="05F83EAE"/>
    <w:rsid w:val="063E7D85"/>
    <w:rsid w:val="06676E45"/>
    <w:rsid w:val="066E0988"/>
    <w:rsid w:val="06847A47"/>
    <w:rsid w:val="06BF5EF3"/>
    <w:rsid w:val="06D625E4"/>
    <w:rsid w:val="06F445DF"/>
    <w:rsid w:val="071420E5"/>
    <w:rsid w:val="07293586"/>
    <w:rsid w:val="07295285"/>
    <w:rsid w:val="07636392"/>
    <w:rsid w:val="07770C56"/>
    <w:rsid w:val="078F19AE"/>
    <w:rsid w:val="07906FD7"/>
    <w:rsid w:val="07937D5F"/>
    <w:rsid w:val="07B563BE"/>
    <w:rsid w:val="07F71F40"/>
    <w:rsid w:val="07FC2E67"/>
    <w:rsid w:val="081C4CAD"/>
    <w:rsid w:val="085B617B"/>
    <w:rsid w:val="09045F63"/>
    <w:rsid w:val="092217DD"/>
    <w:rsid w:val="093A7294"/>
    <w:rsid w:val="09736C45"/>
    <w:rsid w:val="09CA7944"/>
    <w:rsid w:val="09D36860"/>
    <w:rsid w:val="0A263993"/>
    <w:rsid w:val="0A2D3AC2"/>
    <w:rsid w:val="0A7753F4"/>
    <w:rsid w:val="0AA755DF"/>
    <w:rsid w:val="0B120D44"/>
    <w:rsid w:val="0B406514"/>
    <w:rsid w:val="0BB220F2"/>
    <w:rsid w:val="0BBF5F93"/>
    <w:rsid w:val="0BD27BF6"/>
    <w:rsid w:val="0C2016D9"/>
    <w:rsid w:val="0C295DB5"/>
    <w:rsid w:val="0C3B3C7D"/>
    <w:rsid w:val="0C4122ED"/>
    <w:rsid w:val="0CAB2EAE"/>
    <w:rsid w:val="0CE12284"/>
    <w:rsid w:val="0D621C7D"/>
    <w:rsid w:val="0D754FF3"/>
    <w:rsid w:val="0DA73FB0"/>
    <w:rsid w:val="0E714379"/>
    <w:rsid w:val="0E73034D"/>
    <w:rsid w:val="0E822385"/>
    <w:rsid w:val="0E865123"/>
    <w:rsid w:val="0ED26664"/>
    <w:rsid w:val="0F13775A"/>
    <w:rsid w:val="0F5F45FE"/>
    <w:rsid w:val="0F6C49A3"/>
    <w:rsid w:val="0F9A112B"/>
    <w:rsid w:val="0FE93879"/>
    <w:rsid w:val="10123C69"/>
    <w:rsid w:val="106A0546"/>
    <w:rsid w:val="106D2F64"/>
    <w:rsid w:val="10972142"/>
    <w:rsid w:val="10B45580"/>
    <w:rsid w:val="10B63710"/>
    <w:rsid w:val="10CB7366"/>
    <w:rsid w:val="10F10820"/>
    <w:rsid w:val="111C2F7A"/>
    <w:rsid w:val="114110A1"/>
    <w:rsid w:val="114C6B6A"/>
    <w:rsid w:val="11665CA1"/>
    <w:rsid w:val="11D8764B"/>
    <w:rsid w:val="121031E8"/>
    <w:rsid w:val="121459A3"/>
    <w:rsid w:val="1220207E"/>
    <w:rsid w:val="122F7155"/>
    <w:rsid w:val="12A305A9"/>
    <w:rsid w:val="12DA3E4F"/>
    <w:rsid w:val="13447367"/>
    <w:rsid w:val="13473041"/>
    <w:rsid w:val="134A7D6B"/>
    <w:rsid w:val="13714740"/>
    <w:rsid w:val="13951726"/>
    <w:rsid w:val="14396509"/>
    <w:rsid w:val="146B462C"/>
    <w:rsid w:val="14BD0619"/>
    <w:rsid w:val="14D168DD"/>
    <w:rsid w:val="14DD2C3C"/>
    <w:rsid w:val="15301F58"/>
    <w:rsid w:val="15581B10"/>
    <w:rsid w:val="156E4A99"/>
    <w:rsid w:val="158C17BA"/>
    <w:rsid w:val="159D1DC4"/>
    <w:rsid w:val="15E769F0"/>
    <w:rsid w:val="16087E1D"/>
    <w:rsid w:val="16F2760A"/>
    <w:rsid w:val="16F63C21"/>
    <w:rsid w:val="17283764"/>
    <w:rsid w:val="174B037C"/>
    <w:rsid w:val="17701D14"/>
    <w:rsid w:val="17735226"/>
    <w:rsid w:val="178F725F"/>
    <w:rsid w:val="17DB4A8E"/>
    <w:rsid w:val="189F624C"/>
    <w:rsid w:val="18C45746"/>
    <w:rsid w:val="197C51D9"/>
    <w:rsid w:val="1992731E"/>
    <w:rsid w:val="199C6AD2"/>
    <w:rsid w:val="1A1C66C0"/>
    <w:rsid w:val="1A42393B"/>
    <w:rsid w:val="1AAD45DE"/>
    <w:rsid w:val="1B046F80"/>
    <w:rsid w:val="1B21433D"/>
    <w:rsid w:val="1B3267B5"/>
    <w:rsid w:val="1B3C2485"/>
    <w:rsid w:val="1B40161D"/>
    <w:rsid w:val="1B441859"/>
    <w:rsid w:val="1B6606B1"/>
    <w:rsid w:val="1B821CCD"/>
    <w:rsid w:val="1BEB2E06"/>
    <w:rsid w:val="1C5E7925"/>
    <w:rsid w:val="1CC667CD"/>
    <w:rsid w:val="1CFD0493"/>
    <w:rsid w:val="1CFD070F"/>
    <w:rsid w:val="1D5F6196"/>
    <w:rsid w:val="1D6132A5"/>
    <w:rsid w:val="1D7831AB"/>
    <w:rsid w:val="1D8E56D5"/>
    <w:rsid w:val="1E7A43DA"/>
    <w:rsid w:val="1E8B21FD"/>
    <w:rsid w:val="1E9D6775"/>
    <w:rsid w:val="1EA75BED"/>
    <w:rsid w:val="1EC15FD7"/>
    <w:rsid w:val="1EE01382"/>
    <w:rsid w:val="1F1D1E1F"/>
    <w:rsid w:val="1F203647"/>
    <w:rsid w:val="1FE05537"/>
    <w:rsid w:val="1FE7539E"/>
    <w:rsid w:val="20671BE0"/>
    <w:rsid w:val="20963CB8"/>
    <w:rsid w:val="20A81A1B"/>
    <w:rsid w:val="20B07FB6"/>
    <w:rsid w:val="20B646FB"/>
    <w:rsid w:val="20BF0ED9"/>
    <w:rsid w:val="21091D75"/>
    <w:rsid w:val="213B74B1"/>
    <w:rsid w:val="21451012"/>
    <w:rsid w:val="21537630"/>
    <w:rsid w:val="215A2310"/>
    <w:rsid w:val="215B0293"/>
    <w:rsid w:val="217E7261"/>
    <w:rsid w:val="21DE318A"/>
    <w:rsid w:val="21EF5B80"/>
    <w:rsid w:val="21FD6A16"/>
    <w:rsid w:val="224A12E7"/>
    <w:rsid w:val="22576990"/>
    <w:rsid w:val="22DD45C8"/>
    <w:rsid w:val="22F47480"/>
    <w:rsid w:val="23074E43"/>
    <w:rsid w:val="23190331"/>
    <w:rsid w:val="23223134"/>
    <w:rsid w:val="233E30A7"/>
    <w:rsid w:val="23903ECD"/>
    <w:rsid w:val="23AC5314"/>
    <w:rsid w:val="23DE1C48"/>
    <w:rsid w:val="23F608E4"/>
    <w:rsid w:val="23F733D1"/>
    <w:rsid w:val="240210CD"/>
    <w:rsid w:val="24244C25"/>
    <w:rsid w:val="24AD31C3"/>
    <w:rsid w:val="24BF09F7"/>
    <w:rsid w:val="25141E26"/>
    <w:rsid w:val="25227A45"/>
    <w:rsid w:val="252D53FE"/>
    <w:rsid w:val="255664BA"/>
    <w:rsid w:val="258C40FA"/>
    <w:rsid w:val="25EC2D81"/>
    <w:rsid w:val="25F335BC"/>
    <w:rsid w:val="26C87882"/>
    <w:rsid w:val="277057A2"/>
    <w:rsid w:val="28D177B8"/>
    <w:rsid w:val="28ED6B5F"/>
    <w:rsid w:val="28FB102A"/>
    <w:rsid w:val="29206EB8"/>
    <w:rsid w:val="29544E8D"/>
    <w:rsid w:val="29595666"/>
    <w:rsid w:val="295F0562"/>
    <w:rsid w:val="298013B0"/>
    <w:rsid w:val="29874881"/>
    <w:rsid w:val="29D91DFA"/>
    <w:rsid w:val="29E325E0"/>
    <w:rsid w:val="2A452503"/>
    <w:rsid w:val="2A564EEE"/>
    <w:rsid w:val="2A8E6841"/>
    <w:rsid w:val="2B19523C"/>
    <w:rsid w:val="2B1C4F36"/>
    <w:rsid w:val="2B1E7A56"/>
    <w:rsid w:val="2BA44278"/>
    <w:rsid w:val="2BA81C78"/>
    <w:rsid w:val="2BA936A8"/>
    <w:rsid w:val="2BE65C9D"/>
    <w:rsid w:val="2BF11EB5"/>
    <w:rsid w:val="2C255611"/>
    <w:rsid w:val="2C2B3683"/>
    <w:rsid w:val="2C315A5A"/>
    <w:rsid w:val="2C4B1C25"/>
    <w:rsid w:val="2C504E98"/>
    <w:rsid w:val="2C811E01"/>
    <w:rsid w:val="2CCB451E"/>
    <w:rsid w:val="2CCB6AB4"/>
    <w:rsid w:val="2D03091E"/>
    <w:rsid w:val="2D3227EF"/>
    <w:rsid w:val="2D452F80"/>
    <w:rsid w:val="2D63143F"/>
    <w:rsid w:val="2D9E56F5"/>
    <w:rsid w:val="2E383E35"/>
    <w:rsid w:val="2E472DDC"/>
    <w:rsid w:val="2E667F96"/>
    <w:rsid w:val="2E8226AB"/>
    <w:rsid w:val="2EBB2F58"/>
    <w:rsid w:val="2F910376"/>
    <w:rsid w:val="2FCF4325"/>
    <w:rsid w:val="2FD065E6"/>
    <w:rsid w:val="2FD96870"/>
    <w:rsid w:val="304E7F19"/>
    <w:rsid w:val="30580BC9"/>
    <w:rsid w:val="30C44634"/>
    <w:rsid w:val="310A7164"/>
    <w:rsid w:val="311E2ED7"/>
    <w:rsid w:val="315619EE"/>
    <w:rsid w:val="315C449C"/>
    <w:rsid w:val="31697109"/>
    <w:rsid w:val="31B82709"/>
    <w:rsid w:val="31C0188F"/>
    <w:rsid w:val="31D05482"/>
    <w:rsid w:val="32400B34"/>
    <w:rsid w:val="325E1D5D"/>
    <w:rsid w:val="328A72A2"/>
    <w:rsid w:val="329E6876"/>
    <w:rsid w:val="33094F3E"/>
    <w:rsid w:val="331A274D"/>
    <w:rsid w:val="333015F2"/>
    <w:rsid w:val="334B6320"/>
    <w:rsid w:val="33AC5CFE"/>
    <w:rsid w:val="33D934D4"/>
    <w:rsid w:val="33E22A32"/>
    <w:rsid w:val="33EE2BC8"/>
    <w:rsid w:val="33FE2F6A"/>
    <w:rsid w:val="340A7AA1"/>
    <w:rsid w:val="340E07E5"/>
    <w:rsid w:val="34235BF7"/>
    <w:rsid w:val="344242DA"/>
    <w:rsid w:val="344924A8"/>
    <w:rsid w:val="34853B6C"/>
    <w:rsid w:val="34BB30CA"/>
    <w:rsid w:val="352E4B00"/>
    <w:rsid w:val="35583D0C"/>
    <w:rsid w:val="35846167"/>
    <w:rsid w:val="358C5FA8"/>
    <w:rsid w:val="35C15DF1"/>
    <w:rsid w:val="35C2433A"/>
    <w:rsid w:val="36074A7F"/>
    <w:rsid w:val="36923549"/>
    <w:rsid w:val="36A007CA"/>
    <w:rsid w:val="36B64503"/>
    <w:rsid w:val="36B75FBF"/>
    <w:rsid w:val="36B93CDB"/>
    <w:rsid w:val="36BD0C45"/>
    <w:rsid w:val="372B13D8"/>
    <w:rsid w:val="377507A4"/>
    <w:rsid w:val="37BD5F40"/>
    <w:rsid w:val="37C6025A"/>
    <w:rsid w:val="37E00298"/>
    <w:rsid w:val="38243691"/>
    <w:rsid w:val="38B302F9"/>
    <w:rsid w:val="38C23719"/>
    <w:rsid w:val="38F12CD3"/>
    <w:rsid w:val="38F94775"/>
    <w:rsid w:val="392971ED"/>
    <w:rsid w:val="39325651"/>
    <w:rsid w:val="39492756"/>
    <w:rsid w:val="39BC72AF"/>
    <w:rsid w:val="39C55824"/>
    <w:rsid w:val="39D751EC"/>
    <w:rsid w:val="3A196A24"/>
    <w:rsid w:val="3A600B72"/>
    <w:rsid w:val="3A872856"/>
    <w:rsid w:val="3AD153F6"/>
    <w:rsid w:val="3AED7408"/>
    <w:rsid w:val="3B123B6A"/>
    <w:rsid w:val="3B3763D1"/>
    <w:rsid w:val="3B415911"/>
    <w:rsid w:val="3B4C26F9"/>
    <w:rsid w:val="3B83757B"/>
    <w:rsid w:val="3BF515B8"/>
    <w:rsid w:val="3C2F6E1E"/>
    <w:rsid w:val="3C4F64BA"/>
    <w:rsid w:val="3C5F488B"/>
    <w:rsid w:val="3CDA245A"/>
    <w:rsid w:val="3D0E720F"/>
    <w:rsid w:val="3D147A79"/>
    <w:rsid w:val="3D1E06B7"/>
    <w:rsid w:val="3D253F49"/>
    <w:rsid w:val="3D64371F"/>
    <w:rsid w:val="3D9C6749"/>
    <w:rsid w:val="3E3D234D"/>
    <w:rsid w:val="3E57427F"/>
    <w:rsid w:val="3E58617A"/>
    <w:rsid w:val="3E762CD2"/>
    <w:rsid w:val="3EBC460F"/>
    <w:rsid w:val="3EDA0523"/>
    <w:rsid w:val="3EEA1D30"/>
    <w:rsid w:val="3EFD5077"/>
    <w:rsid w:val="3F116E78"/>
    <w:rsid w:val="3F9F7D02"/>
    <w:rsid w:val="3FAA4B1E"/>
    <w:rsid w:val="400C37B6"/>
    <w:rsid w:val="407A6407"/>
    <w:rsid w:val="40EB2B03"/>
    <w:rsid w:val="419D5281"/>
    <w:rsid w:val="41FA4171"/>
    <w:rsid w:val="4200449D"/>
    <w:rsid w:val="421C77F7"/>
    <w:rsid w:val="42200B2A"/>
    <w:rsid w:val="423A3BCC"/>
    <w:rsid w:val="424E57D2"/>
    <w:rsid w:val="42955789"/>
    <w:rsid w:val="42B26C49"/>
    <w:rsid w:val="42C6653D"/>
    <w:rsid w:val="43193755"/>
    <w:rsid w:val="433A6FE6"/>
    <w:rsid w:val="43480868"/>
    <w:rsid w:val="4350713C"/>
    <w:rsid w:val="436653E0"/>
    <w:rsid w:val="437A17D2"/>
    <w:rsid w:val="437E00E5"/>
    <w:rsid w:val="43C4431A"/>
    <w:rsid w:val="43D33FC1"/>
    <w:rsid w:val="440270DC"/>
    <w:rsid w:val="443D7F3C"/>
    <w:rsid w:val="44B951CC"/>
    <w:rsid w:val="44CD14E0"/>
    <w:rsid w:val="44E95C5F"/>
    <w:rsid w:val="44F20B0B"/>
    <w:rsid w:val="450440BD"/>
    <w:rsid w:val="452E5F4C"/>
    <w:rsid w:val="45323F94"/>
    <w:rsid w:val="45612018"/>
    <w:rsid w:val="458946E9"/>
    <w:rsid w:val="45A47C0E"/>
    <w:rsid w:val="45DD24FD"/>
    <w:rsid w:val="46577FD6"/>
    <w:rsid w:val="466A4950"/>
    <w:rsid w:val="46B1257F"/>
    <w:rsid w:val="46D955A7"/>
    <w:rsid w:val="46F47493"/>
    <w:rsid w:val="47133957"/>
    <w:rsid w:val="47340568"/>
    <w:rsid w:val="475E594F"/>
    <w:rsid w:val="477F5BD9"/>
    <w:rsid w:val="47A07E0C"/>
    <w:rsid w:val="481F59B9"/>
    <w:rsid w:val="48223734"/>
    <w:rsid w:val="48573DC9"/>
    <w:rsid w:val="4870272E"/>
    <w:rsid w:val="48A1650E"/>
    <w:rsid w:val="48A42841"/>
    <w:rsid w:val="48A51BE4"/>
    <w:rsid w:val="4960386B"/>
    <w:rsid w:val="496D0037"/>
    <w:rsid w:val="49AC56AA"/>
    <w:rsid w:val="49DC7715"/>
    <w:rsid w:val="49F82E71"/>
    <w:rsid w:val="49FA2907"/>
    <w:rsid w:val="4A023139"/>
    <w:rsid w:val="4A18523E"/>
    <w:rsid w:val="4A534676"/>
    <w:rsid w:val="4A7B576F"/>
    <w:rsid w:val="4AF561A9"/>
    <w:rsid w:val="4B137843"/>
    <w:rsid w:val="4B5B44D6"/>
    <w:rsid w:val="4B755919"/>
    <w:rsid w:val="4BDD08B6"/>
    <w:rsid w:val="4C4A0649"/>
    <w:rsid w:val="4C4B40C4"/>
    <w:rsid w:val="4C5E5B84"/>
    <w:rsid w:val="4C686A8F"/>
    <w:rsid w:val="4C7E5ECA"/>
    <w:rsid w:val="4C876AA5"/>
    <w:rsid w:val="4CD869BE"/>
    <w:rsid w:val="4CDD2D48"/>
    <w:rsid w:val="4CEF5BAF"/>
    <w:rsid w:val="4CF71044"/>
    <w:rsid w:val="4D0E00FB"/>
    <w:rsid w:val="4D150F19"/>
    <w:rsid w:val="4D176606"/>
    <w:rsid w:val="4D1B7592"/>
    <w:rsid w:val="4D6342E6"/>
    <w:rsid w:val="4D7D6626"/>
    <w:rsid w:val="4D9705E1"/>
    <w:rsid w:val="4DD840B2"/>
    <w:rsid w:val="4DEC4FB0"/>
    <w:rsid w:val="4E075D8A"/>
    <w:rsid w:val="4E277936"/>
    <w:rsid w:val="4E373A6E"/>
    <w:rsid w:val="4E5744BE"/>
    <w:rsid w:val="4E723CC6"/>
    <w:rsid w:val="4EC00FAD"/>
    <w:rsid w:val="4F477F24"/>
    <w:rsid w:val="4F9843DC"/>
    <w:rsid w:val="4FC62A8C"/>
    <w:rsid w:val="4FE20F0D"/>
    <w:rsid w:val="4FE51552"/>
    <w:rsid w:val="50504C4B"/>
    <w:rsid w:val="505259A6"/>
    <w:rsid w:val="509C6E7C"/>
    <w:rsid w:val="50AD6E7B"/>
    <w:rsid w:val="50FE2DC9"/>
    <w:rsid w:val="51087240"/>
    <w:rsid w:val="51183931"/>
    <w:rsid w:val="5162104E"/>
    <w:rsid w:val="51652956"/>
    <w:rsid w:val="52376A65"/>
    <w:rsid w:val="52F201A7"/>
    <w:rsid w:val="531339DF"/>
    <w:rsid w:val="53185E60"/>
    <w:rsid w:val="53267B7D"/>
    <w:rsid w:val="53280385"/>
    <w:rsid w:val="53A039CC"/>
    <w:rsid w:val="53A1505A"/>
    <w:rsid w:val="53D63303"/>
    <w:rsid w:val="53EE4E13"/>
    <w:rsid w:val="54013B9C"/>
    <w:rsid w:val="5403021C"/>
    <w:rsid w:val="54063E08"/>
    <w:rsid w:val="543437E8"/>
    <w:rsid w:val="54AA0472"/>
    <w:rsid w:val="54F73313"/>
    <w:rsid w:val="54F80955"/>
    <w:rsid w:val="551BA1FB"/>
    <w:rsid w:val="55307EC3"/>
    <w:rsid w:val="555170A7"/>
    <w:rsid w:val="5587536D"/>
    <w:rsid w:val="558E195E"/>
    <w:rsid w:val="559B174B"/>
    <w:rsid w:val="559D2301"/>
    <w:rsid w:val="55C7435D"/>
    <w:rsid w:val="55CE0CF4"/>
    <w:rsid w:val="55E274D3"/>
    <w:rsid w:val="56345351"/>
    <w:rsid w:val="56934986"/>
    <w:rsid w:val="56B22A9C"/>
    <w:rsid w:val="56C500AD"/>
    <w:rsid w:val="56FA2AF5"/>
    <w:rsid w:val="57170776"/>
    <w:rsid w:val="573A158A"/>
    <w:rsid w:val="57B72A76"/>
    <w:rsid w:val="57C3426C"/>
    <w:rsid w:val="57CE1F93"/>
    <w:rsid w:val="58330E51"/>
    <w:rsid w:val="588743D1"/>
    <w:rsid w:val="5887701A"/>
    <w:rsid w:val="588B0E82"/>
    <w:rsid w:val="58910463"/>
    <w:rsid w:val="58FD7B83"/>
    <w:rsid w:val="59405110"/>
    <w:rsid w:val="5992121F"/>
    <w:rsid w:val="59C0439F"/>
    <w:rsid w:val="59E62788"/>
    <w:rsid w:val="5A676649"/>
    <w:rsid w:val="5A6B0418"/>
    <w:rsid w:val="5A821E11"/>
    <w:rsid w:val="5AA02D50"/>
    <w:rsid w:val="5ABE2233"/>
    <w:rsid w:val="5ACD31D3"/>
    <w:rsid w:val="5AEA2F34"/>
    <w:rsid w:val="5B63592A"/>
    <w:rsid w:val="5B81205D"/>
    <w:rsid w:val="5BDF5D95"/>
    <w:rsid w:val="5BFB542E"/>
    <w:rsid w:val="5BFE7528"/>
    <w:rsid w:val="5C006131"/>
    <w:rsid w:val="5C671637"/>
    <w:rsid w:val="5CBE4839"/>
    <w:rsid w:val="5D69156A"/>
    <w:rsid w:val="5E20553C"/>
    <w:rsid w:val="5E2467F1"/>
    <w:rsid w:val="5E9005AB"/>
    <w:rsid w:val="5EA26F25"/>
    <w:rsid w:val="5ED30E8D"/>
    <w:rsid w:val="5EF750D3"/>
    <w:rsid w:val="5F1A2B43"/>
    <w:rsid w:val="5F3C74B1"/>
    <w:rsid w:val="5F6B65C0"/>
    <w:rsid w:val="5F9D7206"/>
    <w:rsid w:val="5FB837BB"/>
    <w:rsid w:val="5FDC6DB7"/>
    <w:rsid w:val="60C018E5"/>
    <w:rsid w:val="60CC405A"/>
    <w:rsid w:val="617F722A"/>
    <w:rsid w:val="61831064"/>
    <w:rsid w:val="61890A5E"/>
    <w:rsid w:val="618E2BA5"/>
    <w:rsid w:val="61E215D8"/>
    <w:rsid w:val="61E32B56"/>
    <w:rsid w:val="621B3775"/>
    <w:rsid w:val="62364782"/>
    <w:rsid w:val="6264455D"/>
    <w:rsid w:val="627B1A1A"/>
    <w:rsid w:val="628609DD"/>
    <w:rsid w:val="62D27C69"/>
    <w:rsid w:val="62D81168"/>
    <w:rsid w:val="6306443D"/>
    <w:rsid w:val="631D7351"/>
    <w:rsid w:val="634637B3"/>
    <w:rsid w:val="6394356A"/>
    <w:rsid w:val="63C4023A"/>
    <w:rsid w:val="63C61B2C"/>
    <w:rsid w:val="63D40BE9"/>
    <w:rsid w:val="64102431"/>
    <w:rsid w:val="64A5243A"/>
    <w:rsid w:val="64C72E5D"/>
    <w:rsid w:val="64F531DE"/>
    <w:rsid w:val="65373578"/>
    <w:rsid w:val="655C6080"/>
    <w:rsid w:val="65A923BE"/>
    <w:rsid w:val="65EC13FE"/>
    <w:rsid w:val="663C6D33"/>
    <w:rsid w:val="66A2418A"/>
    <w:rsid w:val="66C21EF1"/>
    <w:rsid w:val="6705251D"/>
    <w:rsid w:val="671F124A"/>
    <w:rsid w:val="67421A13"/>
    <w:rsid w:val="67446F41"/>
    <w:rsid w:val="677A33C6"/>
    <w:rsid w:val="678B0CFF"/>
    <w:rsid w:val="67CA1E99"/>
    <w:rsid w:val="67FF3920"/>
    <w:rsid w:val="680779FA"/>
    <w:rsid w:val="681F6961"/>
    <w:rsid w:val="68392DD2"/>
    <w:rsid w:val="683A153C"/>
    <w:rsid w:val="68610A2F"/>
    <w:rsid w:val="68805514"/>
    <w:rsid w:val="68F66F72"/>
    <w:rsid w:val="69316E2F"/>
    <w:rsid w:val="694E2071"/>
    <w:rsid w:val="69500FD5"/>
    <w:rsid w:val="695823DF"/>
    <w:rsid w:val="696372B1"/>
    <w:rsid w:val="69682DFA"/>
    <w:rsid w:val="69766163"/>
    <w:rsid w:val="697A3B33"/>
    <w:rsid w:val="697C5653"/>
    <w:rsid w:val="69A2602B"/>
    <w:rsid w:val="69D44760"/>
    <w:rsid w:val="6A3B3D8A"/>
    <w:rsid w:val="6A40700F"/>
    <w:rsid w:val="6A520EC7"/>
    <w:rsid w:val="6AF87E20"/>
    <w:rsid w:val="6B322639"/>
    <w:rsid w:val="6B4424F5"/>
    <w:rsid w:val="6BE03164"/>
    <w:rsid w:val="6C013E60"/>
    <w:rsid w:val="6C0C02D6"/>
    <w:rsid w:val="6C5F20C1"/>
    <w:rsid w:val="6C636C38"/>
    <w:rsid w:val="6C6D6106"/>
    <w:rsid w:val="6D942DAC"/>
    <w:rsid w:val="6DB34098"/>
    <w:rsid w:val="6DB545B6"/>
    <w:rsid w:val="6DE02FB4"/>
    <w:rsid w:val="6E184EBF"/>
    <w:rsid w:val="6E514CED"/>
    <w:rsid w:val="6E6D3E77"/>
    <w:rsid w:val="6EB563D5"/>
    <w:rsid w:val="6EC05440"/>
    <w:rsid w:val="6ED92677"/>
    <w:rsid w:val="6EEC32C0"/>
    <w:rsid w:val="6F225983"/>
    <w:rsid w:val="6FE12481"/>
    <w:rsid w:val="6FFC5590"/>
    <w:rsid w:val="70194638"/>
    <w:rsid w:val="706D1DD0"/>
    <w:rsid w:val="70856B87"/>
    <w:rsid w:val="708E720A"/>
    <w:rsid w:val="709D12FB"/>
    <w:rsid w:val="70D527EE"/>
    <w:rsid w:val="71064BB2"/>
    <w:rsid w:val="713C0E55"/>
    <w:rsid w:val="715B5300"/>
    <w:rsid w:val="719704C5"/>
    <w:rsid w:val="71B165C9"/>
    <w:rsid w:val="71D03F5F"/>
    <w:rsid w:val="71D13952"/>
    <w:rsid w:val="71D27F8A"/>
    <w:rsid w:val="71D443CA"/>
    <w:rsid w:val="72107032"/>
    <w:rsid w:val="72550567"/>
    <w:rsid w:val="72553024"/>
    <w:rsid w:val="730F2D5A"/>
    <w:rsid w:val="73122968"/>
    <w:rsid w:val="731F5D5E"/>
    <w:rsid w:val="73C51AD5"/>
    <w:rsid w:val="73D00D3B"/>
    <w:rsid w:val="741E793C"/>
    <w:rsid w:val="7451770E"/>
    <w:rsid w:val="74584D11"/>
    <w:rsid w:val="745E3944"/>
    <w:rsid w:val="74FF15F7"/>
    <w:rsid w:val="757F4E81"/>
    <w:rsid w:val="75A473F1"/>
    <w:rsid w:val="75EA3DBF"/>
    <w:rsid w:val="7635099D"/>
    <w:rsid w:val="76A00747"/>
    <w:rsid w:val="76B621AC"/>
    <w:rsid w:val="76C47843"/>
    <w:rsid w:val="771A350B"/>
    <w:rsid w:val="77762421"/>
    <w:rsid w:val="77B56B1F"/>
    <w:rsid w:val="77DD3D69"/>
    <w:rsid w:val="77E001CA"/>
    <w:rsid w:val="77EE3FE7"/>
    <w:rsid w:val="780F09F4"/>
    <w:rsid w:val="78A90480"/>
    <w:rsid w:val="78C929C7"/>
    <w:rsid w:val="78F47F26"/>
    <w:rsid w:val="7A23616F"/>
    <w:rsid w:val="7A364017"/>
    <w:rsid w:val="7A3E68E0"/>
    <w:rsid w:val="7A7534D9"/>
    <w:rsid w:val="7A8265E1"/>
    <w:rsid w:val="7B115F77"/>
    <w:rsid w:val="7B516B17"/>
    <w:rsid w:val="7B5B0EDB"/>
    <w:rsid w:val="7B686D42"/>
    <w:rsid w:val="7B7E48B9"/>
    <w:rsid w:val="7B841746"/>
    <w:rsid w:val="7B8C2A8B"/>
    <w:rsid w:val="7B910C0D"/>
    <w:rsid w:val="7BBC14D2"/>
    <w:rsid w:val="7C6C5AC7"/>
    <w:rsid w:val="7CC6544B"/>
    <w:rsid w:val="7CCE4E02"/>
    <w:rsid w:val="7D0239FF"/>
    <w:rsid w:val="7D33726F"/>
    <w:rsid w:val="7D5E40CD"/>
    <w:rsid w:val="7D731513"/>
    <w:rsid w:val="7DA40026"/>
    <w:rsid w:val="7DCD56F2"/>
    <w:rsid w:val="7DE5177B"/>
    <w:rsid w:val="7E355D8D"/>
    <w:rsid w:val="7E46374B"/>
    <w:rsid w:val="7E4E00D8"/>
    <w:rsid w:val="7E7B66EA"/>
    <w:rsid w:val="7E914F09"/>
    <w:rsid w:val="7EAD186A"/>
    <w:rsid w:val="7EC34BC8"/>
    <w:rsid w:val="7F001CE7"/>
    <w:rsid w:val="7FE47E50"/>
    <w:rsid w:val="EFED5874"/>
    <w:rsid w:val="F2EF8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9"/>
    <w:pPr>
      <w:spacing w:line="440" w:lineRule="exact"/>
      <w:ind w:firstLine="200" w:firstLineChars="200"/>
      <w:outlineLvl w:val="2"/>
    </w:pPr>
    <w:rPr>
      <w:b/>
      <w:bCs/>
      <w:sz w:val="24"/>
    </w:rPr>
  </w:style>
  <w:style w:type="paragraph" w:styleId="4">
    <w:name w:val="heading 4"/>
    <w:basedOn w:val="1"/>
    <w:next w:val="5"/>
    <w:qFormat/>
    <w:locked/>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8"/>
    <w:qFormat/>
    <w:locked/>
    <w:uiPriority w:val="0"/>
    <w:pPr>
      <w:ind w:firstLine="420"/>
    </w:pPr>
  </w:style>
  <w:style w:type="paragraph" w:styleId="6">
    <w:name w:val="toc 1"/>
    <w:basedOn w:val="1"/>
    <w:next w:val="1"/>
    <w:qFormat/>
    <w:locked/>
    <w:uiPriority w:val="39"/>
    <w:rPr>
      <w:b/>
      <w:szCs w:val="20"/>
    </w:rPr>
  </w:style>
  <w:style w:type="paragraph" w:styleId="7">
    <w:name w:val="annotation text"/>
    <w:basedOn w:val="1"/>
    <w:link w:val="39"/>
    <w:semiHidden/>
    <w:qFormat/>
    <w:uiPriority w:val="0"/>
    <w:pPr>
      <w:jc w:val="left"/>
    </w:pPr>
    <w:rPr>
      <w:kern w:val="0"/>
      <w:sz w:val="24"/>
      <w:szCs w:val="20"/>
    </w:rPr>
  </w:style>
  <w:style w:type="paragraph" w:styleId="8">
    <w:name w:val="Body Text"/>
    <w:basedOn w:val="1"/>
    <w:link w:val="40"/>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41"/>
    <w:qFormat/>
    <w:uiPriority w:val="0"/>
    <w:pPr>
      <w:spacing w:after="120"/>
      <w:ind w:left="420" w:leftChars="200"/>
    </w:pPr>
    <w:rPr>
      <w:kern w:val="0"/>
      <w:sz w:val="24"/>
      <w:szCs w:val="20"/>
    </w:rPr>
  </w:style>
  <w:style w:type="paragraph" w:customStyle="1" w:styleId="10">
    <w:name w:val="样式 正文文本缩进 + 行距: 1.5 倍行距"/>
    <w:basedOn w:val="1"/>
    <w:qFormat/>
    <w:uiPriority w:val="0"/>
    <w:pPr>
      <w:spacing w:after="120" w:line="360" w:lineRule="auto"/>
      <w:ind w:left="90" w:leftChars="32" w:firstLine="560" w:firstLineChars="200"/>
    </w:pPr>
    <w:rPr>
      <w:rFonts w:cs="宋体"/>
    </w:rPr>
  </w:style>
  <w:style w:type="paragraph" w:styleId="11">
    <w:name w:val="Block Text"/>
    <w:basedOn w:val="1"/>
    <w:qFormat/>
    <w:locked/>
    <w:uiPriority w:val="0"/>
    <w:pPr>
      <w:spacing w:after="120"/>
      <w:ind w:left="1440" w:leftChars="700" w:right="1440" w:rightChars="700"/>
    </w:pPr>
  </w:style>
  <w:style w:type="paragraph" w:styleId="12">
    <w:name w:val="Plain Text"/>
    <w:basedOn w:val="1"/>
    <w:qFormat/>
    <w:locked/>
    <w:uiPriority w:val="0"/>
    <w:pPr>
      <w:spacing w:line="480" w:lineRule="exact"/>
    </w:pPr>
    <w:rPr>
      <w:rFonts w:ascii="宋体" w:hAnsi="Courier New" w:cs="Courier New"/>
      <w:sz w:val="28"/>
      <w:szCs w:val="21"/>
    </w:rPr>
  </w:style>
  <w:style w:type="paragraph" w:styleId="13">
    <w:name w:val="Date"/>
    <w:basedOn w:val="1"/>
    <w:next w:val="1"/>
    <w:link w:val="42"/>
    <w:qFormat/>
    <w:uiPriority w:val="0"/>
    <w:pPr>
      <w:ind w:left="100" w:leftChars="2500"/>
    </w:pPr>
    <w:rPr>
      <w:kern w:val="0"/>
      <w:sz w:val="24"/>
      <w:szCs w:val="20"/>
    </w:rPr>
  </w:style>
  <w:style w:type="paragraph" w:styleId="14">
    <w:name w:val="Balloon Text"/>
    <w:basedOn w:val="1"/>
    <w:link w:val="43"/>
    <w:semiHidden/>
    <w:qFormat/>
    <w:uiPriority w:val="0"/>
    <w:rPr>
      <w:kern w:val="0"/>
      <w:sz w:val="18"/>
      <w:szCs w:val="20"/>
    </w:rPr>
  </w:style>
  <w:style w:type="paragraph" w:styleId="15">
    <w:name w:val="footer"/>
    <w:basedOn w:val="1"/>
    <w:link w:val="44"/>
    <w:qFormat/>
    <w:uiPriority w:val="99"/>
    <w:pPr>
      <w:tabs>
        <w:tab w:val="center" w:pos="4153"/>
        <w:tab w:val="right" w:pos="8306"/>
      </w:tabs>
      <w:snapToGrid w:val="0"/>
      <w:jc w:val="left"/>
    </w:pPr>
    <w:rPr>
      <w:kern w:val="0"/>
      <w:sz w:val="18"/>
      <w:szCs w:val="20"/>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rPr>
      <w:rFonts w:hint="eastAsia" w:ascii="Cambria" w:hAnsi="Cambria"/>
      <w:b/>
    </w:rPr>
  </w:style>
  <w:style w:type="paragraph" w:styleId="18">
    <w:name w:val="index 1"/>
    <w:basedOn w:val="1"/>
    <w:next w:val="1"/>
    <w:qFormat/>
    <w:locked/>
    <w:uiPriority w:val="0"/>
  </w:style>
  <w:style w:type="paragraph" w:styleId="19">
    <w:name w:val="List"/>
    <w:basedOn w:val="1"/>
    <w:qFormat/>
    <w:locked/>
    <w:uiPriority w:val="0"/>
    <w:pPr>
      <w:ind w:left="200" w:hanging="200" w:hangingChars="200"/>
    </w:pPr>
  </w:style>
  <w:style w:type="paragraph" w:styleId="20">
    <w:name w:val="toc 2"/>
    <w:basedOn w:val="1"/>
    <w:next w:val="1"/>
    <w:qFormat/>
    <w:locked/>
    <w:uiPriority w:val="0"/>
    <w:pPr>
      <w:ind w:left="420" w:leftChars="200"/>
    </w:pPr>
    <w:rPr>
      <w:rFonts w:hAnsi="宋体"/>
    </w:rPr>
  </w:style>
  <w:style w:type="paragraph" w:styleId="21">
    <w:name w:val="Body Text 2"/>
    <w:basedOn w:val="1"/>
    <w:qFormat/>
    <w:locked/>
    <w:uiPriority w:val="0"/>
    <w:pPr>
      <w:spacing w:line="400" w:lineRule="exact"/>
    </w:pPr>
    <w:rPr>
      <w:sz w:val="24"/>
    </w:rPr>
  </w:style>
  <w:style w:type="paragraph" w:styleId="22">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9"/>
    <w:next w:val="1"/>
    <w:qFormat/>
    <w:locked/>
    <w:uiPriority w:val="0"/>
    <w:pPr>
      <w:spacing w:before="240" w:after="60"/>
      <w:jc w:val="center"/>
      <w:outlineLvl w:val="0"/>
    </w:pPr>
    <w:rPr>
      <w:rFonts w:ascii="Arial" w:hAnsi="Arial" w:cs="Arial"/>
      <w:b/>
      <w:bCs/>
      <w:sz w:val="32"/>
      <w:szCs w:val="32"/>
    </w:rPr>
  </w:style>
  <w:style w:type="paragraph" w:styleId="24">
    <w:name w:val="annotation subject"/>
    <w:basedOn w:val="7"/>
    <w:next w:val="7"/>
    <w:link w:val="47"/>
    <w:semiHidden/>
    <w:qFormat/>
    <w:uiPriority w:val="0"/>
    <w:rPr>
      <w:b/>
    </w:rPr>
  </w:style>
  <w:style w:type="paragraph" w:styleId="25">
    <w:name w:val="Body Text First Indent"/>
    <w:basedOn w:val="8"/>
    <w:qFormat/>
    <w:locked/>
    <w:uiPriority w:val="0"/>
    <w:pPr>
      <w:ind w:firstLine="420" w:firstLineChars="100"/>
    </w:pPr>
    <w:rPr>
      <w:szCs w:val="24"/>
    </w:rPr>
  </w:style>
  <w:style w:type="paragraph" w:styleId="26">
    <w:name w:val="Body Text First Indent 2"/>
    <w:basedOn w:val="9"/>
    <w:next w:val="1"/>
    <w:qFormat/>
    <w:locked/>
    <w:uiPriority w:val="0"/>
    <w:pPr>
      <w:ind w:firstLine="420"/>
    </w:pPr>
    <w:rPr>
      <w:sz w:val="21"/>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bCs/>
    </w:rPr>
  </w:style>
  <w:style w:type="character" w:styleId="31">
    <w:name w:val="page number"/>
    <w:qFormat/>
    <w:locked/>
    <w:uiPriority w:val="0"/>
  </w:style>
  <w:style w:type="character" w:styleId="32">
    <w:name w:val="FollowedHyperlink"/>
    <w:qFormat/>
    <w:locked/>
    <w:uiPriority w:val="0"/>
    <w:rPr>
      <w:color w:val="0088CC"/>
      <w:u w:val="none"/>
    </w:rPr>
  </w:style>
  <w:style w:type="character" w:styleId="33">
    <w:name w:val="Emphasis"/>
    <w:qFormat/>
    <w:locked/>
    <w:uiPriority w:val="0"/>
    <w:rPr>
      <w:i/>
      <w:iCs/>
    </w:rPr>
  </w:style>
  <w:style w:type="character" w:styleId="34">
    <w:name w:val="Hyperlink"/>
    <w:qFormat/>
    <w:locked/>
    <w:uiPriority w:val="0"/>
    <w:rPr>
      <w:color w:val="0088CC"/>
      <w:u w:val="none"/>
    </w:rPr>
  </w:style>
  <w:style w:type="character" w:styleId="35">
    <w:name w:val="HTML Code"/>
    <w:qFormat/>
    <w:locked/>
    <w:uiPriority w:val="0"/>
    <w:rPr>
      <w:rFonts w:ascii="Consolas" w:hAnsi="Consolas" w:eastAsia="Consolas" w:cs="Consolas"/>
      <w:color w:val="DD1144"/>
      <w:sz w:val="18"/>
      <w:szCs w:val="18"/>
      <w:bdr w:val="single" w:color="E1E1E8" w:sz="6" w:space="0"/>
      <w:shd w:val="clear" w:color="auto" w:fill="F7F7F9"/>
    </w:rPr>
  </w:style>
  <w:style w:type="character" w:styleId="36">
    <w:name w:val="annotation reference"/>
    <w:semiHidden/>
    <w:qFormat/>
    <w:uiPriority w:val="0"/>
    <w:rPr>
      <w:sz w:val="21"/>
    </w:rPr>
  </w:style>
  <w:style w:type="character" w:styleId="37">
    <w:name w:val="HTML Cite"/>
    <w:qFormat/>
    <w:locked/>
    <w:uiPriority w:val="0"/>
  </w:style>
  <w:style w:type="character" w:customStyle="1" w:styleId="38">
    <w:name w:val="正文缩进 字符"/>
    <w:link w:val="5"/>
    <w:qFormat/>
    <w:uiPriority w:val="0"/>
    <w:rPr>
      <w:kern w:val="2"/>
      <w:sz w:val="21"/>
      <w:szCs w:val="24"/>
    </w:rPr>
  </w:style>
  <w:style w:type="character" w:customStyle="1" w:styleId="39">
    <w:name w:val="批注文字 字符"/>
    <w:link w:val="7"/>
    <w:semiHidden/>
    <w:qFormat/>
    <w:locked/>
    <w:uiPriority w:val="0"/>
    <w:rPr>
      <w:sz w:val="24"/>
    </w:rPr>
  </w:style>
  <w:style w:type="character" w:customStyle="1" w:styleId="40">
    <w:name w:val="正文文本 字符"/>
    <w:link w:val="8"/>
    <w:qFormat/>
    <w:locked/>
    <w:uiPriority w:val="0"/>
    <w:rPr>
      <w:sz w:val="18"/>
    </w:rPr>
  </w:style>
  <w:style w:type="character" w:customStyle="1" w:styleId="41">
    <w:name w:val="正文文本缩进 字符"/>
    <w:link w:val="9"/>
    <w:semiHidden/>
    <w:qFormat/>
    <w:locked/>
    <w:uiPriority w:val="0"/>
    <w:rPr>
      <w:rFonts w:ascii="Times New Roman" w:hAnsi="Times New Roman" w:eastAsia="宋体"/>
      <w:sz w:val="24"/>
    </w:rPr>
  </w:style>
  <w:style w:type="character" w:customStyle="1" w:styleId="42">
    <w:name w:val="日期 字符1"/>
    <w:link w:val="13"/>
    <w:qFormat/>
    <w:locked/>
    <w:uiPriority w:val="0"/>
    <w:rPr>
      <w:rFonts w:ascii="Times New Roman" w:hAnsi="Times New Roman" w:eastAsia="宋体"/>
      <w:sz w:val="24"/>
    </w:rPr>
  </w:style>
  <w:style w:type="character" w:customStyle="1" w:styleId="43">
    <w:name w:val="批注框文本 字符"/>
    <w:link w:val="14"/>
    <w:semiHidden/>
    <w:qFormat/>
    <w:locked/>
    <w:uiPriority w:val="0"/>
    <w:rPr>
      <w:rFonts w:ascii="Times New Roman" w:hAnsi="Times New Roman" w:eastAsia="宋体"/>
      <w:sz w:val="18"/>
    </w:rPr>
  </w:style>
  <w:style w:type="character" w:customStyle="1" w:styleId="44">
    <w:name w:val="页脚 字符1"/>
    <w:link w:val="15"/>
    <w:qFormat/>
    <w:locked/>
    <w:uiPriority w:val="99"/>
    <w:rPr>
      <w:sz w:val="18"/>
    </w:rPr>
  </w:style>
  <w:style w:type="character" w:customStyle="1" w:styleId="45">
    <w:name w:val="页眉 字符"/>
    <w:link w:val="16"/>
    <w:qFormat/>
    <w:locked/>
    <w:uiPriority w:val="0"/>
    <w:rPr>
      <w:sz w:val="18"/>
    </w:rPr>
  </w:style>
  <w:style w:type="character" w:customStyle="1" w:styleId="46">
    <w:name w:val="普通(网站) 字符"/>
    <w:link w:val="22"/>
    <w:qFormat/>
    <w:locked/>
    <w:uiPriority w:val="0"/>
    <w:rPr>
      <w:rFonts w:ascii="宋体" w:hAnsi="宋体" w:eastAsia="宋体"/>
      <w:sz w:val="24"/>
    </w:rPr>
  </w:style>
  <w:style w:type="character" w:customStyle="1" w:styleId="47">
    <w:name w:val="批注主题 字符"/>
    <w:link w:val="24"/>
    <w:semiHidden/>
    <w:qFormat/>
    <w:locked/>
    <w:uiPriority w:val="0"/>
    <w:rPr>
      <w:rFonts w:ascii="Times New Roman" w:hAnsi="Times New Roman" w:eastAsia="宋体"/>
      <w:b/>
      <w:kern w:val="2"/>
      <w:sz w:val="24"/>
    </w:rPr>
  </w:style>
  <w:style w:type="paragraph" w:customStyle="1" w:styleId="48">
    <w:name w:val="书正文"/>
    <w:basedOn w:val="1"/>
    <w:qFormat/>
    <w:uiPriority w:val="0"/>
    <w:pPr>
      <w:spacing w:line="500" w:lineRule="exact"/>
      <w:ind w:firstLine="640" w:firstLineChars="200"/>
    </w:p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 Char"/>
    <w:link w:val="52"/>
    <w:qFormat/>
    <w:locked/>
    <w:uiPriority w:val="0"/>
    <w:rPr>
      <w:snapToGrid w:val="0"/>
      <w:kern w:val="21"/>
      <w:sz w:val="24"/>
      <w:szCs w:val="24"/>
    </w:rPr>
  </w:style>
  <w:style w:type="paragraph" w:customStyle="1" w:styleId="52">
    <w:name w:val="表格"/>
    <w:basedOn w:val="53"/>
    <w:next w:val="5"/>
    <w:link w:val="51"/>
    <w:qFormat/>
    <w:uiPriority w:val="0"/>
    <w:pPr>
      <w:tabs>
        <w:tab w:val="center" w:pos="4153"/>
        <w:tab w:val="right" w:pos="8306"/>
      </w:tabs>
      <w:spacing w:line="360" w:lineRule="exact"/>
      <w:ind w:firstLine="0" w:firstLineChars="0"/>
      <w:jc w:val="center"/>
    </w:pPr>
    <w:rPr>
      <w:snapToGrid w:val="0"/>
      <w:kern w:val="21"/>
      <w:szCs w:val="24"/>
    </w:rPr>
  </w:style>
  <w:style w:type="paragraph" w:customStyle="1" w:styleId="53">
    <w:name w:val="正文1"/>
    <w:basedOn w:val="15"/>
    <w:qFormat/>
    <w:uiPriority w:val="0"/>
    <w:pPr>
      <w:adjustRightInd w:val="0"/>
      <w:spacing w:line="440" w:lineRule="exact"/>
      <w:ind w:firstLine="200" w:firstLineChars="200"/>
    </w:pPr>
    <w:rPr>
      <w:sz w:val="24"/>
    </w:rPr>
  </w:style>
  <w:style w:type="character" w:customStyle="1" w:styleId="54">
    <w:name w:val="日期 字符"/>
    <w:semiHidden/>
    <w:qFormat/>
    <w:uiPriority w:val="0"/>
    <w:rPr>
      <w:rFonts w:ascii="Times New Roman" w:hAnsi="Times New Roman" w:eastAsia="宋体"/>
      <w:sz w:val="24"/>
    </w:rPr>
  </w:style>
  <w:style w:type="character" w:customStyle="1" w:styleId="55">
    <w:name w:val="批注文字 字符1"/>
    <w:semiHidden/>
    <w:qFormat/>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正文文字 Char"/>
    <w:qFormat/>
    <w:uiPriority w:val="0"/>
    <w:rPr>
      <w:rFonts w:eastAsia="宋体"/>
      <w:kern w:val="2"/>
      <w:sz w:val="24"/>
      <w:szCs w:val="24"/>
      <w:lang w:val="en-US" w:eastAsia="zh-CN" w:bidi="ar-SA"/>
    </w:rPr>
  </w:style>
  <w:style w:type="paragraph" w:customStyle="1" w:styleId="59">
    <w:name w:val="正文内容"/>
    <w:basedOn w:val="1"/>
    <w:qFormat/>
    <w:uiPriority w:val="0"/>
    <w:pPr>
      <w:spacing w:line="360" w:lineRule="auto"/>
      <w:ind w:firstLine="200" w:firstLineChars="200"/>
    </w:pPr>
    <w:rPr>
      <w:rFonts w:ascii="宋体"/>
      <w:sz w:val="24"/>
    </w:rPr>
  </w:style>
  <w:style w:type="paragraph" w:customStyle="1" w:styleId="60">
    <w:name w:val="表"/>
    <w:basedOn w:val="61"/>
    <w:qFormat/>
    <w:uiPriority w:val="0"/>
    <w:pPr>
      <w:keepNext/>
      <w:keepLines/>
      <w:autoSpaceDE w:val="0"/>
      <w:autoSpaceDN w:val="0"/>
      <w:adjustRightInd w:val="0"/>
      <w:spacing w:before="40" w:after="40" w:line="240" w:lineRule="exact"/>
      <w:jc w:val="center"/>
    </w:pPr>
    <w:rPr>
      <w:kern w:val="21"/>
    </w:rPr>
  </w:style>
  <w:style w:type="paragraph" w:customStyle="1" w:styleId="61">
    <w:name w:val="Char Char Char Char"/>
    <w:basedOn w:val="1"/>
    <w:qFormat/>
    <w:uiPriority w:val="0"/>
  </w:style>
  <w:style w:type="paragraph" w:customStyle="1" w:styleId="62">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63">
    <w:name w:val="武正文"/>
    <w:basedOn w:val="1"/>
    <w:qFormat/>
    <w:uiPriority w:val="0"/>
    <w:pPr>
      <w:spacing w:line="360" w:lineRule="auto"/>
      <w:ind w:firstLine="200" w:firstLineChars="200"/>
    </w:pPr>
    <w:rPr>
      <w:rFonts w:hAnsi="宋体"/>
      <w:color w:val="000000"/>
      <w:sz w:val="24"/>
    </w:rPr>
  </w:style>
  <w:style w:type="paragraph" w:customStyle="1" w:styleId="64">
    <w:name w:val="表格题"/>
    <w:basedOn w:val="1"/>
    <w:qFormat/>
    <w:uiPriority w:val="0"/>
    <w:pPr>
      <w:autoSpaceDE w:val="0"/>
      <w:autoSpaceDN w:val="0"/>
      <w:adjustRightInd w:val="0"/>
      <w:spacing w:line="360" w:lineRule="auto"/>
      <w:jc w:val="center"/>
      <w:textAlignment w:val="baseline"/>
    </w:pPr>
    <w:rPr>
      <w:b/>
      <w:kern w:val="0"/>
      <w:sz w:val="24"/>
      <w:szCs w:val="21"/>
    </w:rPr>
  </w:style>
  <w:style w:type="paragraph" w:customStyle="1" w:styleId="65">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6">
    <w:name w:val="图表头"/>
    <w:qFormat/>
    <w:uiPriority w:val="0"/>
    <w:pPr>
      <w:widowControl w:val="0"/>
      <w:spacing w:line="500" w:lineRule="exact"/>
      <w:jc w:val="center"/>
    </w:pPr>
    <w:rPr>
      <w:rFonts w:ascii="Times New Roman" w:hAnsi="Times New Roman" w:eastAsia="宋体" w:cs="Times New Roman"/>
      <w:b/>
      <w:bCs/>
      <w:spacing w:val="4"/>
      <w:kern w:val="2"/>
      <w:sz w:val="21"/>
      <w:szCs w:val="21"/>
      <w:lang w:val="en-US" w:eastAsia="zh-CN" w:bidi="ar-SA"/>
    </w:rPr>
  </w:style>
  <w:style w:type="paragraph" w:customStyle="1" w:styleId="67">
    <w:name w:val="表内"/>
    <w:basedOn w:val="1"/>
    <w:qFormat/>
    <w:uiPriority w:val="0"/>
    <w:pPr>
      <w:jc w:val="center"/>
    </w:pPr>
  </w:style>
  <w:style w:type="paragraph" w:customStyle="1" w:styleId="68">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69">
    <w:name w:val="Table Paragraph"/>
    <w:basedOn w:val="1"/>
    <w:qFormat/>
    <w:uiPriority w:val="1"/>
    <w:pPr>
      <w:autoSpaceDE w:val="0"/>
      <w:autoSpaceDN w:val="0"/>
      <w:jc w:val="center"/>
    </w:pPr>
    <w:rPr>
      <w:rFonts w:eastAsia="Times New Roman"/>
      <w:kern w:val="0"/>
      <w:sz w:val="22"/>
      <w:szCs w:val="22"/>
      <w:lang w:eastAsia="en-US"/>
    </w:rPr>
  </w:style>
  <w:style w:type="character" w:customStyle="1" w:styleId="70">
    <w:name w:val="yousite"/>
    <w:qFormat/>
    <w:uiPriority w:val="0"/>
    <w:rPr>
      <w:color w:val="8A8A8A"/>
    </w:rPr>
  </w:style>
  <w:style w:type="character" w:customStyle="1" w:styleId="71">
    <w:name w:val="jbox-icon"/>
    <w:qFormat/>
    <w:uiPriority w:val="0"/>
  </w:style>
  <w:style w:type="character" w:customStyle="1" w:styleId="72">
    <w:name w:val="jbox-icon-none"/>
    <w:qFormat/>
    <w:uiPriority w:val="0"/>
    <w:rPr>
      <w:vanish/>
    </w:rPr>
  </w:style>
  <w:style w:type="character" w:customStyle="1" w:styleId="73">
    <w:name w:val="jbox-icon-info"/>
    <w:qFormat/>
    <w:uiPriority w:val="0"/>
  </w:style>
  <w:style w:type="character" w:customStyle="1" w:styleId="74">
    <w:name w:val="layui-layer-tabnow"/>
    <w:qFormat/>
    <w:uiPriority w:val="0"/>
    <w:rPr>
      <w:bdr w:val="single" w:color="CCCCCC" w:sz="6" w:space="0"/>
      <w:shd w:val="clear" w:color="auto" w:fill="FFFFFF"/>
    </w:rPr>
  </w:style>
  <w:style w:type="character" w:customStyle="1" w:styleId="75">
    <w:name w:val="jbox-icon-success"/>
    <w:qFormat/>
    <w:uiPriority w:val="0"/>
  </w:style>
  <w:style w:type="character" w:customStyle="1" w:styleId="76">
    <w:name w:val="baxt_margin"/>
    <w:qFormat/>
    <w:uiPriority w:val="0"/>
  </w:style>
  <w:style w:type="character" w:customStyle="1" w:styleId="77">
    <w:name w:val="first-child"/>
    <w:qFormat/>
    <w:uiPriority w:val="0"/>
  </w:style>
  <w:style w:type="character" w:customStyle="1" w:styleId="78">
    <w:name w:val="jbox-icon-error"/>
    <w:qFormat/>
    <w:uiPriority w:val="0"/>
  </w:style>
  <w:style w:type="character" w:customStyle="1" w:styleId="79">
    <w:name w:val="jbox-icon-loading"/>
    <w:qFormat/>
    <w:uiPriority w:val="0"/>
  </w:style>
  <w:style w:type="character" w:customStyle="1" w:styleId="80">
    <w:name w:val="jbox-icon-question"/>
    <w:qFormat/>
    <w:uiPriority w:val="0"/>
  </w:style>
  <w:style w:type="character" w:customStyle="1" w:styleId="81">
    <w:name w:val="jbox-icon-warning"/>
    <w:qFormat/>
    <w:uiPriority w:val="0"/>
  </w:style>
  <w:style w:type="paragraph" w:customStyle="1" w:styleId="82">
    <w:name w:val="表中文字"/>
    <w:basedOn w:val="1"/>
    <w:qFormat/>
    <w:uiPriority w:val="0"/>
    <w:pPr>
      <w:adjustRightInd w:val="0"/>
      <w:snapToGrid w:val="0"/>
      <w:jc w:val="center"/>
    </w:pPr>
    <w:rPr>
      <w:kern w:val="0"/>
      <w:sz w:val="20"/>
      <w:lang w:val="zh-CN"/>
    </w:rPr>
  </w:style>
  <w:style w:type="paragraph" w:customStyle="1" w:styleId="83">
    <w:name w:val="热电厂正文"/>
    <w:basedOn w:val="1"/>
    <w:qFormat/>
    <w:uiPriority w:val="0"/>
    <w:pPr>
      <w:spacing w:line="440" w:lineRule="exact"/>
      <w:ind w:firstLine="480"/>
    </w:pPr>
  </w:style>
  <w:style w:type="paragraph" w:customStyle="1" w:styleId="84">
    <w:name w:val="表头"/>
    <w:basedOn w:val="5"/>
    <w:next w:val="5"/>
    <w:qFormat/>
    <w:uiPriority w:val="0"/>
    <w:pPr>
      <w:spacing w:line="360" w:lineRule="auto"/>
      <w:ind w:firstLine="300" w:firstLineChars="300"/>
    </w:pPr>
    <w:rPr>
      <w:rFonts w:eastAsia="黑体"/>
      <w:bCs/>
      <w:sz w:val="24"/>
    </w:rPr>
  </w:style>
  <w:style w:type="paragraph" w:customStyle="1" w:styleId="85">
    <w:name w:val="报告正文"/>
    <w:basedOn w:val="1"/>
    <w:qFormat/>
    <w:uiPriority w:val="0"/>
    <w:pPr>
      <w:adjustRightInd w:val="0"/>
      <w:snapToGrid w:val="0"/>
      <w:spacing w:line="460" w:lineRule="atLeast"/>
      <w:ind w:firstLine="200" w:firstLineChars="200"/>
    </w:pPr>
    <w:rPr>
      <w:rFonts w:cs="宋体"/>
      <w:sz w:val="24"/>
    </w:rPr>
  </w:style>
  <w:style w:type="paragraph" w:customStyle="1" w:styleId="86">
    <w:name w:val="样式 正文文本 + 首行缩进:  2 字符"/>
    <w:basedOn w:val="8"/>
    <w:qFormat/>
    <w:uiPriority w:val="99"/>
    <w:pPr>
      <w:spacing w:after="200" w:line="480" w:lineRule="exact"/>
      <w:ind w:firstLine="480" w:firstLineChars="200"/>
    </w:pPr>
    <w:rPr>
      <w:rFonts w:eastAsia="微软雅黑"/>
      <w:sz w:val="24"/>
      <w:szCs w:val="22"/>
    </w:rPr>
  </w:style>
  <w:style w:type="paragraph" w:customStyle="1" w:styleId="87">
    <w:name w:val="表体"/>
    <w:basedOn w:val="1"/>
    <w:qFormat/>
    <w:uiPriority w:val="0"/>
    <w:pPr>
      <w:adjustRightInd w:val="0"/>
      <w:snapToGrid w:val="0"/>
      <w:jc w:val="center"/>
    </w:pPr>
  </w:style>
  <w:style w:type="paragraph" w:customStyle="1" w:styleId="88">
    <w:name w:val="样式 样式 样式 四号 左侧:  1.53 厘米 + 首行缩进:  2 字符 + 居中 左侧:  2 字符 首行缩进:  2..."/>
    <w:basedOn w:val="89"/>
    <w:qFormat/>
    <w:uiPriority w:val="0"/>
    <w:pPr>
      <w:jc w:val="center"/>
    </w:pPr>
  </w:style>
  <w:style w:type="paragraph" w:customStyle="1" w:styleId="89">
    <w:name w:val="样式 样式 四号 左侧:  1.53 厘米 + 首行缩进:  2 字符"/>
    <w:basedOn w:val="90"/>
    <w:qFormat/>
    <w:uiPriority w:val="0"/>
    <w:pPr>
      <w:ind w:left="200" w:leftChars="200"/>
    </w:pPr>
    <w:rPr>
      <w:szCs w:val="20"/>
    </w:rPr>
  </w:style>
  <w:style w:type="paragraph" w:customStyle="1" w:styleId="90">
    <w:name w:val="样式 四号 左侧:  1.53 厘米"/>
    <w:basedOn w:val="1"/>
    <w:qFormat/>
    <w:uiPriority w:val="0"/>
    <w:pPr>
      <w:adjustRightInd w:val="0"/>
    </w:pPr>
    <w:rPr>
      <w:w w:val="90"/>
      <w:sz w:val="28"/>
      <w:szCs w:val="28"/>
    </w:rPr>
  </w:style>
  <w:style w:type="paragraph" w:customStyle="1" w:styleId="91">
    <w:name w:val="表格内容"/>
    <w:qFormat/>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92">
    <w:name w:val="_Style 2"/>
    <w:basedOn w:val="1"/>
    <w:next w:val="1"/>
    <w:qFormat/>
    <w:uiPriority w:val="1"/>
    <w:pPr>
      <w:spacing w:line="440" w:lineRule="exact"/>
      <w:ind w:firstLine="420" w:firstLineChars="200"/>
    </w:pPr>
    <w:rPr>
      <w:sz w:val="24"/>
      <w:szCs w:val="20"/>
    </w:rPr>
  </w:style>
  <w:style w:type="paragraph" w:customStyle="1" w:styleId="93">
    <w:name w:val="表格居中"/>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94">
    <w:name w:val="！正文"/>
    <w:basedOn w:val="1"/>
    <w:qFormat/>
    <w:uiPriority w:val="0"/>
    <w:pPr>
      <w:spacing w:line="500" w:lineRule="exact"/>
      <w:ind w:firstLine="200" w:firstLineChars="200"/>
    </w:pPr>
    <w:rPr>
      <w:rFonts w:eastAsia="Times New Roman"/>
      <w:kern w:val="0"/>
      <w:sz w:val="24"/>
    </w:rPr>
  </w:style>
  <w:style w:type="paragraph" w:customStyle="1" w:styleId="95">
    <w:name w:val="Default1"/>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6">
    <w:name w:val="文本"/>
    <w:basedOn w:val="1"/>
    <w:qFormat/>
    <w:uiPriority w:val="0"/>
    <w:pPr>
      <w:adjustRightInd w:val="0"/>
      <w:snapToGrid w:val="0"/>
      <w:spacing w:line="520" w:lineRule="exact"/>
      <w:ind w:firstLine="200" w:firstLineChars="200"/>
    </w:pPr>
    <w:rPr>
      <w:rFonts w:ascii="宋体"/>
      <w:sz w:val="24"/>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AA-表内容"/>
    <w:basedOn w:val="1"/>
    <w:link w:val="99"/>
    <w:qFormat/>
    <w:uiPriority w:val="0"/>
    <w:pPr>
      <w:spacing w:line="360" w:lineRule="exact"/>
      <w:jc w:val="center"/>
    </w:pPr>
    <w:rPr>
      <w:szCs w:val="21"/>
    </w:rPr>
  </w:style>
  <w:style w:type="character" w:customStyle="1" w:styleId="99">
    <w:name w:val="AA-表内容 Char"/>
    <w:link w:val="98"/>
    <w:qFormat/>
    <w:uiPriority w:val="0"/>
    <w:rPr>
      <w:kern w:val="2"/>
      <w:sz w:val="21"/>
      <w:szCs w:val="21"/>
    </w:rPr>
  </w:style>
  <w:style w:type="paragraph" w:styleId="100">
    <w:name w:val="List Paragraph"/>
    <w:basedOn w:val="1"/>
    <w:qFormat/>
    <w:uiPriority w:val="99"/>
    <w:pPr>
      <w:ind w:firstLine="420" w:firstLineChars="200"/>
    </w:pPr>
  </w:style>
  <w:style w:type="character" w:customStyle="1" w:styleId="101">
    <w:name w:val="正文缩进 字符1"/>
    <w:qFormat/>
    <w:uiPriority w:val="0"/>
    <w:rPr>
      <w:rFonts w:ascii="Arial Unicode MS" w:hAnsi="Arial Unicode MS" w:eastAsia="MingLiU" w:cs="Arial Unicode MS"/>
    </w:rPr>
  </w:style>
  <w:style w:type="character" w:customStyle="1" w:styleId="102">
    <w:name w:val="正文文本_"/>
    <w:link w:val="103"/>
    <w:qFormat/>
    <w:uiPriority w:val="0"/>
    <w:rPr>
      <w:rFonts w:ascii="等线" w:hAnsi="等线" w:eastAsia="等线" w:cs="等线"/>
      <w:szCs w:val="21"/>
      <w:shd w:val="clear" w:color="auto" w:fill="FFFFFF"/>
    </w:rPr>
  </w:style>
  <w:style w:type="paragraph" w:customStyle="1" w:styleId="103">
    <w:name w:val="正文文本1"/>
    <w:basedOn w:val="1"/>
    <w:link w:val="102"/>
    <w:qFormat/>
    <w:uiPriority w:val="0"/>
    <w:pPr>
      <w:shd w:val="clear" w:color="auto" w:fill="FFFFFF"/>
      <w:spacing w:before="660" w:line="312" w:lineRule="exact"/>
      <w:jc w:val="left"/>
    </w:pPr>
    <w:rPr>
      <w:rFonts w:ascii="等线" w:hAnsi="等线" w:eastAsia="等线" w:cs="等线"/>
      <w:kern w:val="0"/>
      <w:sz w:val="20"/>
      <w:szCs w:val="21"/>
    </w:rPr>
  </w:style>
  <w:style w:type="paragraph" w:customStyle="1" w:styleId="10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p0"/>
    <w:basedOn w:val="1"/>
    <w:qFormat/>
    <w:uiPriority w:val="0"/>
    <w:pPr>
      <w:widowControl/>
      <w:snapToGrid w:val="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pn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A9FCA-CB3A-4C15-9361-251EEEBCE27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36</Pages>
  <Words>2032</Words>
  <Characters>2143</Characters>
  <Lines>595</Lines>
  <Paragraphs>1403</Paragraphs>
  <TotalTime>118</TotalTime>
  <ScaleCrop>false</ScaleCrop>
  <LinksUpToDate>false</LinksUpToDate>
  <CharactersWithSpaces>2185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2023-10-16T17:42:00Z</dcterms:created>
  <dc:creator>lhj</dc:creator>
  <cp:lastModifiedBy>初心す</cp:lastModifiedBy>
  <cp:lastPrinted>2024-04-08T19:36:00Z</cp:lastPrinted>
  <dcterms:modified xsi:type="dcterms:W3CDTF">2025-08-19T08:45:01Z</dcterms:modified>
  <dc:title>附件2</dc:title>
  <cp:revision>229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6B5E035CA16A4E0DA471B2105222E7B2</vt:lpwstr>
  </property>
  <property fmtid="{D5CDD505-2E9C-101B-9397-08002B2CF9AE}" pid="4" name="KSOTemplateDocerSaveRecord">
    <vt:lpwstr>eyJoZGlkIjoiM2EyOWVkMDQ1ZDJiMmU2YTY0Y2RjZjk2MTY4MmNjZTAiLCJ1c2VySWQiOiIzMTQyNjY5OTIifQ==</vt:lpwstr>
  </property>
</Properties>
</file>